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7"/>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478155</wp:posOffset>
            </wp:positionV>
            <wp:extent cx="71354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5495" cy="8255"/>
                    </a:xfrm>
                    <a:prstGeom prst="rect">
                      <a:avLst/>
                    </a:prstGeom>
                    <a:noFill/>
                  </pic:spPr>
                </pic:pic>
              </a:graphicData>
            </a:graphic>
          </wp:anchor>
        </w:drawing>
        <w:drawing>
          <wp:anchor simplePos="0" relativeHeight="251657728" behindDoc="1" locked="0" layoutInCell="0" allowOverlap="1">
            <wp:simplePos x="0" y="0"/>
            <wp:positionH relativeFrom="column">
              <wp:posOffset>33655</wp:posOffset>
            </wp:positionH>
            <wp:positionV relativeFrom="paragraph">
              <wp:posOffset>444500</wp:posOffset>
            </wp:positionV>
            <wp:extent cx="71354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46"/>
        <w:spacing w:after="0"/>
        <w:rPr>
          <w:sz w:val="20"/>
          <w:szCs w:val="20"/>
          <w:color w:val="auto"/>
        </w:rPr>
      </w:pPr>
      <w:r>
        <w:rPr>
          <w:rFonts w:ascii="Arial" w:cs="Arial" w:eastAsia="Arial" w:hAnsi="Arial"/>
          <w:sz w:val="28"/>
          <w:szCs w:val="28"/>
          <w:b w:val="1"/>
          <w:bCs w:val="1"/>
          <w:color w:val="auto"/>
        </w:rPr>
        <w:t>UNITED STATES</w:t>
      </w:r>
    </w:p>
    <w:p>
      <w:pPr>
        <w:spacing w:after="0" w:line="39" w:lineRule="exact"/>
        <w:rPr>
          <w:sz w:val="24"/>
          <w:szCs w:val="24"/>
          <w:color w:val="auto"/>
        </w:rPr>
      </w:pPr>
    </w:p>
    <w:p>
      <w:pPr>
        <w:jc w:val="center"/>
        <w:ind w:right="-46"/>
        <w:spacing w:after="0"/>
        <w:rPr>
          <w:sz w:val="20"/>
          <w:szCs w:val="20"/>
          <w:color w:val="auto"/>
        </w:rPr>
      </w:pPr>
      <w:r>
        <w:rPr>
          <w:rFonts w:ascii="Arial" w:cs="Arial" w:eastAsia="Arial" w:hAnsi="Arial"/>
          <w:sz w:val="28"/>
          <w:szCs w:val="28"/>
          <w:b w:val="1"/>
          <w:bCs w:val="1"/>
          <w:color w:val="auto"/>
        </w:rPr>
        <w:t>SECURITIES AND EXCHANGE COMMISSION</w:t>
      </w:r>
    </w:p>
    <w:p>
      <w:pPr>
        <w:spacing w:after="0" w:line="12" w:lineRule="exact"/>
        <w:rPr>
          <w:sz w:val="24"/>
          <w:szCs w:val="24"/>
          <w:color w:val="auto"/>
        </w:rPr>
      </w:pPr>
    </w:p>
    <w:p>
      <w:pPr>
        <w:jc w:val="center"/>
        <w:ind w:right="-46"/>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2406650</wp:posOffset>
            </wp:positionH>
            <wp:positionV relativeFrom="paragraph">
              <wp:posOffset>69215</wp:posOffset>
            </wp:positionV>
            <wp:extent cx="23812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1250" cy="8255"/>
                    </a:xfrm>
                    <a:prstGeom prst="rect">
                      <a:avLst/>
                    </a:prstGeom>
                    <a:noFill/>
                  </pic:spPr>
                </pic:pic>
              </a:graphicData>
            </a:graphic>
          </wp:anchor>
        </w:drawing>
      </w:r>
    </w:p>
    <w:p>
      <w:pPr>
        <w:spacing w:after="0" w:line="201" w:lineRule="exact"/>
        <w:rPr>
          <w:sz w:val="24"/>
          <w:szCs w:val="24"/>
          <w:color w:val="auto"/>
        </w:rPr>
      </w:pPr>
    </w:p>
    <w:p>
      <w:pPr>
        <w:jc w:val="center"/>
        <w:ind w:right="-46"/>
        <w:spacing w:after="0"/>
        <w:rPr>
          <w:sz w:val="20"/>
          <w:szCs w:val="20"/>
          <w:color w:val="auto"/>
        </w:rPr>
      </w:pPr>
      <w:r>
        <w:rPr>
          <w:rFonts w:ascii="Arial" w:cs="Arial" w:eastAsia="Arial" w:hAnsi="Arial"/>
          <w:sz w:val="28"/>
          <w:szCs w:val="2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2406650</wp:posOffset>
            </wp:positionH>
            <wp:positionV relativeFrom="paragraph">
              <wp:posOffset>99695</wp:posOffset>
            </wp:positionV>
            <wp:extent cx="23812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1250" cy="8255"/>
                    </a:xfrm>
                    <a:prstGeom prst="rect">
                      <a:avLst/>
                    </a:prstGeom>
                    <a:noFill/>
                  </pic:spPr>
                </pic:pic>
              </a:graphicData>
            </a:graphic>
          </wp:anchor>
        </w:drawing>
      </w:r>
    </w:p>
    <w:p>
      <w:pPr>
        <w:spacing w:after="0" w:line="257" w:lineRule="exact"/>
        <w:rPr>
          <w:sz w:val="24"/>
          <w:szCs w:val="24"/>
          <w:color w:val="auto"/>
        </w:rPr>
      </w:pPr>
    </w:p>
    <w:p>
      <w:pPr>
        <w:ind w:left="47"/>
        <w:spacing w:after="0"/>
        <w:rPr>
          <w:sz w:val="20"/>
          <w:szCs w:val="20"/>
          <w:color w:val="auto"/>
        </w:rPr>
      </w:pPr>
      <w:r>
        <w:rPr>
          <w:rFonts w:ascii="Arial" w:cs="Arial" w:eastAsia="Arial" w:hAnsi="Arial"/>
          <w:sz w:val="18"/>
          <w:szCs w:val="18"/>
          <w:color w:val="auto"/>
        </w:rPr>
        <w:t>(Mark One)</w:t>
      </w:r>
    </w:p>
    <w:p>
      <w:pPr>
        <w:spacing w:after="0" w:line="173" w:lineRule="exact"/>
        <w:rPr>
          <w:sz w:val="24"/>
          <w:szCs w:val="24"/>
          <w:color w:val="auto"/>
        </w:rPr>
      </w:pPr>
    </w:p>
    <w:p>
      <w:pPr>
        <w:ind w:left="527" w:hanging="457"/>
        <w:spacing w:after="0"/>
        <w:tabs>
          <w:tab w:leader="none" w:pos="527"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121" w:lineRule="exact"/>
        <w:rPr>
          <w:sz w:val="24"/>
          <w:szCs w:val="24"/>
          <w:color w:val="auto"/>
        </w:rPr>
      </w:pPr>
    </w:p>
    <w:p>
      <w:pPr>
        <w:jc w:val="center"/>
        <w:ind w:right="-46"/>
        <w:spacing w:after="0"/>
        <w:rPr>
          <w:sz w:val="20"/>
          <w:szCs w:val="20"/>
          <w:color w:val="auto"/>
        </w:rPr>
      </w:pPr>
      <w:r>
        <w:rPr>
          <w:rFonts w:ascii="Arial" w:cs="Arial" w:eastAsia="Arial" w:hAnsi="Arial"/>
          <w:sz w:val="18"/>
          <w:szCs w:val="18"/>
          <w:b w:val="1"/>
          <w:bCs w:val="1"/>
          <w:color w:val="auto"/>
        </w:rPr>
        <w:t>For the quarterly period ended June 30, 2022</w:t>
      </w:r>
    </w:p>
    <w:p>
      <w:pPr>
        <w:spacing w:after="0" w:line="83" w:lineRule="exact"/>
        <w:rPr>
          <w:sz w:val="24"/>
          <w:szCs w:val="24"/>
          <w:color w:val="auto"/>
        </w:rPr>
      </w:pPr>
    </w:p>
    <w:p>
      <w:pPr>
        <w:jc w:val="center"/>
        <w:ind w:right="-46"/>
        <w:spacing w:after="0"/>
        <w:rPr>
          <w:sz w:val="20"/>
          <w:szCs w:val="20"/>
          <w:color w:val="auto"/>
        </w:rPr>
      </w:pPr>
      <w:r>
        <w:rPr>
          <w:rFonts w:ascii="Arial" w:cs="Arial" w:eastAsia="Arial" w:hAnsi="Arial"/>
          <w:sz w:val="18"/>
          <w:szCs w:val="18"/>
          <w:b w:val="1"/>
          <w:bCs w:val="1"/>
          <w:color w:val="auto"/>
        </w:rPr>
        <w:t>OR</w:t>
      </w:r>
    </w:p>
    <w:p>
      <w:pPr>
        <w:spacing w:after="0" w:line="310" w:lineRule="exact"/>
        <w:rPr>
          <w:sz w:val="24"/>
          <w:szCs w:val="24"/>
          <w:color w:val="auto"/>
        </w:rPr>
      </w:pPr>
    </w:p>
    <w:p>
      <w:pPr>
        <w:ind w:left="547" w:hanging="547"/>
        <w:spacing w:after="0"/>
        <w:tabs>
          <w:tab w:leader="none" w:pos="547"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08" w:lineRule="exact"/>
        <w:rPr>
          <w:sz w:val="24"/>
          <w:szCs w:val="24"/>
          <w:color w:val="auto"/>
        </w:rPr>
      </w:pPr>
    </w:p>
    <w:p>
      <w:pPr>
        <w:jc w:val="center"/>
        <w:ind w:right="-46"/>
        <w:spacing w:after="0"/>
        <w:rPr>
          <w:sz w:val="20"/>
          <w:szCs w:val="20"/>
          <w:color w:val="auto"/>
        </w:rPr>
      </w:pPr>
      <w:r>
        <w:rPr>
          <w:rFonts w:ascii="Arial" w:cs="Arial" w:eastAsia="Arial" w:hAnsi="Arial"/>
          <w:sz w:val="18"/>
          <w:szCs w:val="18"/>
          <w:b w:val="1"/>
          <w:bCs w:val="1"/>
          <w:color w:val="auto"/>
        </w:rPr>
        <w:t>Commission File Number: 001-32630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1771650</wp:posOffset>
            </wp:positionH>
            <wp:positionV relativeFrom="paragraph">
              <wp:posOffset>88900</wp:posOffset>
            </wp:positionV>
            <wp:extent cx="36595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59505" cy="8255"/>
                    </a:xfrm>
                    <a:prstGeom prst="rect">
                      <a:avLst/>
                    </a:prstGeom>
                    <a:noFill/>
                  </pic:spPr>
                </pic:pic>
              </a:graphicData>
            </a:graphic>
          </wp:anchor>
        </w:drawing>
        <w:drawing>
          <wp:anchor simplePos="0" relativeHeight="251657728" behindDoc="1" locked="0" layoutInCell="0" allowOverlap="1">
            <wp:simplePos x="0" y="0"/>
            <wp:positionH relativeFrom="column">
              <wp:posOffset>2766060</wp:posOffset>
            </wp:positionH>
            <wp:positionV relativeFrom="paragraph">
              <wp:posOffset>180975</wp:posOffset>
            </wp:positionV>
            <wp:extent cx="1671320" cy="6934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71320" cy="6934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tbl>
      <w:tblPr>
        <w:tblLayout w:type="fixed"/>
        <w:tblInd w:w="887" w:type="dxa"/>
        <w:tblCellMar>
          <w:top w:w="0" w:type="dxa"/>
          <w:left w:w="0" w:type="dxa"/>
          <w:bottom w:w="0" w:type="dxa"/>
          <w:right w:w="0" w:type="dxa"/>
        </w:tblCellMar>
      </w:tblPr>
      <w:tr>
        <w:trPr>
          <w:trHeight w:val="274"/>
        </w:trPr>
        <w:tc>
          <w:tcPr>
            <w:tcW w:w="5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680" w:type="dxa"/>
            <w:vAlign w:val="bottom"/>
            <w:gridSpan w:val="6"/>
          </w:tcPr>
          <w:p>
            <w:pPr>
              <w:jc w:val="center"/>
              <w:ind w:right="2140"/>
              <w:spacing w:after="0"/>
              <w:rPr>
                <w:sz w:val="20"/>
                <w:szCs w:val="20"/>
                <w:color w:val="auto"/>
              </w:rPr>
            </w:pPr>
            <w:r>
              <w:rPr>
                <w:rFonts w:ascii="Arial" w:cs="Arial" w:eastAsia="Arial" w:hAnsi="Arial"/>
                <w:sz w:val="21"/>
                <w:szCs w:val="21"/>
                <w:b w:val="1"/>
                <w:bCs w:val="1"/>
                <w:color w:val="auto"/>
              </w:rPr>
              <w:t>FIDELITY NATIONAL FINANCIAL, INC.</w:t>
            </w:r>
          </w:p>
        </w:tc>
      </w:tr>
      <w:tr>
        <w:trPr>
          <w:trHeight w:val="240"/>
        </w:trPr>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80" w:type="dxa"/>
            <w:vAlign w:val="bottom"/>
            <w:gridSpan w:val="6"/>
          </w:tcPr>
          <w:p>
            <w:pPr>
              <w:jc w:val="center"/>
              <w:ind w:right="2160"/>
              <w:spacing w:after="0"/>
              <w:rPr>
                <w:sz w:val="20"/>
                <w:szCs w:val="20"/>
                <w:color w:val="auto"/>
              </w:rPr>
            </w:pPr>
            <w:r>
              <w:rPr>
                <w:rFonts w:ascii="Arial" w:cs="Arial" w:eastAsia="Arial" w:hAnsi="Arial"/>
                <w:sz w:val="18"/>
                <w:szCs w:val="18"/>
                <w:b w:val="1"/>
                <w:bCs w:val="1"/>
                <w:color w:val="auto"/>
                <w:w w:val="87"/>
              </w:rPr>
              <w:t>(Exact name of registrant as specified in its charter)</w:t>
            </w:r>
          </w:p>
        </w:tc>
      </w:tr>
      <w:tr>
        <w:trPr>
          <w:trHeight w:val="119"/>
        </w:trPr>
        <w:tc>
          <w:tcPr>
            <w:tcW w:w="5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136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352"/>
        </w:trPr>
        <w:tc>
          <w:tcPr>
            <w:tcW w:w="560" w:type="dxa"/>
            <w:vAlign w:val="bottom"/>
          </w:tcPr>
          <w:p>
            <w:pPr>
              <w:spacing w:after="0"/>
              <w:rPr>
                <w:sz w:val="24"/>
                <w:szCs w:val="24"/>
                <w:color w:val="auto"/>
              </w:rPr>
            </w:pPr>
          </w:p>
        </w:tc>
        <w:tc>
          <w:tcPr>
            <w:tcW w:w="1960" w:type="dxa"/>
            <w:vAlign w:val="bottom"/>
            <w:gridSpan w:val="3"/>
          </w:tcPr>
          <w:p>
            <w:pPr>
              <w:jc w:val="center"/>
              <w:ind w:right="1260"/>
              <w:spacing w:after="0"/>
              <w:rPr>
                <w:sz w:val="20"/>
                <w:szCs w:val="20"/>
                <w:color w:val="auto"/>
              </w:rPr>
            </w:pPr>
            <w:r>
              <w:rPr>
                <w:rFonts w:ascii="Arial" w:cs="Arial" w:eastAsia="Arial" w:hAnsi="Arial"/>
                <w:sz w:val="18"/>
                <w:szCs w:val="18"/>
                <w:b w:val="1"/>
                <w:bCs w:val="1"/>
                <w:color w:val="auto"/>
                <w:w w:val="88"/>
              </w:rPr>
              <w:t>Delaware</w:t>
            </w: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920" w:type="dxa"/>
            <w:vAlign w:val="bottom"/>
            <w:gridSpan w:val="3"/>
          </w:tcPr>
          <w:p>
            <w:pPr>
              <w:jc w:val="center"/>
              <w:ind w:left="1744"/>
              <w:spacing w:after="0"/>
              <w:rPr>
                <w:sz w:val="20"/>
                <w:szCs w:val="20"/>
                <w:color w:val="auto"/>
              </w:rPr>
            </w:pPr>
            <w:r>
              <w:rPr>
                <w:rFonts w:ascii="Arial" w:cs="Arial" w:eastAsia="Arial" w:hAnsi="Arial"/>
                <w:sz w:val="18"/>
                <w:szCs w:val="18"/>
                <w:b w:val="1"/>
                <w:bCs w:val="1"/>
                <w:color w:val="auto"/>
                <w:w w:val="89"/>
              </w:rPr>
              <w:t>16-1725106</w:t>
            </w:r>
          </w:p>
        </w:tc>
      </w:tr>
      <w:tr>
        <w:trPr>
          <w:trHeight w:val="141"/>
        </w:trPr>
        <w:tc>
          <w:tcPr>
            <w:tcW w:w="2520" w:type="dxa"/>
            <w:vAlign w:val="bottom"/>
            <w:gridSpan w:val="4"/>
          </w:tcPr>
          <w:p>
            <w:pPr>
              <w:jc w:val="center"/>
              <w:ind w:right="680"/>
              <w:spacing w:after="0" w:line="141" w:lineRule="exact"/>
              <w:rPr>
                <w:sz w:val="20"/>
                <w:szCs w:val="20"/>
                <w:color w:val="auto"/>
              </w:rPr>
            </w:pPr>
            <w:r>
              <w:rPr>
                <w:rFonts w:ascii="Arial" w:cs="Arial" w:eastAsia="Arial" w:hAnsi="Arial"/>
                <w:sz w:val="14"/>
                <w:szCs w:val="14"/>
                <w:b w:val="1"/>
                <w:bCs w:val="1"/>
                <w:color w:val="auto"/>
                <w:w w:val="91"/>
              </w:rPr>
              <w:t>(State or other jurisdiction of</w:t>
            </w:r>
          </w:p>
        </w:tc>
        <w:tc>
          <w:tcPr>
            <w:tcW w:w="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540" w:type="dxa"/>
            <w:vAlign w:val="bottom"/>
            <w:gridSpan w:val="2"/>
          </w:tcPr>
          <w:p>
            <w:pPr>
              <w:jc w:val="center"/>
              <w:ind w:left="370"/>
              <w:spacing w:after="0" w:line="141" w:lineRule="exact"/>
              <w:rPr>
                <w:sz w:val="20"/>
                <w:szCs w:val="20"/>
                <w:color w:val="auto"/>
              </w:rPr>
            </w:pPr>
            <w:r>
              <w:rPr>
                <w:rFonts w:ascii="Arial" w:cs="Arial" w:eastAsia="Arial" w:hAnsi="Arial"/>
                <w:sz w:val="14"/>
                <w:szCs w:val="14"/>
                <w:b w:val="1"/>
                <w:bCs w:val="1"/>
                <w:color w:val="auto"/>
                <w:w w:val="94"/>
              </w:rPr>
              <w:t>(I.R.S. Employer</w:t>
            </w:r>
          </w:p>
        </w:tc>
      </w:tr>
      <w:tr>
        <w:trPr>
          <w:trHeight w:val="183"/>
        </w:trPr>
        <w:tc>
          <w:tcPr>
            <w:tcW w:w="2520" w:type="dxa"/>
            <w:vAlign w:val="bottom"/>
            <w:gridSpan w:val="4"/>
          </w:tcPr>
          <w:p>
            <w:pPr>
              <w:jc w:val="center"/>
              <w:ind w:right="680"/>
              <w:spacing w:after="0"/>
              <w:rPr>
                <w:sz w:val="20"/>
                <w:szCs w:val="20"/>
                <w:color w:val="auto"/>
              </w:rPr>
            </w:pPr>
            <w:r>
              <w:rPr>
                <w:rFonts w:ascii="Arial" w:cs="Arial" w:eastAsia="Arial" w:hAnsi="Arial"/>
                <w:sz w:val="14"/>
                <w:szCs w:val="14"/>
                <w:b w:val="1"/>
                <w:bCs w:val="1"/>
                <w:color w:val="auto"/>
                <w:w w:val="92"/>
              </w:rPr>
              <w:t>incorporation or organization)</w:t>
            </w:r>
          </w:p>
        </w:tc>
        <w:tc>
          <w:tcPr>
            <w:tcW w:w="9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540" w:type="dxa"/>
            <w:vAlign w:val="bottom"/>
            <w:gridSpan w:val="2"/>
          </w:tcPr>
          <w:p>
            <w:pPr>
              <w:jc w:val="center"/>
              <w:ind w:left="370"/>
              <w:spacing w:after="0"/>
              <w:rPr>
                <w:sz w:val="20"/>
                <w:szCs w:val="20"/>
                <w:color w:val="auto"/>
              </w:rPr>
            </w:pPr>
            <w:r>
              <w:rPr>
                <w:rFonts w:ascii="Arial" w:cs="Arial" w:eastAsia="Arial" w:hAnsi="Arial"/>
                <w:sz w:val="14"/>
                <w:szCs w:val="14"/>
                <w:b w:val="1"/>
                <w:bCs w:val="1"/>
                <w:color w:val="auto"/>
                <w:w w:val="92"/>
              </w:rPr>
              <w:t>Identification No.)</w:t>
            </w:r>
          </w:p>
        </w:tc>
      </w:tr>
      <w:tr>
        <w:trPr>
          <w:trHeight w:val="286"/>
        </w:trPr>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7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601 Riverside Avenue</w:t>
            </w: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6"/>
        </w:trPr>
        <w:tc>
          <w:tcPr>
            <w:tcW w:w="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Jacksonville, Florida, 32204</w:t>
            </w: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83"/>
        </w:trPr>
        <w:tc>
          <w:tcPr>
            <w:tcW w:w="5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80" w:type="dxa"/>
            <w:vAlign w:val="bottom"/>
            <w:gridSpan w:val="6"/>
          </w:tcPr>
          <w:p>
            <w:pPr>
              <w:jc w:val="center"/>
              <w:ind w:right="2160"/>
              <w:spacing w:after="0"/>
              <w:rPr>
                <w:sz w:val="20"/>
                <w:szCs w:val="20"/>
                <w:color w:val="auto"/>
              </w:rPr>
            </w:pPr>
            <w:r>
              <w:rPr>
                <w:rFonts w:ascii="Arial" w:cs="Arial" w:eastAsia="Arial" w:hAnsi="Arial"/>
                <w:sz w:val="14"/>
                <w:szCs w:val="14"/>
                <w:b w:val="1"/>
                <w:bCs w:val="1"/>
                <w:color w:val="auto"/>
                <w:w w:val="88"/>
              </w:rPr>
              <w:t>(Address of principal executive offices, including zip code)</w:t>
            </w:r>
          </w:p>
        </w:tc>
      </w:tr>
      <w:tr>
        <w:trPr>
          <w:trHeight w:val="444"/>
        </w:trPr>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760" w:type="dxa"/>
            <w:vAlign w:val="bottom"/>
            <w:gridSpan w:val="3"/>
          </w:tcPr>
          <w:p>
            <w:pPr>
              <w:jc w:val="center"/>
              <w:ind w:left="698"/>
              <w:spacing w:after="0"/>
              <w:rPr>
                <w:sz w:val="20"/>
                <w:szCs w:val="20"/>
                <w:color w:val="auto"/>
              </w:rPr>
            </w:pPr>
            <w:r>
              <w:rPr>
                <w:rFonts w:ascii="Arial" w:cs="Arial" w:eastAsia="Arial" w:hAnsi="Arial"/>
                <w:sz w:val="18"/>
                <w:szCs w:val="18"/>
                <w:b w:val="1"/>
                <w:bCs w:val="1"/>
                <w:color w:val="auto"/>
                <w:w w:val="89"/>
              </w:rPr>
              <w:t>(904) 854-8100</w:t>
            </w: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4"/>
        </w:trPr>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80" w:type="dxa"/>
            <w:vAlign w:val="bottom"/>
            <w:gridSpan w:val="6"/>
          </w:tcPr>
          <w:p>
            <w:pPr>
              <w:jc w:val="center"/>
              <w:ind w:right="2160"/>
              <w:spacing w:after="0"/>
              <w:rPr>
                <w:sz w:val="20"/>
                <w:szCs w:val="20"/>
                <w:color w:val="auto"/>
              </w:rPr>
            </w:pPr>
            <w:r>
              <w:rPr>
                <w:rFonts w:ascii="Arial" w:cs="Arial" w:eastAsia="Arial" w:hAnsi="Arial"/>
                <w:sz w:val="14"/>
                <w:szCs w:val="14"/>
                <w:b w:val="1"/>
                <w:bCs w:val="1"/>
                <w:color w:val="auto"/>
                <w:w w:val="89"/>
              </w:rPr>
              <w:t>(Registrant’s telephone number, including area code)</w:t>
            </w:r>
          </w:p>
        </w:tc>
      </w:tr>
      <w:tr>
        <w:trPr>
          <w:trHeight w:val="395"/>
        </w:trPr>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80" w:type="dxa"/>
            <w:vAlign w:val="bottom"/>
            <w:gridSpan w:val="6"/>
          </w:tcPr>
          <w:p>
            <w:pPr>
              <w:jc w:val="center"/>
              <w:ind w:right="2160"/>
              <w:spacing w:after="0"/>
              <w:rPr>
                <w:sz w:val="20"/>
                <w:szCs w:val="20"/>
                <w:color w:val="auto"/>
              </w:rPr>
            </w:pPr>
            <w:r>
              <w:rPr>
                <w:rFonts w:ascii="Arial" w:cs="Arial" w:eastAsia="Arial" w:hAnsi="Arial"/>
                <w:sz w:val="14"/>
                <w:szCs w:val="14"/>
                <w:b w:val="1"/>
                <w:bCs w:val="1"/>
                <w:color w:val="auto"/>
                <w:w w:val="89"/>
              </w:rPr>
              <w:t>Securities registered pursuant to Section 12(b) of the Act:</w:t>
            </w:r>
          </w:p>
        </w:tc>
      </w:tr>
      <w:tr>
        <w:trPr>
          <w:trHeight w:val="169"/>
        </w:trPr>
        <w:tc>
          <w:tcPr>
            <w:tcW w:w="560" w:type="dxa"/>
            <w:vAlign w:val="bottom"/>
          </w:tcPr>
          <w:p>
            <w:pPr>
              <w:spacing w:after="0"/>
              <w:rPr>
                <w:sz w:val="14"/>
                <w:szCs w:val="14"/>
                <w:color w:val="auto"/>
              </w:rPr>
            </w:pPr>
          </w:p>
        </w:tc>
        <w:tc>
          <w:tcPr>
            <w:tcW w:w="1960" w:type="dxa"/>
            <w:vAlign w:val="bottom"/>
            <w:gridSpan w:val="3"/>
          </w:tcPr>
          <w:p>
            <w:pPr>
              <w:jc w:val="center"/>
              <w:ind w:right="840"/>
              <w:spacing w:after="0"/>
              <w:rPr>
                <w:sz w:val="20"/>
                <w:szCs w:val="20"/>
                <w:color w:val="auto"/>
              </w:rPr>
            </w:pPr>
            <w:r>
              <w:rPr>
                <w:rFonts w:ascii="Arial" w:cs="Arial" w:eastAsia="Arial" w:hAnsi="Arial"/>
                <w:sz w:val="14"/>
                <w:szCs w:val="14"/>
                <w:b w:val="1"/>
                <w:bCs w:val="1"/>
                <w:color w:val="auto"/>
                <w:w w:val="89"/>
              </w:rPr>
              <w:t>Title of Each Class</w:t>
            </w:r>
          </w:p>
        </w:tc>
        <w:tc>
          <w:tcPr>
            <w:tcW w:w="980" w:type="dxa"/>
            <w:vAlign w:val="bottom"/>
          </w:tcPr>
          <w:p>
            <w:pPr>
              <w:spacing w:after="0"/>
              <w:rPr>
                <w:sz w:val="14"/>
                <w:szCs w:val="14"/>
                <w:color w:val="auto"/>
              </w:rPr>
            </w:pPr>
          </w:p>
        </w:tc>
        <w:tc>
          <w:tcPr>
            <w:tcW w:w="2780" w:type="dxa"/>
            <w:vAlign w:val="bottom"/>
            <w:gridSpan w:val="2"/>
          </w:tcPr>
          <w:p>
            <w:pPr>
              <w:jc w:val="center"/>
              <w:ind w:right="1820"/>
              <w:spacing w:after="0"/>
              <w:rPr>
                <w:sz w:val="20"/>
                <w:szCs w:val="20"/>
                <w:color w:val="auto"/>
              </w:rPr>
            </w:pPr>
            <w:r>
              <w:rPr>
                <w:rFonts w:ascii="Arial" w:cs="Arial" w:eastAsia="Arial" w:hAnsi="Arial"/>
                <w:sz w:val="14"/>
                <w:szCs w:val="14"/>
                <w:b w:val="1"/>
                <w:bCs w:val="1"/>
                <w:color w:val="auto"/>
                <w:w w:val="90"/>
              </w:rPr>
              <w:t>Trading Symbol</w:t>
            </w:r>
          </w:p>
        </w:tc>
        <w:tc>
          <w:tcPr>
            <w:tcW w:w="29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0"/>
        </w:trPr>
        <w:tc>
          <w:tcPr>
            <w:tcW w:w="5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74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3"/>
        </w:trPr>
        <w:tc>
          <w:tcPr>
            <w:tcW w:w="2520" w:type="dxa"/>
            <w:vAlign w:val="bottom"/>
            <w:gridSpan w:val="4"/>
          </w:tcPr>
          <w:p>
            <w:pPr>
              <w:jc w:val="center"/>
              <w:ind w:right="280"/>
              <w:spacing w:after="0"/>
              <w:rPr>
                <w:sz w:val="20"/>
                <w:szCs w:val="20"/>
                <w:color w:val="auto"/>
              </w:rPr>
            </w:pPr>
            <w:r>
              <w:rPr>
                <w:rFonts w:ascii="Arial" w:cs="Arial" w:eastAsia="Arial" w:hAnsi="Arial"/>
                <w:sz w:val="14"/>
                <w:szCs w:val="14"/>
                <w:color w:val="auto"/>
                <w:w w:val="90"/>
              </w:rPr>
              <w:t>FNF Common Stock, $0.0001 par value</w:t>
            </w:r>
          </w:p>
        </w:tc>
        <w:tc>
          <w:tcPr>
            <w:tcW w:w="980" w:type="dxa"/>
            <w:vAlign w:val="bottom"/>
          </w:tcPr>
          <w:p>
            <w:pPr>
              <w:spacing w:after="0"/>
              <w:rPr>
                <w:sz w:val="16"/>
                <w:szCs w:val="16"/>
                <w:color w:val="auto"/>
              </w:rPr>
            </w:pPr>
          </w:p>
        </w:tc>
        <w:tc>
          <w:tcPr>
            <w:tcW w:w="2780" w:type="dxa"/>
            <w:vAlign w:val="bottom"/>
            <w:gridSpan w:val="2"/>
          </w:tcPr>
          <w:p>
            <w:pPr>
              <w:jc w:val="center"/>
              <w:ind w:right="1820"/>
              <w:spacing w:after="0"/>
              <w:rPr>
                <w:sz w:val="20"/>
                <w:szCs w:val="20"/>
                <w:color w:val="auto"/>
              </w:rPr>
            </w:pPr>
            <w:r>
              <w:rPr>
                <w:rFonts w:ascii="Arial" w:cs="Arial" w:eastAsia="Arial" w:hAnsi="Arial"/>
                <w:sz w:val="14"/>
                <w:szCs w:val="14"/>
                <w:color w:val="auto"/>
                <w:w w:val="88"/>
              </w:rPr>
              <w:t>FNF</w:t>
            </w:r>
          </w:p>
        </w:tc>
        <w:tc>
          <w:tcPr>
            <w:tcW w:w="2920" w:type="dxa"/>
            <w:vAlign w:val="bottom"/>
            <w:gridSpan w:val="3"/>
          </w:tcPr>
          <w:p>
            <w:pPr>
              <w:jc w:val="center"/>
              <w:ind w:right="200"/>
              <w:spacing w:after="0"/>
              <w:rPr>
                <w:sz w:val="20"/>
                <w:szCs w:val="20"/>
                <w:color w:val="auto"/>
              </w:rPr>
            </w:pPr>
            <w:r>
              <w:rPr>
                <w:rFonts w:ascii="Arial" w:cs="Arial" w:eastAsia="Arial" w:hAnsi="Arial"/>
                <w:sz w:val="14"/>
                <w:szCs w:val="14"/>
                <w:color w:val="auto"/>
                <w:w w:val="91"/>
              </w:rPr>
              <w:t>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1771650</wp:posOffset>
            </wp:positionH>
            <wp:positionV relativeFrom="paragraph">
              <wp:posOffset>90170</wp:posOffset>
            </wp:positionV>
            <wp:extent cx="36595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59505" cy="8255"/>
                    </a:xfrm>
                    <a:prstGeom prst="rect">
                      <a:avLst/>
                    </a:prstGeom>
                    <a:noFill/>
                  </pic:spPr>
                </pic:pic>
              </a:graphicData>
            </a:graphic>
          </wp:anchor>
        </w:drawing>
      </w:r>
    </w:p>
    <w:p>
      <w:pPr>
        <w:spacing w:after="0" w:line="235" w:lineRule="exact"/>
        <w:rPr>
          <w:sz w:val="24"/>
          <w:szCs w:val="24"/>
          <w:color w:val="auto"/>
        </w:rPr>
      </w:pPr>
    </w:p>
    <w:p>
      <w:pPr>
        <w:ind w:left="47"/>
        <w:spacing w:after="0" w:line="23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Arial" w:cs="Arial" w:eastAsia="Arial" w:hAnsi="Arial"/>
          <w:sz w:val="14"/>
          <w:szCs w:val="14"/>
          <w:color w:val="auto"/>
        </w:rPr>
        <w:t xml:space="preserve"> or No </w:t>
      </w:r>
      <w:r>
        <w:rPr>
          <w:rFonts w:ascii="MS PGothic" w:cs="MS PGothic" w:eastAsia="MS PGothic" w:hAnsi="MS PGothic"/>
          <w:sz w:val="21"/>
          <w:szCs w:val="21"/>
          <w:color w:val="auto"/>
        </w:rPr>
        <w:t>☐</w:t>
      </w:r>
    </w:p>
    <w:p>
      <w:pPr>
        <w:spacing w:after="0" w:line="49" w:lineRule="exact"/>
        <w:rPr>
          <w:sz w:val="24"/>
          <w:szCs w:val="24"/>
          <w:color w:val="auto"/>
        </w:rPr>
      </w:pPr>
    </w:p>
    <w:p>
      <w:pPr>
        <w:ind w:left="47"/>
        <w:spacing w:after="0" w:line="239" w:lineRule="exact"/>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w:t>
      </w:r>
      <w:r>
        <w:rPr>
          <w:rFonts w:ascii="Arial" w:cs="Arial" w:eastAsia="Arial" w:hAnsi="Arial"/>
          <w:sz w:val="15"/>
          <w:szCs w:val="15"/>
          <w:color w:val="auto"/>
        </w:rPr>
        <w:t>§</w:t>
      </w:r>
      <w:r>
        <w:rPr>
          <w:rFonts w:ascii="Arial" w:cs="Arial" w:eastAsia="Arial" w:hAnsi="Arial"/>
          <w:sz w:val="14"/>
          <w:szCs w:val="14"/>
          <w:color w:val="auto"/>
        </w:rPr>
        <w:t xml:space="preserve"> 232.405 of this chapter)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Arial" w:cs="Arial" w:eastAsia="Arial" w:hAnsi="Arial"/>
          <w:sz w:val="14"/>
          <w:szCs w:val="14"/>
          <w:color w:val="auto"/>
        </w:rPr>
        <w:t xml:space="preserve"> or No</w:t>
      </w:r>
      <w:r>
        <w:rPr>
          <w:rFonts w:ascii="MS PGothic" w:cs="MS PGothic" w:eastAsia="MS PGothic" w:hAnsi="MS PGothic"/>
          <w:sz w:val="14"/>
          <w:szCs w:val="14"/>
          <w:color w:val="auto"/>
        </w:rPr>
        <w:t>☐</w:t>
      </w:r>
    </w:p>
    <w:p>
      <w:pPr>
        <w:spacing w:after="0" w:line="42" w:lineRule="exact"/>
        <w:rPr>
          <w:sz w:val="24"/>
          <w:szCs w:val="24"/>
          <w:color w:val="auto"/>
        </w:rPr>
      </w:pPr>
    </w:p>
    <w:p>
      <w:pPr>
        <w:ind w:left="47"/>
        <w:spacing w:after="0" w:line="26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20955</wp:posOffset>
            </wp:positionH>
            <wp:positionV relativeFrom="paragraph">
              <wp:posOffset>594995</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87"/>
          </w:cols>
          <w:pgMar w:left="273" w:top="232" w:right="339" w:bottom="1440" w:gutter="0" w:footer="0" w:header="0"/>
        </w:sectPr>
      </w:pPr>
    </w:p>
    <w:bookmarkStart w:id="1" w:name="page2"/>
    <w:bookmarkEnd w:id="1"/>
    <w:p>
      <w:pPr>
        <w:spacing w:after="0" w:line="122" w:lineRule="exact"/>
        <w:rPr>
          <w:sz w:val="20"/>
          <w:szCs w:val="20"/>
          <w:color w:val="auto"/>
        </w:rPr>
      </w:pPr>
    </w:p>
    <w:p>
      <w:pPr>
        <w:ind w:left="760"/>
        <w:spacing w:after="0"/>
        <w:rPr>
          <w:sz w:val="20"/>
          <w:szCs w:val="20"/>
          <w:color w:val="auto"/>
        </w:rPr>
      </w:pPr>
      <w:r>
        <w:rPr>
          <w:rFonts w:ascii="Arial" w:cs="Arial" w:eastAsia="Arial" w:hAnsi="Arial"/>
          <w:sz w:val="12"/>
          <w:szCs w:val="12"/>
          <w:color w:val="auto"/>
        </w:rPr>
        <w:t>Large Accelerated Filer</w:t>
      </w:r>
    </w:p>
    <w:p>
      <w:pPr>
        <w:spacing w:after="0" w:line="217" w:lineRule="exact"/>
        <w:rPr>
          <w:sz w:val="20"/>
          <w:szCs w:val="20"/>
          <w:color w:val="auto"/>
        </w:rPr>
      </w:pPr>
    </w:p>
    <w:p>
      <w:pPr>
        <w:ind w:left="760"/>
        <w:spacing w:after="0"/>
        <w:rPr>
          <w:sz w:val="20"/>
          <w:szCs w:val="20"/>
          <w:color w:val="auto"/>
        </w:rPr>
      </w:pPr>
      <w:r>
        <w:rPr>
          <w:rFonts w:ascii="Arial" w:cs="Arial" w:eastAsia="Arial" w:hAnsi="Arial"/>
          <w:sz w:val="13"/>
          <w:szCs w:val="13"/>
          <w:color w:val="auto"/>
        </w:rPr>
        <w:t>Non-accelerated Filer</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r>
        <w:rPr>
          <w:rFonts w:ascii="MS PGothic" w:cs="MS PGothic" w:eastAsia="MS PGothic" w:hAnsi="MS PGothic"/>
          <w:sz w:val="21"/>
          <w:szCs w:val="21"/>
          <w:color w:val="auto"/>
        </w:rPr>
        <w:t>☒</w:t>
      </w:r>
    </w:p>
    <w:p>
      <w:pPr>
        <w:spacing w:after="0" w:line="145" w:lineRule="exact"/>
        <w:rPr>
          <w:sz w:val="20"/>
          <w:szCs w:val="20"/>
          <w:color w:val="auto"/>
        </w:rPr>
      </w:pPr>
    </w:p>
    <w:p>
      <w:pPr>
        <w:jc w:val="right"/>
        <w:spacing w:after="0" w:line="211" w:lineRule="exact"/>
        <w:rPr>
          <w:sz w:val="20"/>
          <w:szCs w:val="20"/>
          <w:color w:val="auto"/>
        </w:rPr>
      </w:pPr>
      <w:r>
        <w:rPr>
          <w:rFonts w:ascii="MS PGothic" w:cs="MS PGothic" w:eastAsia="MS PGothic" w:hAnsi="MS PGothic"/>
          <w:sz w:val="21"/>
          <w:szCs w:val="21"/>
          <w:color w:val="auto"/>
        </w:rPr>
        <w:t>☐</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color w:val="auto"/>
        </w:rPr>
        <w:t>Accelerated Filer</w:t>
      </w:r>
    </w:p>
    <w:p>
      <w:pPr>
        <w:spacing w:after="0" w:line="194" w:lineRule="exact"/>
        <w:rPr>
          <w:sz w:val="20"/>
          <w:szCs w:val="20"/>
          <w:color w:val="auto"/>
        </w:rPr>
      </w:pPr>
    </w:p>
    <w:p>
      <w:pPr>
        <w:spacing w:after="0"/>
        <w:rPr>
          <w:sz w:val="20"/>
          <w:szCs w:val="20"/>
          <w:color w:val="auto"/>
        </w:rPr>
      </w:pPr>
      <w:r>
        <w:rPr>
          <w:rFonts w:ascii="Arial" w:cs="Arial" w:eastAsia="Arial" w:hAnsi="Arial"/>
          <w:sz w:val="12"/>
          <w:szCs w:val="12"/>
          <w:color w:val="auto"/>
        </w:rPr>
        <w:t>Smaller reporting Company</w:t>
      </w:r>
    </w:p>
    <w:p>
      <w:pPr>
        <w:spacing w:after="0" w:line="217" w:lineRule="exact"/>
        <w:rPr>
          <w:sz w:val="20"/>
          <w:szCs w:val="20"/>
          <w:color w:val="auto"/>
        </w:rPr>
      </w:pPr>
    </w:p>
    <w:p>
      <w:pPr>
        <w:spacing w:after="0"/>
        <w:rPr>
          <w:sz w:val="20"/>
          <w:szCs w:val="20"/>
          <w:color w:val="auto"/>
        </w:rPr>
      </w:pPr>
      <w:r>
        <w:rPr>
          <w:rFonts w:ascii="Arial" w:cs="Arial" w:eastAsia="Arial" w:hAnsi="Arial"/>
          <w:sz w:val="13"/>
          <w:szCs w:val="13"/>
          <w:color w:val="auto"/>
        </w:rPr>
        <w:t>Emerging growth company</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175"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175"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18" w:lineRule="exact"/>
        <w:rPr>
          <w:sz w:val="20"/>
          <w:szCs w:val="20"/>
          <w:color w:val="auto"/>
        </w:rPr>
      </w:pPr>
    </w:p>
    <w:p>
      <w:pPr>
        <w:sectPr>
          <w:pgSz w:w="11900" w:h="16838" w:orient="portrait"/>
          <w:cols w:equalWidth="0" w:num="4">
            <w:col w:w="4020" w:space="720"/>
            <w:col w:w="220" w:space="700"/>
            <w:col w:w="3300" w:space="720"/>
            <w:col w:w="1280"/>
          </w:cols>
          <w:pgMar w:left="320" w:top="1249" w:right="619" w:bottom="1440" w:gutter="0" w:footer="0" w:header="0"/>
        </w:sectPr>
      </w:pPr>
    </w:p>
    <w:p>
      <w:pPr>
        <w:spacing w:after="0" w:line="23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11" w:lineRule="exact"/>
        <w:rPr>
          <w:sz w:val="20"/>
          <w:szCs w:val="20"/>
          <w:color w:val="auto"/>
        </w:rPr>
      </w:pPr>
    </w:p>
    <w:p>
      <w:pPr>
        <w:spacing w:after="0" w:line="230" w:lineRule="exact"/>
        <w:tabs>
          <w:tab w:leader="none" w:pos="7220" w:val="left"/>
        </w:tabs>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20"/>
          <w:szCs w:val="20"/>
          <w:color w:val="auto"/>
        </w:rPr>
        <w:t>☐</w:t>
      </w:r>
      <w:r>
        <w:rPr>
          <w:rFonts w:ascii="Arial" w:cs="Arial" w:eastAsia="Arial" w:hAnsi="Arial"/>
          <w:sz w:val="13"/>
          <w:szCs w:val="13"/>
          <w:color w:val="auto"/>
        </w:rPr>
        <w:t xml:space="preserve"> or</w:t>
        <w:tab/>
        <w:t xml:space="preserve">No </w:t>
      </w:r>
      <w:r>
        <w:rPr>
          <w:rFonts w:ascii="MS PGothic" w:cs="MS PGothic" w:eastAsia="MS PGothic" w:hAnsi="MS PGothic"/>
          <w:sz w:val="20"/>
          <w:szCs w:val="20"/>
          <w:color w:val="auto"/>
        </w:rPr>
        <w:t>☒</w:t>
      </w:r>
    </w:p>
    <w:p>
      <w:pPr>
        <w:spacing w:after="0" w:line="16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number of shares outstanding of the Registrant's common stock as of July 31, 2022 were:</w:t>
      </w:r>
    </w:p>
    <w:p>
      <w:pPr>
        <w:spacing w:after="0" w:line="109" w:lineRule="exact"/>
        <w:rPr>
          <w:sz w:val="20"/>
          <w:szCs w:val="20"/>
          <w:color w:val="auto"/>
        </w:rPr>
      </w:pPr>
    </w:p>
    <w:p>
      <w:pPr>
        <w:ind w:left="320"/>
        <w:spacing w:after="0"/>
        <w:tabs>
          <w:tab w:leader="none" w:pos="1940" w:val="left"/>
        </w:tabs>
        <w:rPr>
          <w:sz w:val="20"/>
          <w:szCs w:val="20"/>
          <w:color w:val="auto"/>
        </w:rPr>
      </w:pPr>
      <w:r>
        <w:rPr>
          <w:rFonts w:ascii="Arial" w:cs="Arial" w:eastAsia="Arial" w:hAnsi="Arial"/>
          <w:sz w:val="18"/>
          <w:szCs w:val="18"/>
          <w:color w:val="auto"/>
        </w:rPr>
        <w:t>FNF Common Stock</w:t>
      </w:r>
      <w:r>
        <w:rPr>
          <w:sz w:val="20"/>
          <w:szCs w:val="20"/>
          <w:color w:val="auto"/>
        </w:rPr>
        <w:tab/>
      </w:r>
      <w:r>
        <w:rPr>
          <w:rFonts w:ascii="Arial" w:cs="Arial" w:eastAsia="Arial" w:hAnsi="Arial"/>
          <w:sz w:val="15"/>
          <w:szCs w:val="15"/>
          <w:color w:val="auto"/>
        </w:rPr>
        <w:t>276,317,189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782955</wp:posOffset>
            </wp:positionV>
            <wp:extent cx="716089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118745</wp:posOffset>
            </wp:positionV>
            <wp:extent cx="71354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549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85090</wp:posOffset>
            </wp:positionV>
            <wp:extent cx="71354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ectPr>
          <w:pgSz w:w="11900" w:h="16838" w:orient="portrait"/>
          <w:cols w:equalWidth="0" w:num="1">
            <w:col w:w="10960"/>
          </w:cols>
          <w:pgMar w:left="320" w:top="1249" w:right="619" w:bottom="1440" w:gutter="0" w:footer="0" w:header="0"/>
          <w:type w:val="continuous"/>
        </w:sectPr>
      </w:pPr>
    </w:p>
    <w:bookmarkStart w:id="2" w:name="page3"/>
    <w:bookmarkEnd w:id="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00" w:type="dxa"/>
            <w:vAlign w:val="bottom"/>
            <w:gridSpan w:val="3"/>
          </w:tcPr>
          <w:p>
            <w:pPr>
              <w:jc w:val="center"/>
              <w:ind w:right="2300"/>
              <w:spacing w:after="0"/>
              <w:rPr>
                <w:sz w:val="20"/>
                <w:szCs w:val="20"/>
                <w:color w:val="auto"/>
              </w:rPr>
            </w:pPr>
            <w:r>
              <w:rPr>
                <w:rFonts w:ascii="Arial" w:cs="Arial" w:eastAsia="Arial" w:hAnsi="Arial"/>
                <w:sz w:val="18"/>
                <w:szCs w:val="18"/>
                <w:b w:val="1"/>
                <w:bCs w:val="1"/>
                <w:color w:val="auto"/>
                <w:w w:val="97"/>
              </w:rPr>
              <w:t>FORM 10-Q</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100" w:type="dxa"/>
            <w:vAlign w:val="bottom"/>
            <w:gridSpan w:val="6"/>
          </w:tcPr>
          <w:p>
            <w:pPr>
              <w:jc w:val="center"/>
              <w:ind w:right="2080"/>
              <w:spacing w:after="0"/>
              <w:rPr>
                <w:sz w:val="20"/>
                <w:szCs w:val="20"/>
                <w:color w:val="auto"/>
              </w:rPr>
            </w:pPr>
            <w:r>
              <w:rPr>
                <w:rFonts w:ascii="Arial" w:cs="Arial" w:eastAsia="Arial" w:hAnsi="Arial"/>
                <w:sz w:val="18"/>
                <w:szCs w:val="18"/>
                <w:b w:val="1"/>
                <w:bCs w:val="1"/>
                <w:color w:val="auto"/>
                <w:w w:val="96"/>
              </w:rPr>
              <w:t>QUARTERLY REPORT</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300" w:type="dxa"/>
            <w:vAlign w:val="bottom"/>
            <w:gridSpan w:val="7"/>
          </w:tcPr>
          <w:p>
            <w:pPr>
              <w:jc w:val="center"/>
              <w:ind w:right="1900"/>
              <w:spacing w:after="0"/>
              <w:rPr>
                <w:sz w:val="20"/>
                <w:szCs w:val="20"/>
                <w:color w:val="auto"/>
              </w:rPr>
            </w:pPr>
            <w:r>
              <w:rPr>
                <w:rFonts w:ascii="Arial" w:cs="Arial" w:eastAsia="Arial" w:hAnsi="Arial"/>
                <w:sz w:val="18"/>
                <w:szCs w:val="18"/>
                <w:b w:val="1"/>
                <w:bCs w:val="1"/>
                <w:color w:val="auto"/>
                <w:w w:val="89"/>
              </w:rPr>
              <w:t>Quarter Ended June 30, 2022</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100" w:type="dxa"/>
            <w:vAlign w:val="bottom"/>
            <w:gridSpan w:val="6"/>
          </w:tcPr>
          <w:p>
            <w:pPr>
              <w:jc w:val="center"/>
              <w:ind w:right="2100"/>
              <w:spacing w:after="0"/>
              <w:rPr>
                <w:sz w:val="20"/>
                <w:szCs w:val="20"/>
                <w:color w:val="auto"/>
              </w:rPr>
            </w:pPr>
            <w:r>
              <w:rPr>
                <w:rFonts w:ascii="Arial" w:cs="Arial" w:eastAsia="Arial" w:hAnsi="Arial"/>
                <w:sz w:val="18"/>
                <w:szCs w:val="18"/>
                <w:b w:val="1"/>
                <w:bCs w:val="1"/>
                <w:color w:val="auto"/>
                <w:w w:val="96"/>
              </w:rPr>
              <w:t>TABLE OF CONTENTS</w:t>
            </w:r>
          </w:p>
        </w:tc>
        <w:tc>
          <w:tcPr>
            <w:tcW w:w="1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160" w:type="dxa"/>
            <w:vAlign w:val="bottom"/>
            <w:gridSpan w:val="3"/>
          </w:tcPr>
          <w:p>
            <w:pPr>
              <w:ind w:left="186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40" w:type="dxa"/>
            <w:vAlign w:val="bottom"/>
            <w:gridSpan w:val="11"/>
          </w:tcPr>
          <w:p>
            <w:pPr>
              <w:jc w:val="center"/>
              <w:ind w:right="780"/>
              <w:spacing w:after="0"/>
              <w:rPr>
                <w:sz w:val="20"/>
                <w:szCs w:val="20"/>
                <w:color w:val="auto"/>
              </w:rPr>
            </w:pPr>
            <w:r>
              <w:rPr>
                <w:rFonts w:ascii="Arial" w:cs="Arial" w:eastAsia="Arial" w:hAnsi="Arial"/>
                <w:sz w:val="18"/>
                <w:szCs w:val="18"/>
                <w:b w:val="1"/>
                <w:bCs w:val="1"/>
                <w:color w:val="auto"/>
                <w:w w:val="99"/>
              </w:rPr>
              <w:t>PART I. FINANCIAL INFORMATION</w:t>
            </w:r>
          </w:p>
        </w:tc>
        <w:tc>
          <w:tcPr>
            <w:tcW w:w="1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3860" w:type="dxa"/>
            <w:vAlign w:val="bottom"/>
            <w:tcBorders>
              <w:bottom w:val="single" w:sz="8" w:color="0000FF"/>
            </w:tcBorders>
            <w:gridSpan w:val="8"/>
          </w:tcPr>
          <w:p>
            <w:pPr>
              <w:spacing w:after="0" w:line="165" w:lineRule="exact"/>
              <w:rPr>
                <w:rFonts w:ascii="Arial" w:cs="Arial" w:eastAsia="Arial" w:hAnsi="Arial"/>
                <w:sz w:val="18"/>
                <w:szCs w:val="18"/>
                <w:color w:val="0000FF"/>
                <w:w w:val="87"/>
              </w:rPr>
            </w:pPr>
            <w:hyperlink w:anchor="page4">
              <w:r>
                <w:rPr>
                  <w:rFonts w:ascii="Arial" w:cs="Arial" w:eastAsia="Arial" w:hAnsi="Arial"/>
                  <w:sz w:val="18"/>
                  <w:szCs w:val="18"/>
                  <w:color w:val="0000FF"/>
                  <w:w w:val="87"/>
                </w:rPr>
                <w:t>Item 1. Condensed Consolidated Financial Statements:</w:t>
              </w:r>
            </w:hyperlink>
          </w:p>
        </w:tc>
        <w:tc>
          <w:tcPr>
            <w:tcW w:w="4840" w:type="dxa"/>
            <w:vAlign w:val="bottom"/>
            <w:gridSpan w:val="9"/>
          </w:tcPr>
          <w:p>
            <w:pPr>
              <w:spacing w:after="0"/>
              <w:rPr>
                <w:sz w:val="17"/>
                <w:szCs w:val="17"/>
                <w:color w:val="auto"/>
              </w:rPr>
            </w:pPr>
          </w:p>
        </w:tc>
        <w:tc>
          <w:tcPr>
            <w:tcW w:w="1960" w:type="dxa"/>
            <w:vAlign w:val="bottom"/>
          </w:tcPr>
          <w:p>
            <w:pPr>
              <w:spacing w:after="0"/>
              <w:rPr>
                <w:sz w:val="17"/>
                <w:szCs w:val="17"/>
                <w:color w:val="auto"/>
              </w:rPr>
            </w:pPr>
          </w:p>
        </w:tc>
        <w:tc>
          <w:tcPr>
            <w:tcW w:w="140" w:type="dxa"/>
            <w:vAlign w:val="bottom"/>
            <w:tcBorders>
              <w:bottom w:val="single" w:sz="8" w:color="0E32E1"/>
            </w:tcBorders>
          </w:tcPr>
          <w:p>
            <w:pPr>
              <w:jc w:val="center"/>
              <w:spacing w:after="0" w:line="165" w:lineRule="exact"/>
              <w:rPr>
                <w:sz w:val="20"/>
                <w:szCs w:val="20"/>
                <w:color w:val="auto"/>
              </w:rPr>
            </w:pPr>
            <w:r>
              <w:rPr>
                <w:rFonts w:ascii="Arial" w:cs="Arial" w:eastAsia="Arial" w:hAnsi="Arial"/>
                <w:sz w:val="18"/>
                <w:szCs w:val="18"/>
                <w:color w:val="0E32E1"/>
                <w:w w:val="99"/>
              </w:rPr>
              <w:t>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20" w:type="dxa"/>
            <w:vAlign w:val="bottom"/>
            <w:tcBorders>
              <w:bottom w:val="single" w:sz="8" w:color="0000FF"/>
            </w:tcBorders>
            <w:gridSpan w:val="5"/>
          </w:tcPr>
          <w:p>
            <w:pPr>
              <w:spacing w:after="0" w:line="190" w:lineRule="exact"/>
              <w:rPr>
                <w:rFonts w:ascii="Arial" w:cs="Arial" w:eastAsia="Arial" w:hAnsi="Arial"/>
                <w:sz w:val="18"/>
                <w:szCs w:val="18"/>
                <w:color w:val="0000FF"/>
                <w:w w:val="86"/>
              </w:rPr>
            </w:pPr>
            <w:hyperlink w:anchor="page4">
              <w:r>
                <w:rPr>
                  <w:rFonts w:ascii="Arial" w:cs="Arial" w:eastAsia="Arial" w:hAnsi="Arial"/>
                  <w:sz w:val="18"/>
                  <w:szCs w:val="18"/>
                  <w:color w:val="0000FF"/>
                  <w:w w:val="86"/>
                </w:rPr>
                <w:t>Condensed Consolidated Balance Sheets (unaudited)</w:t>
              </w:r>
            </w:hyperlink>
          </w:p>
        </w:tc>
        <w:tc>
          <w:tcPr>
            <w:tcW w:w="4860" w:type="dxa"/>
            <w:vAlign w:val="bottom"/>
            <w:gridSpan w:val="10"/>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Borders>
              <w:bottom w:val="single" w:sz="8" w:color="0E32E1"/>
            </w:tcBorders>
          </w:tcPr>
          <w:p>
            <w:pPr>
              <w:jc w:val="center"/>
              <w:spacing w:after="0" w:line="183" w:lineRule="exact"/>
              <w:rPr>
                <w:sz w:val="20"/>
                <w:szCs w:val="20"/>
                <w:color w:val="auto"/>
              </w:rPr>
            </w:pPr>
            <w:r>
              <w:rPr>
                <w:rFonts w:ascii="Arial" w:cs="Arial" w:eastAsia="Arial" w:hAnsi="Arial"/>
                <w:sz w:val="18"/>
                <w:szCs w:val="18"/>
                <w:color w:val="0E32E1"/>
                <w:w w:val="99"/>
              </w:rPr>
              <w:t>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80" w:type="dxa"/>
            <w:vAlign w:val="bottom"/>
            <w:tcBorders>
              <w:bottom w:val="single" w:sz="8" w:color="0000FF"/>
            </w:tcBorders>
            <w:gridSpan w:val="8"/>
          </w:tcPr>
          <w:p>
            <w:pPr>
              <w:spacing w:after="0" w:line="190" w:lineRule="exact"/>
              <w:rPr>
                <w:rFonts w:ascii="Arial" w:cs="Arial" w:eastAsia="Arial" w:hAnsi="Arial"/>
                <w:sz w:val="18"/>
                <w:szCs w:val="18"/>
                <w:color w:val="0000FF"/>
                <w:w w:val="86"/>
              </w:rPr>
            </w:pPr>
            <w:hyperlink w:anchor="page5">
              <w:r>
                <w:rPr>
                  <w:rFonts w:ascii="Arial" w:cs="Arial" w:eastAsia="Arial" w:hAnsi="Arial"/>
                  <w:sz w:val="18"/>
                  <w:szCs w:val="18"/>
                  <w:color w:val="0000FF"/>
                  <w:w w:val="86"/>
                </w:rPr>
                <w:t>Condensed Consolidated Statements of Earnings (unaudited)</w:t>
              </w:r>
            </w:hyperlink>
          </w:p>
        </w:tc>
        <w:tc>
          <w:tcPr>
            <w:tcW w:w="4300" w:type="dxa"/>
            <w:vAlign w:val="bottom"/>
            <w:gridSpan w:val="7"/>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Borders>
              <w:bottom w:val="single" w:sz="8" w:color="0E32E1"/>
            </w:tcBorders>
          </w:tcPr>
          <w:p>
            <w:pPr>
              <w:jc w:val="center"/>
              <w:spacing w:after="0" w:line="183" w:lineRule="exact"/>
              <w:rPr>
                <w:sz w:val="20"/>
                <w:szCs w:val="20"/>
                <w:color w:val="auto"/>
              </w:rPr>
            </w:pPr>
            <w:r>
              <w:rPr>
                <w:rFonts w:ascii="Arial" w:cs="Arial" w:eastAsia="Arial" w:hAnsi="Arial"/>
                <w:sz w:val="18"/>
                <w:szCs w:val="18"/>
                <w:color w:val="0E32E1"/>
                <w:w w:val="99"/>
              </w:rPr>
              <w:t>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20" w:type="dxa"/>
            <w:vAlign w:val="bottom"/>
            <w:tcBorders>
              <w:bottom w:val="single" w:sz="8" w:color="0000FF"/>
            </w:tcBorders>
            <w:gridSpan w:val="13"/>
          </w:tcPr>
          <w:p>
            <w:pPr>
              <w:spacing w:after="0" w:line="190" w:lineRule="exact"/>
              <w:rPr>
                <w:rFonts w:ascii="Arial" w:cs="Arial" w:eastAsia="Arial" w:hAnsi="Arial"/>
                <w:sz w:val="18"/>
                <w:szCs w:val="18"/>
                <w:color w:val="0000FF"/>
                <w:w w:val="86"/>
              </w:rPr>
            </w:pPr>
            <w:hyperlink w:anchor="page6">
              <w:r>
                <w:rPr>
                  <w:rFonts w:ascii="Arial" w:cs="Arial" w:eastAsia="Arial" w:hAnsi="Arial"/>
                  <w:sz w:val="18"/>
                  <w:szCs w:val="18"/>
                  <w:color w:val="0000FF"/>
                  <w:w w:val="86"/>
                </w:rPr>
                <w:t>Condensed Consolidated Statements of Comprehensive Earnings (unaudited)</w:t>
              </w:r>
            </w:hyperlink>
          </w:p>
        </w:tc>
        <w:tc>
          <w:tcPr>
            <w:tcW w:w="3160" w:type="dxa"/>
            <w:vAlign w:val="bottom"/>
            <w:gridSpan w:val="2"/>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Borders>
              <w:bottom w:val="single" w:sz="8" w:color="0E32E1"/>
            </w:tcBorders>
          </w:tcPr>
          <w:p>
            <w:pPr>
              <w:jc w:val="center"/>
              <w:spacing w:after="0" w:line="183" w:lineRule="exact"/>
              <w:rPr>
                <w:sz w:val="20"/>
                <w:szCs w:val="20"/>
                <w:color w:val="auto"/>
              </w:rPr>
            </w:pPr>
            <w:r>
              <w:rPr>
                <w:rFonts w:ascii="Arial" w:cs="Arial" w:eastAsia="Arial" w:hAnsi="Arial"/>
                <w:sz w:val="18"/>
                <w:szCs w:val="18"/>
                <w:color w:val="0E32E1"/>
                <w:w w:val="99"/>
              </w:rPr>
              <w:t>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20" w:type="dxa"/>
            <w:vAlign w:val="bottom"/>
            <w:tcBorders>
              <w:bottom w:val="single" w:sz="8" w:color="0000FF"/>
            </w:tcBorders>
            <w:gridSpan w:val="7"/>
          </w:tcPr>
          <w:p>
            <w:pPr>
              <w:spacing w:after="0" w:line="190" w:lineRule="exact"/>
              <w:rPr>
                <w:rFonts w:ascii="Arial" w:cs="Arial" w:eastAsia="Arial" w:hAnsi="Arial"/>
                <w:sz w:val="18"/>
                <w:szCs w:val="18"/>
                <w:color w:val="0000FF"/>
                <w:w w:val="87"/>
              </w:rPr>
            </w:pPr>
            <w:hyperlink w:anchor="page8">
              <w:r>
                <w:rPr>
                  <w:rFonts w:ascii="Arial" w:cs="Arial" w:eastAsia="Arial" w:hAnsi="Arial"/>
                  <w:sz w:val="18"/>
                  <w:szCs w:val="18"/>
                  <w:color w:val="0000FF"/>
                  <w:w w:val="87"/>
                </w:rPr>
                <w:t>Condensed Consolidated Statements of Equity (unaudited)</w:t>
              </w:r>
            </w:hyperlink>
          </w:p>
        </w:tc>
        <w:tc>
          <w:tcPr>
            <w:tcW w:w="4460" w:type="dxa"/>
            <w:vAlign w:val="bottom"/>
            <w:gridSpan w:val="8"/>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Borders>
              <w:bottom w:val="single" w:sz="8" w:color="0E32E1"/>
            </w:tcBorders>
          </w:tcPr>
          <w:p>
            <w:pPr>
              <w:jc w:val="center"/>
              <w:spacing w:after="0" w:line="183" w:lineRule="exact"/>
              <w:rPr>
                <w:sz w:val="20"/>
                <w:szCs w:val="20"/>
                <w:color w:val="auto"/>
              </w:rPr>
            </w:pPr>
            <w:r>
              <w:rPr>
                <w:rFonts w:ascii="Arial" w:cs="Arial" w:eastAsia="Arial" w:hAnsi="Arial"/>
                <w:sz w:val="18"/>
                <w:szCs w:val="18"/>
                <w:color w:val="0E32E1"/>
                <w:w w:val="99"/>
              </w:rPr>
              <w:t>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80" w:type="dxa"/>
            <w:vAlign w:val="bottom"/>
            <w:tcBorders>
              <w:bottom w:val="single" w:sz="8" w:color="0000FF"/>
            </w:tcBorders>
            <w:gridSpan w:val="9"/>
          </w:tcPr>
          <w:p>
            <w:pPr>
              <w:spacing w:after="0" w:line="190" w:lineRule="exact"/>
              <w:rPr>
                <w:rFonts w:ascii="Arial" w:cs="Arial" w:eastAsia="Arial" w:hAnsi="Arial"/>
                <w:sz w:val="18"/>
                <w:szCs w:val="18"/>
                <w:color w:val="0000FF"/>
                <w:w w:val="86"/>
              </w:rPr>
            </w:pPr>
            <w:hyperlink w:anchor="page9">
              <w:r>
                <w:rPr>
                  <w:rFonts w:ascii="Arial" w:cs="Arial" w:eastAsia="Arial" w:hAnsi="Arial"/>
                  <w:sz w:val="18"/>
                  <w:szCs w:val="18"/>
                  <w:color w:val="0000FF"/>
                  <w:w w:val="86"/>
                </w:rPr>
                <w:t>Condensed Consolidated Statements of Cash Flows (unaudited)</w:t>
              </w:r>
            </w:hyperlink>
          </w:p>
        </w:tc>
        <w:tc>
          <w:tcPr>
            <w:tcW w:w="4100" w:type="dxa"/>
            <w:vAlign w:val="bottom"/>
            <w:gridSpan w:val="6"/>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Borders>
              <w:bottom w:val="single" w:sz="8" w:color="0E32E1"/>
            </w:tcBorders>
          </w:tcPr>
          <w:p>
            <w:pPr>
              <w:jc w:val="center"/>
              <w:spacing w:after="0" w:line="183" w:lineRule="exact"/>
              <w:rPr>
                <w:sz w:val="20"/>
                <w:szCs w:val="20"/>
                <w:color w:val="auto"/>
              </w:rPr>
            </w:pPr>
            <w:r>
              <w:rPr>
                <w:rFonts w:ascii="Arial" w:cs="Arial" w:eastAsia="Arial" w:hAnsi="Arial"/>
                <w:sz w:val="18"/>
                <w:szCs w:val="18"/>
                <w:color w:val="0E32E1"/>
                <w:w w:val="99"/>
              </w:rPr>
              <w:t>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80" w:type="dxa"/>
            <w:vAlign w:val="bottom"/>
            <w:tcBorders>
              <w:bottom w:val="single" w:sz="8" w:color="0000FF"/>
            </w:tcBorders>
            <w:gridSpan w:val="12"/>
          </w:tcPr>
          <w:p>
            <w:pPr>
              <w:spacing w:after="0" w:line="190" w:lineRule="exact"/>
              <w:rPr>
                <w:rFonts w:ascii="Arial" w:cs="Arial" w:eastAsia="Arial" w:hAnsi="Arial"/>
                <w:sz w:val="18"/>
                <w:szCs w:val="18"/>
                <w:color w:val="0000FF"/>
                <w:w w:val="87"/>
              </w:rPr>
            </w:pPr>
            <w:hyperlink w:anchor="page10">
              <w:r>
                <w:rPr>
                  <w:rFonts w:ascii="Arial" w:cs="Arial" w:eastAsia="Arial" w:hAnsi="Arial"/>
                  <w:sz w:val="18"/>
                  <w:szCs w:val="18"/>
                  <w:color w:val="0000FF"/>
                  <w:w w:val="87"/>
                </w:rPr>
                <w:t>Notes to Unaudited Condensed Consolidated Financial Statements</w:t>
              </w:r>
            </w:hyperlink>
          </w:p>
        </w:tc>
        <w:tc>
          <w:tcPr>
            <w:tcW w:w="3900" w:type="dxa"/>
            <w:vAlign w:val="bottom"/>
            <w:gridSpan w:val="3"/>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Borders>
              <w:bottom w:val="single" w:sz="8" w:color="0E32E1"/>
            </w:tcBorders>
          </w:tcPr>
          <w:p>
            <w:pPr>
              <w:jc w:val="center"/>
              <w:spacing w:after="0" w:line="183" w:lineRule="exact"/>
              <w:rPr>
                <w:sz w:val="20"/>
                <w:szCs w:val="20"/>
                <w:color w:val="auto"/>
              </w:rPr>
            </w:pPr>
            <w:r>
              <w:rPr>
                <w:rFonts w:ascii="Arial" w:cs="Arial" w:eastAsia="Arial" w:hAnsi="Arial"/>
                <w:sz w:val="18"/>
                <w:szCs w:val="18"/>
                <w:color w:val="0E32E1"/>
                <w:w w:val="99"/>
              </w:rPr>
              <w:t>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820" w:type="dxa"/>
            <w:vAlign w:val="bottom"/>
            <w:tcBorders>
              <w:bottom w:val="single" w:sz="8" w:color="0000FF"/>
            </w:tcBorders>
            <w:gridSpan w:val="16"/>
          </w:tcPr>
          <w:p>
            <w:pPr>
              <w:spacing w:after="0" w:line="190" w:lineRule="exact"/>
              <w:rPr>
                <w:rFonts w:ascii="Arial" w:cs="Arial" w:eastAsia="Arial" w:hAnsi="Arial"/>
                <w:sz w:val="18"/>
                <w:szCs w:val="18"/>
                <w:color w:val="0000FF"/>
                <w:w w:val="88"/>
              </w:rPr>
            </w:pPr>
            <w:hyperlink w:anchor="page52">
              <w:r>
                <w:rPr>
                  <w:rFonts w:ascii="Arial" w:cs="Arial" w:eastAsia="Arial" w:hAnsi="Arial"/>
                  <w:sz w:val="18"/>
                  <w:szCs w:val="18"/>
                  <w:color w:val="0000FF"/>
                  <w:w w:val="88"/>
                </w:rPr>
                <w:t>Item 2. Management's Discussion and Analysis of Financial Condition and Results of Operations</w:t>
              </w:r>
            </w:hyperlink>
          </w:p>
        </w:tc>
        <w:tc>
          <w:tcPr>
            <w:tcW w:w="18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40" w:type="dxa"/>
            <w:vAlign w:val="bottom"/>
            <w:tcBorders>
              <w:bottom w:val="single" w:sz="8" w:color="0E32E1"/>
            </w:tcBorders>
          </w:tcPr>
          <w:p>
            <w:pPr>
              <w:jc w:val="center"/>
              <w:spacing w:after="0"/>
              <w:rPr>
                <w:sz w:val="20"/>
                <w:szCs w:val="20"/>
                <w:color w:val="auto"/>
              </w:rPr>
            </w:pPr>
            <w:r>
              <w:rPr>
                <w:rFonts w:ascii="Arial" w:cs="Arial" w:eastAsia="Arial" w:hAnsi="Arial"/>
                <w:sz w:val="16"/>
                <w:szCs w:val="16"/>
                <w:color w:val="0E32E1"/>
                <w:w w:val="78"/>
              </w:rPr>
              <w:t>51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740" w:type="dxa"/>
            <w:vAlign w:val="bottom"/>
            <w:tcBorders>
              <w:bottom w:val="single" w:sz="8" w:color="0E32E1"/>
            </w:tcBorders>
            <w:gridSpan w:val="11"/>
          </w:tcPr>
          <w:p>
            <w:pPr>
              <w:spacing w:after="0"/>
              <w:rPr>
                <w:rFonts w:ascii="Arial" w:cs="Arial" w:eastAsia="Arial" w:hAnsi="Arial"/>
                <w:sz w:val="18"/>
                <w:szCs w:val="18"/>
                <w:color w:val="0E32E1"/>
                <w:w w:val="89"/>
              </w:rPr>
            </w:pPr>
            <w:hyperlink w:anchor="page84">
              <w:r>
                <w:rPr>
                  <w:rFonts w:ascii="Arial" w:cs="Arial" w:eastAsia="Arial" w:hAnsi="Arial"/>
                  <w:sz w:val="18"/>
                  <w:szCs w:val="18"/>
                  <w:color w:val="0E32E1"/>
                  <w:w w:val="89"/>
                </w:rPr>
                <w:t>Item 3. Quantitative and Qualitative Disclosures about Market Risk</w:t>
              </w:r>
            </w:hyperlink>
          </w:p>
        </w:tc>
        <w:tc>
          <w:tcPr>
            <w:tcW w:w="3940" w:type="dxa"/>
            <w:vAlign w:val="bottom"/>
            <w:gridSpan w:val="5"/>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Borders>
              <w:bottom w:val="single" w:sz="8" w:color="0E32E1"/>
            </w:tcBorders>
          </w:tcPr>
          <w:p>
            <w:pPr>
              <w:jc w:val="center"/>
              <w:spacing w:after="0"/>
              <w:rPr>
                <w:sz w:val="20"/>
                <w:szCs w:val="20"/>
                <w:color w:val="auto"/>
              </w:rPr>
            </w:pPr>
            <w:r>
              <w:rPr>
                <w:rFonts w:ascii="Arial" w:cs="Arial" w:eastAsia="Arial" w:hAnsi="Arial"/>
                <w:sz w:val="16"/>
                <w:szCs w:val="16"/>
                <w:color w:val="0E32E1"/>
                <w:w w:val="78"/>
              </w:rPr>
              <w:t>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700" w:type="dxa"/>
            <w:vAlign w:val="bottom"/>
            <w:gridSpan w:val="17"/>
          </w:tcPr>
          <w:p>
            <w:pPr>
              <w:spacing w:after="0" w:line="204" w:lineRule="exact"/>
              <w:rPr>
                <w:rFonts w:ascii="Arial" w:cs="Arial" w:eastAsia="Arial" w:hAnsi="Arial"/>
                <w:sz w:val="18"/>
                <w:szCs w:val="18"/>
                <w:color w:val="0000FF"/>
              </w:rPr>
            </w:pPr>
            <w:hyperlink w:anchor="page84">
              <w:r>
                <w:rPr>
                  <w:rFonts w:ascii="Arial" w:cs="Arial" w:eastAsia="Arial" w:hAnsi="Arial"/>
                  <w:sz w:val="18"/>
                  <w:szCs w:val="18"/>
                  <w:color w:val="0000FF"/>
                </w:rPr>
                <w:t>Item 4. Controls and Procedures</w:t>
              </w:r>
            </w:hyperlink>
          </w:p>
        </w:tc>
        <w:tc>
          <w:tcPr>
            <w:tcW w:w="2160" w:type="dxa"/>
            <w:vAlign w:val="bottom"/>
            <w:gridSpan w:val="3"/>
          </w:tcPr>
          <w:p>
            <w:pPr>
              <w:jc w:val="center"/>
              <w:ind w:left="1777"/>
              <w:spacing w:after="0" w:line="204" w:lineRule="exact"/>
              <w:rPr>
                <w:sz w:val="20"/>
                <w:szCs w:val="20"/>
                <w:color w:val="auto"/>
              </w:rPr>
            </w:pPr>
            <w:r>
              <w:rPr>
                <w:rFonts w:ascii="Arial" w:cs="Arial" w:eastAsia="Arial" w:hAnsi="Arial"/>
                <w:sz w:val="18"/>
                <w:szCs w:val="18"/>
                <w:color w:val="0E32E1"/>
                <w:w w:val="89"/>
              </w:rPr>
              <w:t>82</w:t>
            </w:r>
          </w:p>
        </w:tc>
        <w:tc>
          <w:tcPr>
            <w:tcW w:w="0" w:type="dxa"/>
            <w:vAlign w:val="bottom"/>
          </w:tcPr>
          <w:p>
            <w:pPr>
              <w:spacing w:after="0"/>
              <w:rPr>
                <w:sz w:val="1"/>
                <w:szCs w:val="1"/>
                <w:color w:val="auto"/>
              </w:rPr>
            </w:pPr>
          </w:p>
        </w:tc>
      </w:tr>
      <w:tr>
        <w:trPr>
          <w:trHeight w:val="506"/>
        </w:trPr>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6440" w:type="dxa"/>
            <w:vAlign w:val="bottom"/>
            <w:gridSpan w:val="11"/>
          </w:tcPr>
          <w:p>
            <w:pPr>
              <w:jc w:val="center"/>
              <w:ind w:right="780"/>
              <w:spacing w:after="0"/>
              <w:rPr>
                <w:sz w:val="20"/>
                <w:szCs w:val="20"/>
                <w:color w:val="auto"/>
              </w:rPr>
            </w:pPr>
            <w:r>
              <w:rPr>
                <w:rFonts w:ascii="Arial" w:cs="Arial" w:eastAsia="Arial" w:hAnsi="Arial"/>
                <w:sz w:val="18"/>
                <w:szCs w:val="18"/>
                <w:b w:val="1"/>
                <w:bCs w:val="1"/>
                <w:color w:val="auto"/>
              </w:rPr>
              <w:t>PART II. OTHER INFORMATION</w:t>
            </w:r>
          </w:p>
        </w:tc>
        <w:tc>
          <w:tcPr>
            <w:tcW w:w="1960" w:type="dxa"/>
            <w:vAlign w:val="bottom"/>
          </w:tcPr>
          <w:p>
            <w:pPr>
              <w:spacing w:after="0"/>
              <w:rPr>
                <w:sz w:val="24"/>
                <w:szCs w:val="24"/>
                <w:color w:val="auto"/>
              </w:rPr>
            </w:pPr>
          </w:p>
        </w:tc>
        <w:tc>
          <w:tcPr>
            <w:tcW w:w="140" w:type="dxa"/>
            <w:vAlign w:val="bottom"/>
            <w:tcBorders>
              <w:top w:val="single" w:sz="8" w:color="0E32E1"/>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8700" w:type="dxa"/>
            <w:vAlign w:val="bottom"/>
            <w:gridSpan w:val="17"/>
          </w:tcPr>
          <w:p>
            <w:pPr>
              <w:spacing w:after="0" w:line="165" w:lineRule="exact"/>
              <w:rPr>
                <w:rFonts w:ascii="Arial" w:cs="Arial" w:eastAsia="Arial" w:hAnsi="Arial"/>
                <w:sz w:val="18"/>
                <w:szCs w:val="18"/>
                <w:color w:val="0000FF"/>
              </w:rPr>
            </w:pPr>
            <w:hyperlink w:anchor="page86">
              <w:r>
                <w:rPr>
                  <w:rFonts w:ascii="Arial" w:cs="Arial" w:eastAsia="Arial" w:hAnsi="Arial"/>
                  <w:sz w:val="18"/>
                  <w:szCs w:val="18"/>
                  <w:color w:val="0000FF"/>
                </w:rPr>
                <w:t>Item 1. Legal Proceedings</w:t>
              </w:r>
            </w:hyperlink>
          </w:p>
        </w:tc>
        <w:tc>
          <w:tcPr>
            <w:tcW w:w="2160" w:type="dxa"/>
            <w:vAlign w:val="bottom"/>
            <w:gridSpan w:val="3"/>
          </w:tcPr>
          <w:p>
            <w:pPr>
              <w:jc w:val="center"/>
              <w:ind w:left="1777"/>
              <w:spacing w:after="0" w:line="165" w:lineRule="exact"/>
              <w:rPr>
                <w:sz w:val="20"/>
                <w:szCs w:val="20"/>
                <w:color w:val="auto"/>
              </w:rPr>
            </w:pPr>
            <w:r>
              <w:rPr>
                <w:rFonts w:ascii="Arial" w:cs="Arial" w:eastAsia="Arial" w:hAnsi="Arial"/>
                <w:sz w:val="18"/>
                <w:szCs w:val="18"/>
                <w:color w:val="0E32E1"/>
                <w:w w:val="89"/>
              </w:rPr>
              <w:t>84</w:t>
            </w:r>
          </w:p>
        </w:tc>
        <w:tc>
          <w:tcPr>
            <w:tcW w:w="0" w:type="dxa"/>
            <w:vAlign w:val="bottom"/>
          </w:tcPr>
          <w:p>
            <w:pPr>
              <w:spacing w:after="0"/>
              <w:rPr>
                <w:sz w:val="1"/>
                <w:szCs w:val="1"/>
                <w:color w:val="auto"/>
              </w:rPr>
            </w:pPr>
          </w:p>
        </w:tc>
      </w:tr>
      <w:tr>
        <w:trPr>
          <w:trHeight w:val="20"/>
        </w:trPr>
        <w:tc>
          <w:tcPr>
            <w:tcW w:w="20" w:type="dxa"/>
            <w:vAlign w:val="bottom"/>
            <w:tcBorders>
              <w:top w:val="single" w:sz="8" w:color="0000FF"/>
            </w:tcBorders>
            <w:shd w:val="clear" w:color="auto" w:fill="0000FF"/>
          </w:tcPr>
          <w:p>
            <w:pPr>
              <w:spacing w:after="0" w:line="20" w:lineRule="exact"/>
              <w:rPr>
                <w:sz w:val="1"/>
                <w:szCs w:val="1"/>
                <w:color w:val="auto"/>
              </w:rPr>
            </w:pPr>
          </w:p>
        </w:tc>
        <w:tc>
          <w:tcPr>
            <w:tcW w:w="100" w:type="dxa"/>
            <w:vAlign w:val="bottom"/>
            <w:tcBorders>
              <w:top w:val="single" w:sz="8" w:color="0000FF"/>
            </w:tcBorders>
            <w:shd w:val="clear" w:color="auto" w:fill="0000FF"/>
          </w:tcPr>
          <w:p>
            <w:pPr>
              <w:spacing w:after="0" w:line="20" w:lineRule="exact"/>
              <w:rPr>
                <w:sz w:val="1"/>
                <w:szCs w:val="1"/>
                <w:color w:val="auto"/>
              </w:rPr>
            </w:pPr>
          </w:p>
        </w:tc>
        <w:tc>
          <w:tcPr>
            <w:tcW w:w="620" w:type="dxa"/>
            <w:vAlign w:val="bottom"/>
            <w:tcBorders>
              <w:top w:val="single" w:sz="8" w:color="0000FF"/>
            </w:tcBorders>
            <w:shd w:val="clear" w:color="auto" w:fill="0000FF"/>
          </w:tcPr>
          <w:p>
            <w:pPr>
              <w:spacing w:after="0" w:line="20" w:lineRule="exact"/>
              <w:rPr>
                <w:sz w:val="1"/>
                <w:szCs w:val="1"/>
                <w:color w:val="auto"/>
              </w:rPr>
            </w:pPr>
          </w:p>
        </w:tc>
        <w:tc>
          <w:tcPr>
            <w:tcW w:w="380" w:type="dxa"/>
            <w:vAlign w:val="bottom"/>
            <w:tcBorders>
              <w:top w:val="single" w:sz="8" w:color="0000FF"/>
            </w:tcBorders>
            <w:shd w:val="clear" w:color="auto" w:fill="0000FF"/>
          </w:tcPr>
          <w:p>
            <w:pPr>
              <w:spacing w:after="0" w:line="20" w:lineRule="exact"/>
              <w:rPr>
                <w:sz w:val="1"/>
                <w:szCs w:val="1"/>
                <w:color w:val="auto"/>
              </w:rPr>
            </w:pPr>
          </w:p>
        </w:tc>
        <w:tc>
          <w:tcPr>
            <w:tcW w:w="720" w:type="dxa"/>
            <w:vAlign w:val="bottom"/>
            <w:tcBorders>
              <w:top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960" w:type="dxa"/>
            <w:vAlign w:val="bottom"/>
            <w:vMerge w:val="restart"/>
          </w:tcPr>
          <w:p>
            <w:pPr>
              <w:spacing w:after="0" w:line="20" w:lineRule="exact"/>
              <w:rPr>
                <w:sz w:val="1"/>
                <w:szCs w:val="1"/>
                <w:color w:val="auto"/>
              </w:rPr>
            </w:pPr>
          </w:p>
        </w:tc>
        <w:tc>
          <w:tcPr>
            <w:tcW w:w="140" w:type="dxa"/>
            <w:vAlign w:val="bottom"/>
            <w:tcBorders>
              <w:top w:val="single" w:sz="8" w:color="0E32E1"/>
            </w:tcBorders>
            <w:vMerge w:val="restart"/>
          </w:tcPr>
          <w:p>
            <w:pPr>
              <w:jc w:val="center"/>
              <w:spacing w:after="0"/>
              <w:rPr>
                <w:sz w:val="20"/>
                <w:szCs w:val="20"/>
                <w:color w:val="auto"/>
              </w:rPr>
            </w:pPr>
            <w:r>
              <w:rPr>
                <w:rFonts w:ascii="Arial" w:cs="Arial" w:eastAsia="Arial" w:hAnsi="Arial"/>
                <w:sz w:val="16"/>
                <w:szCs w:val="16"/>
                <w:color w:val="0E32E1"/>
                <w:w w:val="78"/>
              </w:rPr>
              <w:t>84</w:t>
            </w: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700" w:type="dxa"/>
            <w:vAlign w:val="bottom"/>
            <w:gridSpan w:val="17"/>
          </w:tcPr>
          <w:p>
            <w:pPr>
              <w:spacing w:after="0" w:line="190" w:lineRule="exact"/>
              <w:rPr>
                <w:rFonts w:ascii="Arial" w:cs="Arial" w:eastAsia="Arial" w:hAnsi="Arial"/>
                <w:sz w:val="18"/>
                <w:szCs w:val="18"/>
                <w:color w:val="0000FF"/>
              </w:rPr>
            </w:pPr>
            <w:hyperlink w:anchor="page86">
              <w:r>
                <w:rPr>
                  <w:rFonts w:ascii="Arial" w:cs="Arial" w:eastAsia="Arial" w:hAnsi="Arial"/>
                  <w:sz w:val="18"/>
                  <w:szCs w:val="18"/>
                  <w:color w:val="0000FF"/>
                </w:rPr>
                <w:t>Item 2. Unregistered Sales of Equity Securities and Use of Proceeds</w:t>
              </w:r>
            </w:hyperlink>
          </w:p>
        </w:tc>
        <w:tc>
          <w:tcPr>
            <w:tcW w:w="196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80" w:type="dxa"/>
            <w:vAlign w:val="bottom"/>
            <w:tcBorders>
              <w:top w:val="single" w:sz="8" w:color="0000FF"/>
            </w:tcBorders>
            <w:gridSpan w:val="13"/>
          </w:tcPr>
          <w:p>
            <w:pPr>
              <w:spacing w:after="0" w:line="190" w:lineRule="exact"/>
              <w:rPr>
                <w:rFonts w:ascii="Arial" w:cs="Arial" w:eastAsia="Arial" w:hAnsi="Arial"/>
                <w:sz w:val="18"/>
                <w:szCs w:val="18"/>
                <w:color w:val="0000FF"/>
              </w:rPr>
            </w:pPr>
            <w:hyperlink w:anchor="page86">
              <w:r>
                <w:rPr>
                  <w:rFonts w:ascii="Arial" w:cs="Arial" w:eastAsia="Arial" w:hAnsi="Arial"/>
                  <w:sz w:val="18"/>
                  <w:szCs w:val="18"/>
                  <w:color w:val="0000FF"/>
                </w:rPr>
                <w:t>Item 6. Exhibits</w:t>
              </w:r>
            </w:hyperlink>
          </w:p>
        </w:tc>
        <w:tc>
          <w:tcPr>
            <w:tcW w:w="3920" w:type="dxa"/>
            <w:vAlign w:val="bottom"/>
            <w:gridSpan w:val="4"/>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Borders>
              <w:top w:val="single" w:sz="8" w:color="0E32E1"/>
              <w:bottom w:val="single" w:sz="8" w:color="0E32E1"/>
            </w:tcBorders>
          </w:tcPr>
          <w:p>
            <w:pPr>
              <w:jc w:val="center"/>
              <w:spacing w:after="0"/>
              <w:rPr>
                <w:sz w:val="20"/>
                <w:szCs w:val="20"/>
                <w:color w:val="auto"/>
              </w:rPr>
            </w:pPr>
            <w:r>
              <w:rPr>
                <w:rFonts w:ascii="Arial" w:cs="Arial" w:eastAsia="Arial" w:hAnsi="Arial"/>
                <w:sz w:val="16"/>
                <w:szCs w:val="16"/>
                <w:color w:val="0E32E1"/>
                <w:w w:val="78"/>
              </w:rPr>
              <w:t>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120" w:type="dxa"/>
            <w:vAlign w:val="bottom"/>
            <w:tcBorders>
              <w:top w:val="single" w:sz="8" w:color="0000FF"/>
            </w:tcBorders>
            <w:gridSpan w:val="4"/>
          </w:tcPr>
          <w:p>
            <w:pPr>
              <w:spacing w:after="0" w:line="190" w:lineRule="exact"/>
              <w:rPr>
                <w:rFonts w:ascii="Arial" w:cs="Arial" w:eastAsia="Arial" w:hAnsi="Arial"/>
                <w:sz w:val="18"/>
                <w:szCs w:val="18"/>
                <w:color w:val="0000FF"/>
              </w:rPr>
            </w:pPr>
            <w:hyperlink w:anchor="page87">
              <w:r>
                <w:rPr>
                  <w:rFonts w:ascii="Arial" w:cs="Arial" w:eastAsia="Arial" w:hAnsi="Arial"/>
                  <w:sz w:val="18"/>
                  <w:szCs w:val="18"/>
                  <w:color w:val="0000FF"/>
                </w:rPr>
                <w:t>Signatures</w:t>
              </w:r>
            </w:hyperlink>
          </w:p>
        </w:tc>
        <w:tc>
          <w:tcPr>
            <w:tcW w:w="7580" w:type="dxa"/>
            <w:vAlign w:val="bottom"/>
            <w:gridSpan w:val="13"/>
          </w:tcPr>
          <w:p>
            <w:pPr>
              <w:spacing w:after="0"/>
              <w:rPr>
                <w:sz w:val="17"/>
                <w:szCs w:val="17"/>
                <w:color w:val="auto"/>
              </w:rPr>
            </w:pPr>
          </w:p>
        </w:tc>
        <w:tc>
          <w:tcPr>
            <w:tcW w:w="2160" w:type="dxa"/>
            <w:vAlign w:val="bottom"/>
            <w:gridSpan w:val="3"/>
          </w:tcPr>
          <w:p>
            <w:pPr>
              <w:jc w:val="center"/>
              <w:ind w:left="1777"/>
              <w:spacing w:after="0" w:line="183" w:lineRule="exact"/>
              <w:rPr>
                <w:sz w:val="20"/>
                <w:szCs w:val="20"/>
                <w:color w:val="auto"/>
              </w:rPr>
            </w:pPr>
            <w:r>
              <w:rPr>
                <w:rFonts w:ascii="Arial" w:cs="Arial" w:eastAsia="Arial" w:hAnsi="Arial"/>
                <w:sz w:val="18"/>
                <w:szCs w:val="18"/>
                <w:color w:val="0E32E1"/>
                <w:w w:val="89"/>
              </w:rPr>
              <w:t>85</w:t>
            </w:r>
          </w:p>
        </w:tc>
        <w:tc>
          <w:tcPr>
            <w:tcW w:w="0" w:type="dxa"/>
            <w:vAlign w:val="bottom"/>
          </w:tcPr>
          <w:p>
            <w:pPr>
              <w:spacing w:after="0"/>
              <w:rPr>
                <w:sz w:val="1"/>
                <w:szCs w:val="1"/>
                <w:color w:val="auto"/>
              </w:rPr>
            </w:pPr>
          </w:p>
        </w:tc>
      </w:tr>
      <w:tr>
        <w:trPr>
          <w:trHeight w:val="26"/>
        </w:trPr>
        <w:tc>
          <w:tcPr>
            <w:tcW w:w="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960" w:type="dxa"/>
            <w:vAlign w:val="bottom"/>
            <w:tcBorders>
              <w:right w:val="single" w:sz="8" w:color="0E32E1"/>
            </w:tcBorders>
          </w:tcPr>
          <w:p>
            <w:pPr>
              <w:spacing w:after="0"/>
              <w:rPr>
                <w:sz w:val="2"/>
                <w:szCs w:val="2"/>
                <w:color w:val="auto"/>
              </w:rPr>
            </w:pPr>
          </w:p>
        </w:tc>
        <w:tc>
          <w:tcPr>
            <w:tcW w:w="140" w:type="dxa"/>
            <w:vAlign w:val="bottom"/>
            <w:tcBorders>
              <w:right w:val="single" w:sz="8" w:color="0E32E1"/>
            </w:tcBorders>
            <w:shd w:val="clear" w:color="auto" w:fill="0E32E1"/>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880"/>
          </w:cols>
          <w:pgMar w:left="320" w:top="127" w:right="69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139"/>
          </w:cols>
          <w:pgMar w:left="320" w:top="127" w:right="1440"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(Dollars in millions, except share data)</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June 30,</w:t>
            </w:r>
          </w:p>
        </w:tc>
        <w:tc>
          <w:tcPr>
            <w:tcW w:w="120" w:type="dxa"/>
            <w:vAlign w:val="bottom"/>
          </w:tcPr>
          <w:p>
            <w:pPr>
              <w:spacing w:after="0"/>
              <w:rPr>
                <w:sz w:val="14"/>
                <w:szCs w:val="14"/>
                <w:color w:val="auto"/>
              </w:rPr>
            </w:pPr>
          </w:p>
        </w:tc>
        <w:tc>
          <w:tcPr>
            <w:tcW w:w="980" w:type="dxa"/>
            <w:vAlign w:val="bottom"/>
          </w:tcPr>
          <w:p>
            <w:pPr>
              <w:jc w:val="right"/>
              <w:ind w:right="61"/>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84"/>
        </w:trPr>
        <w:tc>
          <w:tcPr>
            <w:tcW w:w="89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59"/>
        </w:trPr>
        <w:tc>
          <w:tcPr>
            <w:tcW w:w="8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center"/>
              <w:ind w:right="82"/>
              <w:spacing w:after="0"/>
              <w:rPr>
                <w:sz w:val="20"/>
                <w:szCs w:val="20"/>
                <w:color w:val="auto"/>
              </w:rPr>
            </w:pPr>
            <w:r>
              <w:rPr>
                <w:rFonts w:ascii="Arial" w:cs="Arial" w:eastAsia="Arial" w:hAnsi="Arial"/>
                <w:sz w:val="12"/>
                <w:szCs w:val="12"/>
                <w:b w:val="1"/>
                <w:bCs w:val="1"/>
                <w:color w:val="auto"/>
                <w:w w:val="95"/>
              </w:rPr>
              <w:t>(Unaudited)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8920" w:type="dxa"/>
            <w:vAlign w:val="bottom"/>
            <w:shd w:val="clear" w:color="auto" w:fill="CCEEFF"/>
          </w:tcPr>
          <w:p>
            <w:pPr>
              <w:ind w:left="5360"/>
              <w:spacing w:after="0"/>
              <w:rPr>
                <w:sz w:val="20"/>
                <w:szCs w:val="20"/>
                <w:color w:val="auto"/>
              </w:rPr>
            </w:pPr>
            <w:r>
              <w:rPr>
                <w:rFonts w:ascii="Arial" w:cs="Arial" w:eastAsia="Arial" w:hAnsi="Arial"/>
                <w:sz w:val="14"/>
                <w:szCs w:val="14"/>
                <w:b w:val="1"/>
                <w:bCs w:val="1"/>
                <w:color w:val="auto"/>
              </w:rPr>
              <w:t>ASSETS</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8920" w:type="dxa"/>
            <w:vAlign w:val="bottom"/>
          </w:tcPr>
          <w:p>
            <w:pPr>
              <w:ind w:left="20"/>
              <w:spacing w:after="0"/>
              <w:rPr>
                <w:sz w:val="20"/>
                <w:szCs w:val="20"/>
                <w:color w:val="auto"/>
              </w:rPr>
            </w:pPr>
            <w:r>
              <w:rPr>
                <w:rFonts w:ascii="Arial" w:cs="Arial" w:eastAsia="Arial" w:hAnsi="Arial"/>
                <w:sz w:val="16"/>
                <w:szCs w:val="16"/>
                <w:color w:val="auto"/>
              </w:rPr>
              <w:t>Investments: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8920" w:type="dxa"/>
            <w:vAlign w:val="bottom"/>
            <w:shd w:val="clear" w:color="auto" w:fill="CCEEFF"/>
          </w:tcPr>
          <w:p>
            <w:pPr>
              <w:ind w:left="220"/>
              <w:spacing w:after="0" w:line="165" w:lineRule="exact"/>
              <w:rPr>
                <w:sz w:val="20"/>
                <w:szCs w:val="20"/>
                <w:color w:val="auto"/>
              </w:rPr>
            </w:pPr>
            <w:r>
              <w:rPr>
                <w:rFonts w:ascii="Arial" w:cs="Arial" w:eastAsia="Arial" w:hAnsi="Arial"/>
                <w:sz w:val="16"/>
                <w:szCs w:val="16"/>
                <w:color w:val="auto"/>
                <w:w w:val="90"/>
              </w:rPr>
              <w:t>Fixed maturity securities available for sale, at fair value, at June 30, 2022 and December 31, 2021, at an amortized cost of $33,836 and</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8920" w:type="dxa"/>
            <w:vAlign w:val="bottom"/>
            <w:shd w:val="clear" w:color="auto" w:fill="CCEEFF"/>
          </w:tcPr>
          <w:p>
            <w:pPr>
              <w:ind w:left="220"/>
              <w:spacing w:after="0" w:line="158" w:lineRule="exact"/>
              <w:rPr>
                <w:sz w:val="20"/>
                <w:szCs w:val="20"/>
                <w:color w:val="auto"/>
              </w:rPr>
            </w:pPr>
            <w:r>
              <w:rPr>
                <w:rFonts w:ascii="Arial" w:cs="Arial" w:eastAsia="Arial" w:hAnsi="Arial"/>
                <w:sz w:val="16"/>
                <w:szCs w:val="16"/>
                <w:color w:val="auto"/>
                <w:w w:val="92"/>
              </w:rPr>
              <w:t>$30,705, respectively, net of allowance for credit losses of $11 and $8, respectively, and includes pledged fixed maturity securities of</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30,432</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31,990</w:t>
            </w:r>
          </w:p>
        </w:tc>
        <w:tc>
          <w:tcPr>
            <w:tcW w:w="0" w:type="dxa"/>
            <w:vAlign w:val="bottom"/>
          </w:tcPr>
          <w:p>
            <w:pPr>
              <w:spacing w:after="0"/>
              <w:rPr>
                <w:sz w:val="1"/>
                <w:szCs w:val="1"/>
                <w:color w:val="auto"/>
              </w:rPr>
            </w:pPr>
          </w:p>
        </w:tc>
      </w:tr>
      <w:tr>
        <w:trPr>
          <w:trHeight w:val="207"/>
        </w:trPr>
        <w:tc>
          <w:tcPr>
            <w:tcW w:w="8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$448 and $460, respectively, related to secured trust deposits</w:t>
            </w:r>
          </w:p>
        </w:tc>
        <w:tc>
          <w:tcPr>
            <w:tcW w:w="16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920" w:type="dxa"/>
            <w:vAlign w:val="bottom"/>
          </w:tcPr>
          <w:p>
            <w:pPr>
              <w:ind w:left="220"/>
              <w:spacing w:after="0"/>
              <w:rPr>
                <w:sz w:val="20"/>
                <w:szCs w:val="20"/>
                <w:color w:val="auto"/>
              </w:rPr>
            </w:pPr>
            <w:r>
              <w:rPr>
                <w:rFonts w:ascii="Arial" w:cs="Arial" w:eastAsia="Arial" w:hAnsi="Arial"/>
                <w:sz w:val="16"/>
                <w:szCs w:val="16"/>
                <w:color w:val="auto"/>
              </w:rPr>
              <w:t>Preferred securities, at fair value</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1,401</w:t>
            </w:r>
          </w:p>
        </w:tc>
        <w:tc>
          <w:tcPr>
            <w:tcW w:w="0" w:type="dxa"/>
            <w:vAlign w:val="bottom"/>
          </w:tcPr>
          <w:p>
            <w:pPr>
              <w:spacing w:after="0"/>
              <w:rPr>
                <w:sz w:val="1"/>
                <w:szCs w:val="1"/>
                <w:color w:val="auto"/>
              </w:rPr>
            </w:pPr>
          </w:p>
        </w:tc>
      </w:tr>
      <w:tr>
        <w:trPr>
          <w:trHeight w:val="214"/>
        </w:trPr>
        <w:tc>
          <w:tcPr>
            <w:tcW w:w="8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Equity securities, at fair value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1,263</w:t>
            </w:r>
          </w:p>
        </w:tc>
        <w:tc>
          <w:tcPr>
            <w:tcW w:w="0" w:type="dxa"/>
            <w:vAlign w:val="bottom"/>
          </w:tcPr>
          <w:p>
            <w:pPr>
              <w:spacing w:after="0"/>
              <w:rPr>
                <w:sz w:val="1"/>
                <w:szCs w:val="1"/>
                <w:color w:val="auto"/>
              </w:rPr>
            </w:pPr>
          </w:p>
        </w:tc>
      </w:tr>
      <w:tr>
        <w:trPr>
          <w:trHeight w:val="207"/>
        </w:trPr>
        <w:tc>
          <w:tcPr>
            <w:tcW w:w="8920" w:type="dxa"/>
            <w:vAlign w:val="bottom"/>
          </w:tcPr>
          <w:p>
            <w:pPr>
              <w:ind w:left="220"/>
              <w:spacing w:after="0"/>
              <w:rPr>
                <w:sz w:val="20"/>
                <w:szCs w:val="20"/>
                <w:color w:val="auto"/>
              </w:rPr>
            </w:pPr>
            <w:r>
              <w:rPr>
                <w:rFonts w:ascii="Arial" w:cs="Arial" w:eastAsia="Arial" w:hAnsi="Arial"/>
                <w:sz w:val="16"/>
                <w:szCs w:val="16"/>
                <w:color w:val="auto"/>
              </w:rPr>
              <w:t>Derivative investments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816</w:t>
            </w:r>
          </w:p>
        </w:tc>
        <w:tc>
          <w:tcPr>
            <w:tcW w:w="0" w:type="dxa"/>
            <w:vAlign w:val="bottom"/>
          </w:tcPr>
          <w:p>
            <w:pPr>
              <w:spacing w:after="0"/>
              <w:rPr>
                <w:sz w:val="1"/>
                <w:szCs w:val="1"/>
                <w:color w:val="auto"/>
              </w:rPr>
            </w:pPr>
          </w:p>
        </w:tc>
      </w:tr>
      <w:tr>
        <w:trPr>
          <w:trHeight w:val="214"/>
        </w:trPr>
        <w:tc>
          <w:tcPr>
            <w:tcW w:w="8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Mortgage loans, net of allowance for credit losses of $35 and $31 at June 30, 2022 and December 31, 2021, respectively</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3,749</w:t>
            </w:r>
          </w:p>
        </w:tc>
        <w:tc>
          <w:tcPr>
            <w:tcW w:w="0" w:type="dxa"/>
            <w:vAlign w:val="bottom"/>
          </w:tcPr>
          <w:p>
            <w:pPr>
              <w:spacing w:after="0"/>
              <w:rPr>
                <w:sz w:val="1"/>
                <w:szCs w:val="1"/>
                <w:color w:val="auto"/>
              </w:rPr>
            </w:pPr>
          </w:p>
        </w:tc>
      </w:tr>
      <w:tr>
        <w:trPr>
          <w:trHeight w:val="207"/>
        </w:trPr>
        <w:tc>
          <w:tcPr>
            <w:tcW w:w="8920" w:type="dxa"/>
            <w:vAlign w:val="bottom"/>
          </w:tcPr>
          <w:p>
            <w:pPr>
              <w:ind w:left="220"/>
              <w:spacing w:after="0"/>
              <w:rPr>
                <w:sz w:val="20"/>
                <w:szCs w:val="20"/>
                <w:color w:val="auto"/>
              </w:rPr>
            </w:pPr>
            <w:r>
              <w:rPr>
                <w:rFonts w:ascii="Arial" w:cs="Arial" w:eastAsia="Arial" w:hAnsi="Arial"/>
                <w:sz w:val="16"/>
                <w:szCs w:val="16"/>
                <w:color w:val="auto"/>
              </w:rPr>
              <w:t>Investments in unconsolidated affiliates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2,486</w:t>
            </w:r>
          </w:p>
        </w:tc>
        <w:tc>
          <w:tcPr>
            <w:tcW w:w="0" w:type="dxa"/>
            <w:vAlign w:val="bottom"/>
          </w:tcPr>
          <w:p>
            <w:pPr>
              <w:spacing w:after="0"/>
              <w:rPr>
                <w:sz w:val="1"/>
                <w:szCs w:val="1"/>
                <w:color w:val="auto"/>
              </w:rPr>
            </w:pPr>
          </w:p>
        </w:tc>
      </w:tr>
      <w:tr>
        <w:trPr>
          <w:trHeight w:val="214"/>
        </w:trPr>
        <w:tc>
          <w:tcPr>
            <w:tcW w:w="8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long-term investments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w:t>
            </w:r>
          </w:p>
        </w:tc>
        <w:tc>
          <w:tcPr>
            <w:tcW w:w="0" w:type="dxa"/>
            <w:vAlign w:val="bottom"/>
          </w:tcPr>
          <w:p>
            <w:pPr>
              <w:spacing w:after="0"/>
              <w:rPr>
                <w:sz w:val="1"/>
                <w:szCs w:val="1"/>
                <w:color w:val="auto"/>
              </w:rPr>
            </w:pPr>
          </w:p>
        </w:tc>
      </w:tr>
      <w:tr>
        <w:trPr>
          <w:trHeight w:val="161"/>
        </w:trPr>
        <w:tc>
          <w:tcPr>
            <w:tcW w:w="8920" w:type="dxa"/>
            <w:vAlign w:val="bottom"/>
          </w:tcPr>
          <w:p>
            <w:pPr>
              <w:ind w:left="220"/>
              <w:spacing w:after="0" w:line="161" w:lineRule="exact"/>
              <w:rPr>
                <w:sz w:val="20"/>
                <w:szCs w:val="20"/>
                <w:color w:val="auto"/>
              </w:rPr>
            </w:pPr>
            <w:r>
              <w:rPr>
                <w:rFonts w:ascii="Arial" w:cs="Arial" w:eastAsia="Arial" w:hAnsi="Arial"/>
                <w:sz w:val="16"/>
                <w:szCs w:val="16"/>
                <w:color w:val="auto"/>
                <w:w w:val="91"/>
              </w:rPr>
              <w:t>Short-term investments, at June 30, 2022 and December 31, 2021 includes pledged short-term investments of $0 and $1, respectively,</w:t>
            </w:r>
          </w:p>
        </w:tc>
        <w:tc>
          <w:tcPr>
            <w:tcW w:w="16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2,588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491</w:t>
            </w:r>
          </w:p>
        </w:tc>
        <w:tc>
          <w:tcPr>
            <w:tcW w:w="0" w:type="dxa"/>
            <w:vAlign w:val="bottom"/>
          </w:tcPr>
          <w:p>
            <w:pPr>
              <w:spacing w:after="0"/>
              <w:rPr>
                <w:sz w:val="1"/>
                <w:szCs w:val="1"/>
                <w:color w:val="auto"/>
              </w:rPr>
            </w:pPr>
          </w:p>
        </w:tc>
      </w:tr>
      <w:tr>
        <w:trPr>
          <w:trHeight w:val="204"/>
        </w:trPr>
        <w:tc>
          <w:tcPr>
            <w:tcW w:w="89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related to secured trust deposits</w:t>
            </w: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9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investments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42,973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42,775</w:t>
            </w:r>
          </w:p>
        </w:tc>
        <w:tc>
          <w:tcPr>
            <w:tcW w:w="0" w:type="dxa"/>
            <w:vAlign w:val="bottom"/>
          </w:tcPr>
          <w:p>
            <w:pPr>
              <w:spacing w:after="0"/>
              <w:rPr>
                <w:sz w:val="1"/>
                <w:szCs w:val="1"/>
                <w:color w:val="auto"/>
              </w:rPr>
            </w:pPr>
          </w:p>
        </w:tc>
      </w:tr>
      <w:tr>
        <w:trPr>
          <w:trHeight w:val="161"/>
        </w:trPr>
        <w:tc>
          <w:tcPr>
            <w:tcW w:w="8920" w:type="dxa"/>
            <w:vAlign w:val="bottom"/>
          </w:tcPr>
          <w:p>
            <w:pPr>
              <w:ind w:left="20"/>
              <w:spacing w:after="0" w:line="161" w:lineRule="exact"/>
              <w:rPr>
                <w:sz w:val="20"/>
                <w:szCs w:val="20"/>
                <w:color w:val="auto"/>
              </w:rPr>
            </w:pPr>
            <w:r>
              <w:rPr>
                <w:rFonts w:ascii="Arial" w:cs="Arial" w:eastAsia="Arial" w:hAnsi="Arial"/>
                <w:sz w:val="16"/>
                <w:szCs w:val="16"/>
                <w:color w:val="auto"/>
                <w:w w:val="92"/>
              </w:rPr>
              <w:t>Cash and cash equivalents, at June 30, 2022 and December 31, 2021 includes $586 and $480, respectively, of pledged cash related to</w:t>
            </w:r>
          </w:p>
        </w:tc>
        <w:tc>
          <w:tcPr>
            <w:tcW w:w="16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2,426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4,360</w:t>
            </w:r>
          </w:p>
        </w:tc>
        <w:tc>
          <w:tcPr>
            <w:tcW w:w="0" w:type="dxa"/>
            <w:vAlign w:val="bottom"/>
          </w:tcPr>
          <w:p>
            <w:pPr>
              <w:spacing w:after="0"/>
              <w:rPr>
                <w:sz w:val="1"/>
                <w:szCs w:val="1"/>
                <w:color w:val="auto"/>
              </w:rPr>
            </w:pPr>
          </w:p>
        </w:tc>
      </w:tr>
      <w:tr>
        <w:trPr>
          <w:trHeight w:val="204"/>
        </w:trPr>
        <w:tc>
          <w:tcPr>
            <w:tcW w:w="8920" w:type="dxa"/>
            <w:vAlign w:val="bottom"/>
          </w:tcPr>
          <w:p>
            <w:pPr>
              <w:ind w:left="20"/>
              <w:spacing w:after="0"/>
              <w:rPr>
                <w:sz w:val="20"/>
                <w:szCs w:val="20"/>
                <w:color w:val="auto"/>
              </w:rPr>
            </w:pPr>
            <w:r>
              <w:rPr>
                <w:rFonts w:ascii="Arial" w:cs="Arial" w:eastAsia="Arial" w:hAnsi="Arial"/>
                <w:sz w:val="16"/>
                <w:szCs w:val="16"/>
                <w:color w:val="auto"/>
              </w:rPr>
              <w:t>secured trust deposits</w:t>
            </w:r>
          </w:p>
        </w:tc>
        <w:tc>
          <w:tcPr>
            <w:tcW w:w="16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89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3"/>
              </w:rPr>
              <w:t>Trade and notes receivables, net of allowance for credit losses of $34 and $32 at June 30, 2022 and December 31, 2021, respectively</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w:t>
            </w:r>
          </w:p>
        </w:tc>
        <w:tc>
          <w:tcPr>
            <w:tcW w:w="0" w:type="dxa"/>
            <w:vAlign w:val="bottom"/>
          </w:tcPr>
          <w:p>
            <w:pPr>
              <w:spacing w:after="0"/>
              <w:rPr>
                <w:sz w:val="1"/>
                <w:szCs w:val="1"/>
                <w:color w:val="auto"/>
              </w:rPr>
            </w:pPr>
          </w:p>
        </w:tc>
      </w:tr>
      <w:tr>
        <w:trPr>
          <w:trHeight w:val="207"/>
        </w:trPr>
        <w:tc>
          <w:tcPr>
            <w:tcW w:w="8920" w:type="dxa"/>
            <w:vAlign w:val="bottom"/>
          </w:tcPr>
          <w:p>
            <w:pPr>
              <w:ind w:left="20"/>
              <w:spacing w:after="0"/>
              <w:rPr>
                <w:sz w:val="20"/>
                <w:szCs w:val="20"/>
                <w:color w:val="auto"/>
              </w:rPr>
            </w:pPr>
            <w:r>
              <w:rPr>
                <w:rFonts w:ascii="Arial" w:cs="Arial" w:eastAsia="Arial" w:hAnsi="Arial"/>
                <w:sz w:val="16"/>
                <w:szCs w:val="16"/>
                <w:color w:val="auto"/>
                <w:w w:val="96"/>
              </w:rPr>
              <w:t>Reinsurance recoverable, net of allowance for credit losses of $19 and $20 at June 30, 2022 and December 31, 2021, respectively</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4,237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3,738</w:t>
            </w:r>
          </w:p>
        </w:tc>
        <w:tc>
          <w:tcPr>
            <w:tcW w:w="0" w:type="dxa"/>
            <w:vAlign w:val="bottom"/>
          </w:tcPr>
          <w:p>
            <w:pPr>
              <w:spacing w:after="0"/>
              <w:rPr>
                <w:sz w:val="1"/>
                <w:szCs w:val="1"/>
                <w:color w:val="auto"/>
              </w:rPr>
            </w:pPr>
          </w:p>
        </w:tc>
      </w:tr>
      <w:tr>
        <w:trPr>
          <w:trHeight w:val="214"/>
        </w:trPr>
        <w:tc>
          <w:tcPr>
            <w:tcW w:w="8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4,539</w:t>
            </w:r>
          </w:p>
        </w:tc>
        <w:tc>
          <w:tcPr>
            <w:tcW w:w="0" w:type="dxa"/>
            <w:vAlign w:val="bottom"/>
          </w:tcPr>
          <w:p>
            <w:pPr>
              <w:spacing w:after="0"/>
              <w:rPr>
                <w:sz w:val="1"/>
                <w:szCs w:val="1"/>
                <w:color w:val="auto"/>
              </w:rPr>
            </w:pPr>
          </w:p>
        </w:tc>
      </w:tr>
      <w:tr>
        <w:trPr>
          <w:trHeight w:val="207"/>
        </w:trPr>
        <w:tc>
          <w:tcPr>
            <w:tcW w:w="8920" w:type="dxa"/>
            <w:vAlign w:val="bottom"/>
          </w:tcPr>
          <w:p>
            <w:pPr>
              <w:ind w:left="20"/>
              <w:spacing w:after="0"/>
              <w:rPr>
                <w:sz w:val="20"/>
                <w:szCs w:val="20"/>
                <w:color w:val="auto"/>
              </w:rPr>
            </w:pPr>
            <w:r>
              <w:rPr>
                <w:rFonts w:ascii="Arial" w:cs="Arial" w:eastAsia="Arial" w:hAnsi="Arial"/>
                <w:sz w:val="16"/>
                <w:szCs w:val="16"/>
                <w:color w:val="auto"/>
              </w:rPr>
              <w:t>Prepaid expenses and other assets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1,203</w:t>
            </w:r>
          </w:p>
        </w:tc>
        <w:tc>
          <w:tcPr>
            <w:tcW w:w="0" w:type="dxa"/>
            <w:vAlign w:val="bottom"/>
          </w:tcPr>
          <w:p>
            <w:pPr>
              <w:spacing w:after="0"/>
              <w:rPr>
                <w:sz w:val="1"/>
                <w:szCs w:val="1"/>
                <w:color w:val="auto"/>
              </w:rPr>
            </w:pPr>
          </w:p>
        </w:tc>
      </w:tr>
      <w:tr>
        <w:trPr>
          <w:trHeight w:val="214"/>
        </w:trPr>
        <w:tc>
          <w:tcPr>
            <w:tcW w:w="8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assets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w:t>
            </w:r>
          </w:p>
        </w:tc>
        <w:tc>
          <w:tcPr>
            <w:tcW w:w="0" w:type="dxa"/>
            <w:vAlign w:val="bottom"/>
          </w:tcPr>
          <w:p>
            <w:pPr>
              <w:spacing w:after="0"/>
              <w:rPr>
                <w:sz w:val="1"/>
                <w:szCs w:val="1"/>
                <w:color w:val="auto"/>
              </w:rPr>
            </w:pPr>
          </w:p>
        </w:tc>
      </w:tr>
      <w:tr>
        <w:trPr>
          <w:trHeight w:val="207"/>
        </w:trPr>
        <w:tc>
          <w:tcPr>
            <w:tcW w:w="8920" w:type="dxa"/>
            <w:vAlign w:val="bottom"/>
          </w:tcPr>
          <w:p>
            <w:pPr>
              <w:ind w:left="20"/>
              <w:spacing w:after="0"/>
              <w:rPr>
                <w:sz w:val="20"/>
                <w:szCs w:val="20"/>
                <w:color w:val="auto"/>
              </w:rPr>
            </w:pPr>
            <w:r>
              <w:rPr>
                <w:rFonts w:ascii="Arial" w:cs="Arial" w:eastAsia="Arial" w:hAnsi="Arial"/>
                <w:sz w:val="16"/>
                <w:szCs w:val="16"/>
                <w:color w:val="auto"/>
              </w:rPr>
              <w:t>Other intangible assets, net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2,557</w:t>
            </w:r>
          </w:p>
        </w:tc>
        <w:tc>
          <w:tcPr>
            <w:tcW w:w="0" w:type="dxa"/>
            <w:vAlign w:val="bottom"/>
          </w:tcPr>
          <w:p>
            <w:pPr>
              <w:spacing w:after="0"/>
              <w:rPr>
                <w:sz w:val="1"/>
                <w:szCs w:val="1"/>
                <w:color w:val="auto"/>
              </w:rPr>
            </w:pPr>
          </w:p>
        </w:tc>
      </w:tr>
      <w:tr>
        <w:trPr>
          <w:trHeight w:val="214"/>
        </w:trPr>
        <w:tc>
          <w:tcPr>
            <w:tcW w:w="8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Title plants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207"/>
        </w:trPr>
        <w:tc>
          <w:tcPr>
            <w:tcW w:w="8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Property and equipment, net</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232"/>
        </w:trPr>
        <w:tc>
          <w:tcPr>
            <w:tcW w:w="89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61,230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60,690</w:t>
            </w:r>
          </w:p>
        </w:tc>
        <w:tc>
          <w:tcPr>
            <w:tcW w:w="0" w:type="dxa"/>
            <w:vAlign w:val="bottom"/>
          </w:tcPr>
          <w:p>
            <w:pPr>
              <w:spacing w:after="0"/>
              <w:rPr>
                <w:sz w:val="1"/>
                <w:szCs w:val="1"/>
                <w:color w:val="auto"/>
              </w:rPr>
            </w:pPr>
          </w:p>
        </w:tc>
      </w:tr>
      <w:tr>
        <w:trPr>
          <w:trHeight w:val="20"/>
        </w:trPr>
        <w:tc>
          <w:tcPr>
            <w:tcW w:w="8920" w:type="dxa"/>
            <w:vAlign w:val="bottom"/>
            <w:tcBorders>
              <w:top w:val="single" w:sz="8" w:color="CCEEFF"/>
              <w:bottom w:val="single" w:sz="8" w:color="CCEEFF"/>
            </w:tcBorders>
            <w:vMerge w:val="restart"/>
          </w:tcPr>
          <w:p>
            <w:pPr>
              <w:ind w:left="4720"/>
              <w:spacing w:after="0"/>
              <w:rPr>
                <w:sz w:val="20"/>
                <w:szCs w:val="20"/>
                <w:color w:val="auto"/>
              </w:rPr>
            </w:pPr>
            <w:r>
              <w:rPr>
                <w:rFonts w:ascii="Arial" w:cs="Arial" w:eastAsia="Arial" w:hAnsi="Arial"/>
                <w:sz w:val="14"/>
                <w:szCs w:val="14"/>
                <w:b w:val="1"/>
                <w:bCs w:val="1"/>
                <w:color w:val="auto"/>
              </w:rPr>
              <w:t>LIABILITIES AND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89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8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920" w:type="dxa"/>
            <w:vAlign w:val="bottom"/>
          </w:tcPr>
          <w:p>
            <w:pPr>
              <w:ind w:left="20"/>
              <w:spacing w:after="0"/>
              <w:rPr>
                <w:sz w:val="20"/>
                <w:szCs w:val="20"/>
                <w:color w:val="auto"/>
              </w:rPr>
            </w:pPr>
            <w:r>
              <w:rPr>
                <w:rFonts w:ascii="Arial" w:cs="Arial" w:eastAsia="Arial" w:hAnsi="Arial"/>
                <w:sz w:val="16"/>
                <w:szCs w:val="16"/>
                <w:color w:val="auto"/>
              </w:rPr>
              <w:t>Contractholder funds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37,707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35,525</w:t>
            </w:r>
          </w:p>
        </w:tc>
        <w:tc>
          <w:tcPr>
            <w:tcW w:w="0" w:type="dxa"/>
            <w:vAlign w:val="bottom"/>
          </w:tcPr>
          <w:p>
            <w:pPr>
              <w:spacing w:after="0"/>
              <w:rPr>
                <w:sz w:val="1"/>
                <w:szCs w:val="1"/>
                <w:color w:val="auto"/>
              </w:rPr>
            </w:pPr>
          </w:p>
        </w:tc>
      </w:tr>
      <w:tr>
        <w:trPr>
          <w:trHeight w:val="214"/>
        </w:trPr>
        <w:tc>
          <w:tcPr>
            <w:tcW w:w="8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Future policy benefits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4,732</w:t>
            </w:r>
          </w:p>
        </w:tc>
        <w:tc>
          <w:tcPr>
            <w:tcW w:w="0" w:type="dxa"/>
            <w:vAlign w:val="bottom"/>
          </w:tcPr>
          <w:p>
            <w:pPr>
              <w:spacing w:after="0"/>
              <w:rPr>
                <w:sz w:val="1"/>
                <w:szCs w:val="1"/>
                <w:color w:val="auto"/>
              </w:rPr>
            </w:pPr>
          </w:p>
        </w:tc>
      </w:tr>
      <w:tr>
        <w:trPr>
          <w:trHeight w:val="207"/>
        </w:trPr>
        <w:tc>
          <w:tcPr>
            <w:tcW w:w="8920" w:type="dxa"/>
            <w:vAlign w:val="bottom"/>
          </w:tcPr>
          <w:p>
            <w:pPr>
              <w:ind w:left="20"/>
              <w:spacing w:after="0"/>
              <w:rPr>
                <w:sz w:val="20"/>
                <w:szCs w:val="20"/>
                <w:color w:val="auto"/>
              </w:rPr>
            </w:pPr>
            <w:r>
              <w:rPr>
                <w:rFonts w:ascii="Arial" w:cs="Arial" w:eastAsia="Arial" w:hAnsi="Arial"/>
                <w:sz w:val="16"/>
                <w:szCs w:val="16"/>
                <w:color w:val="auto"/>
              </w:rPr>
              <w:t>Accounts payable and accrued liabilities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2,696</w:t>
            </w:r>
          </w:p>
        </w:tc>
        <w:tc>
          <w:tcPr>
            <w:tcW w:w="0" w:type="dxa"/>
            <w:vAlign w:val="bottom"/>
          </w:tcPr>
          <w:p>
            <w:pPr>
              <w:spacing w:after="0"/>
              <w:rPr>
                <w:sz w:val="1"/>
                <w:szCs w:val="1"/>
                <w:color w:val="auto"/>
              </w:rPr>
            </w:pPr>
          </w:p>
        </w:tc>
      </w:tr>
      <w:tr>
        <w:trPr>
          <w:trHeight w:val="214"/>
        </w:trPr>
        <w:tc>
          <w:tcPr>
            <w:tcW w:w="8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payable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3,096</w:t>
            </w:r>
          </w:p>
        </w:tc>
        <w:tc>
          <w:tcPr>
            <w:tcW w:w="0" w:type="dxa"/>
            <w:vAlign w:val="bottom"/>
          </w:tcPr>
          <w:p>
            <w:pPr>
              <w:spacing w:after="0"/>
              <w:rPr>
                <w:sz w:val="1"/>
                <w:szCs w:val="1"/>
                <w:color w:val="auto"/>
              </w:rPr>
            </w:pPr>
          </w:p>
        </w:tc>
      </w:tr>
      <w:tr>
        <w:trPr>
          <w:trHeight w:val="207"/>
        </w:trPr>
        <w:tc>
          <w:tcPr>
            <w:tcW w:w="8920" w:type="dxa"/>
            <w:vAlign w:val="bottom"/>
          </w:tcPr>
          <w:p>
            <w:pPr>
              <w:ind w:left="20"/>
              <w:spacing w:after="0"/>
              <w:rPr>
                <w:sz w:val="20"/>
                <w:szCs w:val="20"/>
                <w:color w:val="auto"/>
              </w:rPr>
            </w:pPr>
            <w:r>
              <w:rPr>
                <w:rFonts w:ascii="Arial" w:cs="Arial" w:eastAsia="Arial" w:hAnsi="Arial"/>
                <w:sz w:val="16"/>
                <w:szCs w:val="16"/>
                <w:color w:val="auto"/>
              </w:rPr>
              <w:t>Reserve for title claim losses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1,883</w:t>
            </w:r>
          </w:p>
        </w:tc>
        <w:tc>
          <w:tcPr>
            <w:tcW w:w="0" w:type="dxa"/>
            <w:vAlign w:val="bottom"/>
          </w:tcPr>
          <w:p>
            <w:pPr>
              <w:spacing w:after="0"/>
              <w:rPr>
                <w:sz w:val="1"/>
                <w:szCs w:val="1"/>
                <w:color w:val="auto"/>
              </w:rPr>
            </w:pPr>
          </w:p>
        </w:tc>
      </w:tr>
      <w:tr>
        <w:trPr>
          <w:trHeight w:val="214"/>
        </w:trPr>
        <w:tc>
          <w:tcPr>
            <w:tcW w:w="8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Funds withheld for reinsurance 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1,676</w:t>
            </w:r>
          </w:p>
        </w:tc>
        <w:tc>
          <w:tcPr>
            <w:tcW w:w="0" w:type="dxa"/>
            <w:vAlign w:val="bottom"/>
          </w:tcPr>
          <w:p>
            <w:pPr>
              <w:spacing w:after="0"/>
              <w:rPr>
                <w:sz w:val="1"/>
                <w:szCs w:val="1"/>
                <w:color w:val="auto"/>
              </w:rPr>
            </w:pPr>
          </w:p>
        </w:tc>
      </w:tr>
      <w:tr>
        <w:trPr>
          <w:trHeight w:val="207"/>
        </w:trPr>
        <w:tc>
          <w:tcPr>
            <w:tcW w:w="8920" w:type="dxa"/>
            <w:vAlign w:val="bottom"/>
          </w:tcPr>
          <w:p>
            <w:pPr>
              <w:ind w:left="20"/>
              <w:spacing w:after="0"/>
              <w:rPr>
                <w:sz w:val="20"/>
                <w:szCs w:val="20"/>
                <w:color w:val="auto"/>
              </w:rPr>
            </w:pPr>
            <w:r>
              <w:rPr>
                <w:rFonts w:ascii="Arial" w:cs="Arial" w:eastAsia="Arial" w:hAnsi="Arial"/>
                <w:sz w:val="16"/>
                <w:szCs w:val="16"/>
                <w:color w:val="auto"/>
              </w:rPr>
              <w:t>Secured trust deposits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1,173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934</w:t>
            </w:r>
          </w:p>
        </w:tc>
        <w:tc>
          <w:tcPr>
            <w:tcW w:w="0" w:type="dxa"/>
            <w:vAlign w:val="bottom"/>
          </w:tcPr>
          <w:p>
            <w:pPr>
              <w:spacing w:after="0"/>
              <w:rPr>
                <w:sz w:val="1"/>
                <w:szCs w:val="1"/>
                <w:color w:val="auto"/>
              </w:rPr>
            </w:pPr>
          </w:p>
        </w:tc>
      </w:tr>
      <w:tr>
        <w:trPr>
          <w:trHeight w:val="214"/>
        </w:trPr>
        <w:tc>
          <w:tcPr>
            <w:tcW w:w="8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w:t>
            </w:r>
          </w:p>
        </w:tc>
        <w:tc>
          <w:tcPr>
            <w:tcW w:w="0" w:type="dxa"/>
            <w:vAlign w:val="bottom"/>
          </w:tcPr>
          <w:p>
            <w:pPr>
              <w:spacing w:after="0"/>
              <w:rPr>
                <w:sz w:val="1"/>
                <w:szCs w:val="1"/>
                <w:color w:val="auto"/>
              </w:rPr>
            </w:pPr>
          </w:p>
        </w:tc>
      </w:tr>
      <w:tr>
        <w:trPr>
          <w:trHeight w:val="207"/>
        </w:trPr>
        <w:tc>
          <w:tcPr>
            <w:tcW w:w="8920" w:type="dxa"/>
            <w:vAlign w:val="bottom"/>
          </w:tcPr>
          <w:p>
            <w:pPr>
              <w:ind w:left="20"/>
              <w:spacing w:after="0"/>
              <w:rPr>
                <w:sz w:val="20"/>
                <w:szCs w:val="20"/>
                <w:color w:val="auto"/>
              </w:rPr>
            </w:pPr>
            <w:r>
              <w:rPr>
                <w:rFonts w:ascii="Arial" w:cs="Arial" w:eastAsia="Arial" w:hAnsi="Arial"/>
                <w:sz w:val="16"/>
                <w:szCs w:val="16"/>
                <w:color w:val="auto"/>
              </w:rPr>
              <w:t>Income taxes payable</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14"/>
        </w:trPr>
        <w:tc>
          <w:tcPr>
            <w:tcW w:w="8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liability</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0" w:type="dxa"/>
            <w:vAlign w:val="bottom"/>
          </w:tcPr>
          <w:p>
            <w:pPr>
              <w:spacing w:after="0"/>
              <w:rPr>
                <w:sz w:val="1"/>
                <w:szCs w:val="1"/>
                <w:color w:val="auto"/>
              </w:rPr>
            </w:pPr>
          </w:p>
        </w:tc>
      </w:tr>
      <w:tr>
        <w:trPr>
          <w:trHeight w:val="200"/>
        </w:trPr>
        <w:tc>
          <w:tcPr>
            <w:tcW w:w="8920" w:type="dxa"/>
            <w:vAlign w:val="bottom"/>
          </w:tcPr>
          <w:p>
            <w:pPr>
              <w:ind w:left="500"/>
              <w:spacing w:after="0"/>
              <w:rPr>
                <w:sz w:val="20"/>
                <w:szCs w:val="20"/>
                <w:color w:val="auto"/>
              </w:rPr>
            </w:pPr>
            <w:r>
              <w:rPr>
                <w:rFonts w:ascii="Arial" w:cs="Arial" w:eastAsia="Arial" w:hAnsi="Arial"/>
                <w:sz w:val="16"/>
                <w:szCs w:val="16"/>
                <w:color w:val="auto"/>
              </w:rPr>
              <w:t>Total liabilities</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54,484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51,233</w:t>
            </w:r>
          </w:p>
        </w:tc>
        <w:tc>
          <w:tcPr>
            <w:tcW w:w="0" w:type="dxa"/>
            <w:vAlign w:val="bottom"/>
          </w:tcPr>
          <w:p>
            <w:pPr>
              <w:spacing w:after="0"/>
              <w:rPr>
                <w:sz w:val="1"/>
                <w:szCs w:val="1"/>
                <w:color w:val="auto"/>
              </w:rPr>
            </w:pPr>
          </w:p>
        </w:tc>
      </w:tr>
      <w:tr>
        <w:trPr>
          <w:trHeight w:val="214"/>
        </w:trPr>
        <w:tc>
          <w:tcPr>
            <w:tcW w:w="8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8920" w:type="dxa"/>
            <w:vAlign w:val="bottom"/>
          </w:tcPr>
          <w:p>
            <w:pPr>
              <w:ind w:left="220"/>
              <w:spacing w:after="0" w:line="161" w:lineRule="exact"/>
              <w:rPr>
                <w:sz w:val="20"/>
                <w:szCs w:val="20"/>
                <w:color w:val="auto"/>
              </w:rPr>
            </w:pPr>
            <w:r>
              <w:rPr>
                <w:rFonts w:ascii="Arial" w:cs="Arial" w:eastAsia="Arial" w:hAnsi="Arial"/>
                <w:sz w:val="16"/>
                <w:szCs w:val="16"/>
                <w:color w:val="auto"/>
                <w:w w:val="92"/>
              </w:rPr>
              <w:t>FNF common stock, $0.0001 par value; authorized 600,000,000 shares as of June 30, 2022 and December 31, 2021; outstanding of</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8920" w:type="dxa"/>
            <w:vAlign w:val="bottom"/>
          </w:tcPr>
          <w:p>
            <w:pPr>
              <w:ind w:left="220"/>
              <w:spacing w:after="0" w:line="158" w:lineRule="exact"/>
              <w:rPr>
                <w:sz w:val="20"/>
                <w:szCs w:val="20"/>
                <w:color w:val="auto"/>
              </w:rPr>
            </w:pPr>
            <w:r>
              <w:rPr>
                <w:rFonts w:ascii="Arial" w:cs="Arial" w:eastAsia="Arial" w:hAnsi="Arial"/>
                <w:sz w:val="16"/>
                <w:szCs w:val="16"/>
                <w:color w:val="auto"/>
                <w:w w:val="89"/>
              </w:rPr>
              <w:t>276,949,217 and 283,778,574 as of June 30, 2022 and December 31, 2021, respectively, and issued of 325,730,482 and 325,486,429 as</w:t>
            </w:r>
          </w:p>
        </w:tc>
        <w:tc>
          <w:tcPr>
            <w:tcW w:w="160" w:type="dxa"/>
            <w:vAlign w:val="bottom"/>
          </w:tcPr>
          <w:p>
            <w:pPr>
              <w:spacing w:after="0"/>
              <w:rPr>
                <w:sz w:val="13"/>
                <w:szCs w:val="13"/>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8920" w:type="dxa"/>
            <w:vAlign w:val="bottom"/>
          </w:tcPr>
          <w:p>
            <w:pPr>
              <w:ind w:left="220"/>
              <w:spacing w:after="0"/>
              <w:rPr>
                <w:sz w:val="20"/>
                <w:szCs w:val="20"/>
                <w:color w:val="auto"/>
              </w:rPr>
            </w:pPr>
            <w:r>
              <w:rPr>
                <w:rFonts w:ascii="Arial" w:cs="Arial" w:eastAsia="Arial" w:hAnsi="Arial"/>
                <w:sz w:val="16"/>
                <w:szCs w:val="16"/>
                <w:color w:val="auto"/>
              </w:rPr>
              <w:t>of June 30, 2022 and December 31, 2021, respectively</w:t>
            </w:r>
          </w:p>
        </w:tc>
        <w:tc>
          <w:tcPr>
            <w:tcW w:w="16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8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Preferred stock, $0.0001 par value; authorized 50,000,000 shares; issued and outstanding, none</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8920" w:type="dxa"/>
            <w:vAlign w:val="bottom"/>
          </w:tcPr>
          <w:p>
            <w:pPr>
              <w:ind w:left="220"/>
              <w:spacing w:after="0"/>
              <w:rPr>
                <w:sz w:val="20"/>
                <w:szCs w:val="20"/>
                <w:color w:val="auto"/>
              </w:rPr>
            </w:pPr>
            <w:r>
              <w:rPr>
                <w:rFonts w:ascii="Arial" w:cs="Arial" w:eastAsia="Arial" w:hAnsi="Arial"/>
                <w:sz w:val="16"/>
                <w:szCs w:val="16"/>
                <w:color w:val="auto"/>
              </w:rPr>
              <w:t>Additional paid-in capital</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5,843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5,811</w:t>
            </w:r>
          </w:p>
        </w:tc>
        <w:tc>
          <w:tcPr>
            <w:tcW w:w="0" w:type="dxa"/>
            <w:vAlign w:val="bottom"/>
          </w:tcPr>
          <w:p>
            <w:pPr>
              <w:spacing w:after="0"/>
              <w:rPr>
                <w:sz w:val="1"/>
                <w:szCs w:val="1"/>
                <w:color w:val="auto"/>
              </w:rPr>
            </w:pPr>
          </w:p>
        </w:tc>
      </w:tr>
      <w:tr>
        <w:trPr>
          <w:trHeight w:val="214"/>
        </w:trPr>
        <w:tc>
          <w:tcPr>
            <w:tcW w:w="8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Retained earnings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4,369</w:t>
            </w:r>
          </w:p>
        </w:tc>
        <w:tc>
          <w:tcPr>
            <w:tcW w:w="0" w:type="dxa"/>
            <w:vAlign w:val="bottom"/>
          </w:tcPr>
          <w:p>
            <w:pPr>
              <w:spacing w:after="0"/>
              <w:rPr>
                <w:sz w:val="1"/>
                <w:szCs w:val="1"/>
                <w:color w:val="auto"/>
              </w:rPr>
            </w:pPr>
          </w:p>
        </w:tc>
      </w:tr>
      <w:tr>
        <w:trPr>
          <w:trHeight w:val="207"/>
        </w:trPr>
        <w:tc>
          <w:tcPr>
            <w:tcW w:w="8920" w:type="dxa"/>
            <w:vAlign w:val="bottom"/>
          </w:tcPr>
          <w:p>
            <w:pPr>
              <w:ind w:left="220"/>
              <w:spacing w:after="0"/>
              <w:rPr>
                <w:sz w:val="20"/>
                <w:szCs w:val="20"/>
                <w:color w:val="auto"/>
              </w:rPr>
            </w:pPr>
            <w:r>
              <w:rPr>
                <w:rFonts w:ascii="Arial" w:cs="Arial" w:eastAsia="Arial" w:hAnsi="Arial"/>
                <w:sz w:val="16"/>
                <w:szCs w:val="16"/>
                <w:color w:val="auto"/>
              </w:rPr>
              <w:t>Accumulated other comprehensive (loss) earnings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(2,190)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779</w:t>
            </w:r>
          </w:p>
        </w:tc>
        <w:tc>
          <w:tcPr>
            <w:tcW w:w="0" w:type="dxa"/>
            <w:vAlign w:val="bottom"/>
          </w:tcPr>
          <w:p>
            <w:pPr>
              <w:spacing w:after="0"/>
              <w:rPr>
                <w:sz w:val="1"/>
                <w:szCs w:val="1"/>
                <w:color w:val="auto"/>
              </w:rPr>
            </w:pPr>
          </w:p>
        </w:tc>
      </w:tr>
      <w:tr>
        <w:trPr>
          <w:trHeight w:val="214"/>
        </w:trPr>
        <w:tc>
          <w:tcPr>
            <w:tcW w:w="892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3"/>
              </w:rPr>
              <w:t>Less: Treasury stock, 48,781,265 shares and 41,707,855 shares as of June 30, 2022 and December 31, 2021, respectively, at cost</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(1,545)</w:t>
            </w:r>
          </w:p>
        </w:tc>
        <w:tc>
          <w:tcPr>
            <w:tcW w:w="0" w:type="dxa"/>
            <w:vAlign w:val="bottom"/>
          </w:tcPr>
          <w:p>
            <w:pPr>
              <w:spacing w:after="0"/>
              <w:rPr>
                <w:sz w:val="1"/>
                <w:szCs w:val="1"/>
                <w:color w:val="auto"/>
              </w:rPr>
            </w:pPr>
          </w:p>
        </w:tc>
      </w:tr>
      <w:tr>
        <w:trPr>
          <w:trHeight w:val="200"/>
        </w:trPr>
        <w:tc>
          <w:tcPr>
            <w:tcW w:w="8920" w:type="dxa"/>
            <w:vAlign w:val="bottom"/>
          </w:tcPr>
          <w:p>
            <w:pPr>
              <w:ind w:left="500"/>
              <w:spacing w:after="0"/>
              <w:rPr>
                <w:sz w:val="20"/>
                <w:szCs w:val="20"/>
                <w:color w:val="auto"/>
              </w:rPr>
            </w:pPr>
            <w:r>
              <w:rPr>
                <w:rFonts w:ascii="Arial" w:cs="Arial" w:eastAsia="Arial" w:hAnsi="Arial"/>
                <w:sz w:val="16"/>
                <w:szCs w:val="16"/>
                <w:color w:val="auto"/>
              </w:rPr>
              <w:t>Total Fidelity National Financial, Inc. shareholders’ equity</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6,703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9,414</w:t>
            </w:r>
          </w:p>
        </w:tc>
        <w:tc>
          <w:tcPr>
            <w:tcW w:w="0" w:type="dxa"/>
            <w:vAlign w:val="bottom"/>
          </w:tcPr>
          <w:p>
            <w:pPr>
              <w:spacing w:after="0"/>
              <w:rPr>
                <w:sz w:val="1"/>
                <w:szCs w:val="1"/>
                <w:color w:val="auto"/>
              </w:rPr>
            </w:pPr>
          </w:p>
        </w:tc>
      </w:tr>
      <w:tr>
        <w:trPr>
          <w:trHeight w:val="214"/>
        </w:trPr>
        <w:tc>
          <w:tcPr>
            <w:tcW w:w="8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Non-controlling interests</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00"/>
        </w:trPr>
        <w:tc>
          <w:tcPr>
            <w:tcW w:w="892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equity</w:t>
            </w: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6,746</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9,457</w:t>
            </w:r>
          </w:p>
        </w:tc>
        <w:tc>
          <w:tcPr>
            <w:tcW w:w="0" w:type="dxa"/>
            <w:vAlign w:val="bottom"/>
          </w:tcPr>
          <w:p>
            <w:pPr>
              <w:spacing w:after="0"/>
              <w:rPr>
                <w:sz w:val="1"/>
                <w:szCs w:val="1"/>
                <w:color w:val="auto"/>
              </w:rPr>
            </w:pPr>
          </w:p>
        </w:tc>
      </w:tr>
      <w:tr>
        <w:trPr>
          <w:trHeight w:val="232"/>
        </w:trPr>
        <w:tc>
          <w:tcPr>
            <w:tcW w:w="89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liabilities and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61,230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60,690</w:t>
            </w:r>
          </w:p>
        </w:tc>
        <w:tc>
          <w:tcPr>
            <w:tcW w:w="0" w:type="dxa"/>
            <w:vAlign w:val="bottom"/>
          </w:tcPr>
          <w:p>
            <w:pPr>
              <w:spacing w:after="0"/>
              <w:rPr>
                <w:sz w:val="1"/>
                <w:szCs w:val="1"/>
                <w:color w:val="auto"/>
              </w:rPr>
            </w:pPr>
          </w:p>
        </w:tc>
      </w:tr>
      <w:tr>
        <w:trPr>
          <w:trHeight w:val="20"/>
        </w:trPr>
        <w:tc>
          <w:tcPr>
            <w:tcW w:w="8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-10795</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EARNINGS</w:t>
      </w:r>
    </w:p>
    <w:p>
      <w:pPr>
        <w:jc w:val="center"/>
        <w:spacing w:after="0"/>
        <w:rPr>
          <w:sz w:val="20"/>
          <w:szCs w:val="20"/>
          <w:color w:val="auto"/>
        </w:rPr>
      </w:pPr>
      <w:r>
        <w:rPr>
          <w:rFonts w:ascii="Arial" w:cs="Arial" w:eastAsia="Arial" w:hAnsi="Arial"/>
          <w:sz w:val="14"/>
          <w:szCs w:val="14"/>
          <w:color w:val="auto"/>
        </w:rPr>
        <w:t>(Dollars in millions, except per share data)</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680" w:type="dxa"/>
            <w:vAlign w:val="bottom"/>
            <w:gridSpan w:val="6"/>
          </w:tcPr>
          <w:p>
            <w:pPr>
              <w:ind w:left="20"/>
              <w:spacing w:after="0"/>
              <w:rPr>
                <w:sz w:val="20"/>
                <w:szCs w:val="20"/>
                <w:color w:val="auto"/>
              </w:rPr>
            </w:pPr>
            <w:r>
              <w:rPr>
                <w:rFonts w:ascii="Arial" w:cs="Arial" w:eastAsia="Arial" w:hAnsi="Arial"/>
                <w:sz w:val="14"/>
                <w:szCs w:val="14"/>
                <w:b w:val="1"/>
                <w:bCs w:val="1"/>
                <w:color w:val="auto"/>
                <w:w w:val="94"/>
              </w:rPr>
              <w:t>Three months ended June</w:t>
            </w:r>
          </w:p>
        </w:tc>
        <w:tc>
          <w:tcPr>
            <w:tcW w:w="100" w:type="dxa"/>
            <w:vAlign w:val="bottom"/>
          </w:tcPr>
          <w:p>
            <w:pPr>
              <w:spacing w:after="0"/>
              <w:rPr>
                <w:sz w:val="14"/>
                <w:szCs w:val="14"/>
                <w:color w:val="auto"/>
              </w:rPr>
            </w:pPr>
          </w:p>
        </w:tc>
        <w:tc>
          <w:tcPr>
            <w:tcW w:w="1480" w:type="dxa"/>
            <w:vAlign w:val="bottom"/>
            <w:gridSpan w:val="4"/>
          </w:tcPr>
          <w:p>
            <w:pPr>
              <w:jc w:val="center"/>
              <w:ind w:right="21"/>
              <w:spacing w:after="0"/>
              <w:rPr>
                <w:sz w:val="20"/>
                <w:szCs w:val="20"/>
                <w:color w:val="auto"/>
              </w:rPr>
            </w:pPr>
            <w:r>
              <w:rPr>
                <w:rFonts w:ascii="Arial" w:cs="Arial" w:eastAsia="Arial" w:hAnsi="Arial"/>
                <w:sz w:val="14"/>
                <w:szCs w:val="14"/>
                <w:b w:val="1"/>
                <w:bCs w:val="1"/>
                <w:color w:val="auto"/>
                <w:w w:val="87"/>
              </w:rPr>
              <w:t>Six months ended June</w:t>
            </w:r>
          </w:p>
        </w:tc>
        <w:tc>
          <w:tcPr>
            <w:tcW w:w="0" w:type="dxa"/>
            <w:vAlign w:val="bottom"/>
          </w:tcPr>
          <w:p>
            <w:pPr>
              <w:spacing w:after="0"/>
              <w:rPr>
                <w:sz w:val="1"/>
                <w:szCs w:val="1"/>
                <w:color w:val="auto"/>
              </w:rPr>
            </w:pPr>
          </w:p>
        </w:tc>
      </w:tr>
      <w:tr>
        <w:trPr>
          <w:trHeight w:val="184"/>
        </w:trPr>
        <w:tc>
          <w:tcPr>
            <w:tcW w:w="61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3"/>
          </w:tcPr>
          <w:p>
            <w:pPr>
              <w:jc w:val="right"/>
              <w:ind w:right="61"/>
              <w:spacing w:after="0"/>
              <w:rPr>
                <w:sz w:val="20"/>
                <w:szCs w:val="20"/>
                <w:color w:val="auto"/>
              </w:rPr>
            </w:pPr>
            <w:r>
              <w:rPr>
                <w:rFonts w:ascii="Arial" w:cs="Arial" w:eastAsia="Arial" w:hAnsi="Arial"/>
                <w:sz w:val="14"/>
                <w:szCs w:val="14"/>
                <w:b w:val="1"/>
                <w:bCs w:val="1"/>
                <w:color w:val="auto"/>
              </w:rPr>
              <w:t>30,</w:t>
            </w:r>
          </w:p>
        </w:tc>
        <w:tc>
          <w:tcPr>
            <w:tcW w:w="5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3"/>
          </w:tcPr>
          <w:p>
            <w:pPr>
              <w:jc w:val="center"/>
              <w:ind w:left="402"/>
              <w:spacing w:after="0"/>
              <w:rPr>
                <w:sz w:val="20"/>
                <w:szCs w:val="20"/>
                <w:color w:val="auto"/>
              </w:rPr>
            </w:pPr>
            <w:r>
              <w:rPr>
                <w:rFonts w:ascii="Arial" w:cs="Arial" w:eastAsia="Arial" w:hAnsi="Arial"/>
                <w:sz w:val="14"/>
                <w:szCs w:val="14"/>
                <w:b w:val="1"/>
                <w:bCs w:val="1"/>
                <w:color w:val="auto"/>
                <w:w w:val="92"/>
              </w:rPr>
              <w:t>30,</w:t>
            </w:r>
          </w:p>
        </w:tc>
        <w:tc>
          <w:tcPr>
            <w:tcW w:w="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1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77"/>
        </w:trPr>
        <w:tc>
          <w:tcPr>
            <w:tcW w:w="61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gridSpan w:val="4"/>
          </w:tcPr>
          <w:p>
            <w:pPr>
              <w:jc w:val="right"/>
              <w:ind w:right="361"/>
              <w:spacing w:after="0"/>
              <w:rPr>
                <w:sz w:val="20"/>
                <w:szCs w:val="20"/>
                <w:color w:val="auto"/>
              </w:rPr>
            </w:pPr>
            <w:r>
              <w:rPr>
                <w:rFonts w:ascii="Arial" w:cs="Arial" w:eastAsia="Arial" w:hAnsi="Arial"/>
                <w:sz w:val="14"/>
                <w:szCs w:val="14"/>
                <w:b w:val="1"/>
                <w:bCs w:val="1"/>
                <w:color w:val="auto"/>
              </w:rPr>
              <w:t>(Unaudited)</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4"/>
          </w:tcPr>
          <w:p>
            <w:pPr>
              <w:jc w:val="center"/>
              <w:ind w:right="1"/>
              <w:spacing w:after="0"/>
              <w:rPr>
                <w:sz w:val="20"/>
                <w:szCs w:val="20"/>
                <w:color w:val="auto"/>
              </w:rPr>
            </w:pPr>
            <w:r>
              <w:rPr>
                <w:rFonts w:ascii="Arial" w:cs="Arial" w:eastAsia="Arial" w:hAnsi="Arial"/>
                <w:sz w:val="14"/>
                <w:szCs w:val="14"/>
                <w:b w:val="1"/>
                <w:bCs w:val="1"/>
                <w:color w:val="auto"/>
                <w:w w:val="92"/>
              </w:rPr>
              <w:t>(Unaudited)</w:t>
            </w:r>
          </w:p>
        </w:tc>
        <w:tc>
          <w:tcPr>
            <w:tcW w:w="0" w:type="dxa"/>
            <w:vAlign w:val="bottom"/>
          </w:tcPr>
          <w:p>
            <w:pPr>
              <w:spacing w:after="0"/>
              <w:rPr>
                <w:sz w:val="1"/>
                <w:szCs w:val="1"/>
                <w:color w:val="auto"/>
              </w:rPr>
            </w:pPr>
          </w:p>
        </w:tc>
      </w:tr>
      <w:tr>
        <w:trPr>
          <w:trHeight w:val="211"/>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180" w:type="dxa"/>
            <w:vAlign w:val="bottom"/>
          </w:tcPr>
          <w:p>
            <w:pPr>
              <w:ind w:left="220"/>
              <w:spacing w:after="0"/>
              <w:rPr>
                <w:sz w:val="20"/>
                <w:szCs w:val="20"/>
                <w:color w:val="auto"/>
              </w:rPr>
            </w:pPr>
            <w:r>
              <w:rPr>
                <w:rFonts w:ascii="Arial" w:cs="Arial" w:eastAsia="Arial" w:hAnsi="Arial"/>
                <w:sz w:val="16"/>
                <w:szCs w:val="16"/>
                <w:color w:val="auto"/>
              </w:rPr>
              <w:t>Direct title insurance premiums</w:t>
            </w:r>
          </w:p>
        </w:tc>
        <w:tc>
          <w:tcPr>
            <w:tcW w:w="180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859</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904</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2"/>
              <w:spacing w:after="0"/>
              <w:rPr>
                <w:sz w:val="20"/>
                <w:szCs w:val="20"/>
                <w:color w:val="auto"/>
              </w:rPr>
            </w:pPr>
            <w:r>
              <w:rPr>
                <w:rFonts w:ascii="Arial" w:cs="Arial" w:eastAsia="Arial" w:hAnsi="Arial"/>
                <w:sz w:val="16"/>
                <w:szCs w:val="16"/>
                <w:color w:val="auto"/>
              </w:rPr>
              <w:t>1,626</w:t>
            </w:r>
          </w:p>
        </w:tc>
        <w:tc>
          <w:tcPr>
            <w:tcW w:w="8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1,650</w:t>
            </w:r>
          </w:p>
        </w:tc>
        <w:tc>
          <w:tcPr>
            <w:tcW w:w="0" w:type="dxa"/>
            <w:vAlign w:val="bottom"/>
          </w:tcPr>
          <w:p>
            <w:pPr>
              <w:spacing w:after="0"/>
              <w:rPr>
                <w:sz w:val="1"/>
                <w:szCs w:val="1"/>
                <w:color w:val="auto"/>
              </w:rPr>
            </w:pPr>
          </w:p>
        </w:tc>
      </w:tr>
      <w:tr>
        <w:trPr>
          <w:trHeight w:val="214"/>
        </w:trPr>
        <w:tc>
          <w:tcPr>
            <w:tcW w:w="6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Agency title insurance premiums</w:t>
            </w: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2,302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2,314</w:t>
            </w:r>
          </w:p>
        </w:tc>
        <w:tc>
          <w:tcPr>
            <w:tcW w:w="0" w:type="dxa"/>
            <w:vAlign w:val="bottom"/>
          </w:tcPr>
          <w:p>
            <w:pPr>
              <w:spacing w:after="0"/>
              <w:rPr>
                <w:sz w:val="1"/>
                <w:szCs w:val="1"/>
                <w:color w:val="auto"/>
              </w:rPr>
            </w:pPr>
          </w:p>
        </w:tc>
      </w:tr>
      <w:tr>
        <w:trPr>
          <w:trHeight w:val="207"/>
        </w:trPr>
        <w:tc>
          <w:tcPr>
            <w:tcW w:w="6180" w:type="dxa"/>
            <w:vAlign w:val="bottom"/>
          </w:tcPr>
          <w:p>
            <w:pPr>
              <w:ind w:left="220"/>
              <w:spacing w:after="0"/>
              <w:rPr>
                <w:sz w:val="20"/>
                <w:szCs w:val="20"/>
                <w:color w:val="auto"/>
              </w:rPr>
            </w:pPr>
            <w:r>
              <w:rPr>
                <w:rFonts w:ascii="Arial" w:cs="Arial" w:eastAsia="Arial" w:hAnsi="Arial"/>
                <w:sz w:val="16"/>
                <w:szCs w:val="16"/>
                <w:color w:val="auto"/>
              </w:rPr>
              <w:t>Escrow, title-related and other fees</w:t>
            </w: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782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948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2"/>
              <w:spacing w:after="0"/>
              <w:rPr>
                <w:sz w:val="20"/>
                <w:szCs w:val="20"/>
                <w:color w:val="auto"/>
              </w:rPr>
            </w:pPr>
            <w:r>
              <w:rPr>
                <w:rFonts w:ascii="Arial" w:cs="Arial" w:eastAsia="Arial" w:hAnsi="Arial"/>
                <w:sz w:val="16"/>
                <w:szCs w:val="16"/>
                <w:color w:val="auto"/>
              </w:rPr>
              <w:t>2,072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1,799</w:t>
            </w:r>
          </w:p>
        </w:tc>
        <w:tc>
          <w:tcPr>
            <w:tcW w:w="0" w:type="dxa"/>
            <w:vAlign w:val="bottom"/>
          </w:tcPr>
          <w:p>
            <w:pPr>
              <w:spacing w:after="0"/>
              <w:rPr>
                <w:sz w:val="1"/>
                <w:szCs w:val="1"/>
                <w:color w:val="auto"/>
              </w:rPr>
            </w:pPr>
          </w:p>
        </w:tc>
      </w:tr>
      <w:tr>
        <w:trPr>
          <w:trHeight w:val="214"/>
        </w:trPr>
        <w:tc>
          <w:tcPr>
            <w:tcW w:w="6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and investment income</w:t>
            </w: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941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w:t>
            </w:r>
          </w:p>
        </w:tc>
        <w:tc>
          <w:tcPr>
            <w:tcW w:w="0" w:type="dxa"/>
            <w:vAlign w:val="bottom"/>
          </w:tcPr>
          <w:p>
            <w:pPr>
              <w:spacing w:after="0"/>
              <w:rPr>
                <w:sz w:val="1"/>
                <w:szCs w:val="1"/>
                <w:color w:val="auto"/>
              </w:rPr>
            </w:pPr>
          </w:p>
        </w:tc>
      </w:tr>
      <w:tr>
        <w:trPr>
          <w:trHeight w:val="207"/>
        </w:trPr>
        <w:tc>
          <w:tcPr>
            <w:tcW w:w="61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Recognized gains and losses, net</w:t>
            </w:r>
          </w:p>
        </w:tc>
        <w:tc>
          <w:tcPr>
            <w:tcW w:w="18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(1,145)</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w:t>
            </w:r>
          </w:p>
        </w:tc>
        <w:tc>
          <w:tcPr>
            <w:tcW w:w="0" w:type="dxa"/>
            <w:vAlign w:val="bottom"/>
          </w:tcPr>
          <w:p>
            <w:pPr>
              <w:spacing w:after="0"/>
              <w:rPr>
                <w:sz w:val="1"/>
                <w:szCs w:val="1"/>
                <w:color w:val="auto"/>
              </w:rPr>
            </w:pPr>
          </w:p>
        </w:tc>
      </w:tr>
      <w:tr>
        <w:trPr>
          <w:trHeight w:val="207"/>
        </w:trPr>
        <w:tc>
          <w:tcPr>
            <w:tcW w:w="6180" w:type="dxa"/>
            <w:vAlign w:val="bottom"/>
            <w:shd w:val="clear" w:color="auto" w:fill="CCEEFF"/>
          </w:tcPr>
          <w:p>
            <w:pPr>
              <w:ind w:left="780"/>
              <w:spacing w:after="0"/>
              <w:rPr>
                <w:sz w:val="20"/>
                <w:szCs w:val="20"/>
                <w:color w:val="auto"/>
              </w:rPr>
            </w:pPr>
            <w:r>
              <w:rPr>
                <w:rFonts w:ascii="Arial" w:cs="Arial" w:eastAsia="Arial" w:hAnsi="Arial"/>
                <w:sz w:val="16"/>
                <w:szCs w:val="16"/>
                <w:color w:val="auto"/>
              </w:rPr>
              <w:t>Total revenues</w:t>
            </w: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5,796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6,954</w:t>
            </w:r>
          </w:p>
        </w:tc>
        <w:tc>
          <w:tcPr>
            <w:tcW w:w="0" w:type="dxa"/>
            <w:vAlign w:val="bottom"/>
          </w:tcPr>
          <w:p>
            <w:pPr>
              <w:spacing w:after="0"/>
              <w:rPr>
                <w:sz w:val="1"/>
                <w:szCs w:val="1"/>
                <w:color w:val="auto"/>
              </w:rPr>
            </w:pPr>
          </w:p>
        </w:tc>
      </w:tr>
      <w:tr>
        <w:trPr>
          <w:trHeight w:val="207"/>
        </w:trPr>
        <w:tc>
          <w:tcPr>
            <w:tcW w:w="6180" w:type="dxa"/>
            <w:vAlign w:val="bottom"/>
          </w:tcPr>
          <w:p>
            <w:pPr>
              <w:ind w:left="20"/>
              <w:spacing w:after="0"/>
              <w:rPr>
                <w:sz w:val="20"/>
                <w:szCs w:val="20"/>
                <w:color w:val="auto"/>
              </w:rPr>
            </w:pPr>
            <w:r>
              <w:rPr>
                <w:rFonts w:ascii="Arial" w:cs="Arial" w:eastAsia="Arial" w:hAnsi="Arial"/>
                <w:sz w:val="16"/>
                <w:szCs w:val="16"/>
                <w:color w:val="auto"/>
              </w:rPr>
              <w:t>Expenses:</w:t>
            </w: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Personnel costs</w:t>
            </w: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1,662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1,702</w:t>
            </w:r>
          </w:p>
        </w:tc>
        <w:tc>
          <w:tcPr>
            <w:tcW w:w="0" w:type="dxa"/>
            <w:vAlign w:val="bottom"/>
          </w:tcPr>
          <w:p>
            <w:pPr>
              <w:spacing w:after="0"/>
              <w:rPr>
                <w:sz w:val="1"/>
                <w:szCs w:val="1"/>
                <w:color w:val="auto"/>
              </w:rPr>
            </w:pPr>
          </w:p>
        </w:tc>
      </w:tr>
      <w:tr>
        <w:trPr>
          <w:trHeight w:val="207"/>
        </w:trPr>
        <w:tc>
          <w:tcPr>
            <w:tcW w:w="6180" w:type="dxa"/>
            <w:vAlign w:val="bottom"/>
          </w:tcPr>
          <w:p>
            <w:pPr>
              <w:ind w:left="220"/>
              <w:spacing w:after="0"/>
              <w:rPr>
                <w:sz w:val="20"/>
                <w:szCs w:val="20"/>
                <w:color w:val="auto"/>
              </w:rPr>
            </w:pPr>
            <w:r>
              <w:rPr>
                <w:rFonts w:ascii="Arial" w:cs="Arial" w:eastAsia="Arial" w:hAnsi="Arial"/>
                <w:sz w:val="16"/>
                <w:szCs w:val="16"/>
                <w:color w:val="auto"/>
              </w:rPr>
              <w:t>Agent commissions</w:t>
            </w: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970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2"/>
              <w:spacing w:after="0"/>
              <w:rPr>
                <w:sz w:val="20"/>
                <w:szCs w:val="20"/>
                <w:color w:val="auto"/>
              </w:rPr>
            </w:pPr>
            <w:r>
              <w:rPr>
                <w:rFonts w:ascii="Arial" w:cs="Arial" w:eastAsia="Arial" w:hAnsi="Arial"/>
                <w:sz w:val="16"/>
                <w:szCs w:val="16"/>
                <w:color w:val="auto"/>
              </w:rPr>
              <w:t>1,774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1,777</w:t>
            </w:r>
          </w:p>
        </w:tc>
        <w:tc>
          <w:tcPr>
            <w:tcW w:w="0" w:type="dxa"/>
            <w:vAlign w:val="bottom"/>
          </w:tcPr>
          <w:p>
            <w:pPr>
              <w:spacing w:after="0"/>
              <w:rPr>
                <w:sz w:val="1"/>
                <w:szCs w:val="1"/>
                <w:color w:val="auto"/>
              </w:rPr>
            </w:pPr>
          </w:p>
        </w:tc>
      </w:tr>
      <w:tr>
        <w:trPr>
          <w:trHeight w:val="214"/>
        </w:trPr>
        <w:tc>
          <w:tcPr>
            <w:tcW w:w="6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operating expenses</w:t>
            </w: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899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934</w:t>
            </w:r>
          </w:p>
        </w:tc>
        <w:tc>
          <w:tcPr>
            <w:tcW w:w="0" w:type="dxa"/>
            <w:vAlign w:val="bottom"/>
          </w:tcPr>
          <w:p>
            <w:pPr>
              <w:spacing w:after="0"/>
              <w:rPr>
                <w:sz w:val="1"/>
                <w:szCs w:val="1"/>
                <w:color w:val="auto"/>
              </w:rPr>
            </w:pPr>
          </w:p>
        </w:tc>
      </w:tr>
      <w:tr>
        <w:trPr>
          <w:trHeight w:val="207"/>
        </w:trPr>
        <w:tc>
          <w:tcPr>
            <w:tcW w:w="6180" w:type="dxa"/>
            <w:vAlign w:val="bottom"/>
          </w:tcPr>
          <w:p>
            <w:pPr>
              <w:ind w:left="220"/>
              <w:spacing w:after="0"/>
              <w:rPr>
                <w:sz w:val="20"/>
                <w:szCs w:val="20"/>
                <w:color w:val="auto"/>
              </w:rPr>
            </w:pPr>
            <w:r>
              <w:rPr>
                <w:rFonts w:ascii="Arial" w:cs="Arial" w:eastAsia="Arial" w:hAnsi="Arial"/>
                <w:sz w:val="16"/>
                <w:szCs w:val="16"/>
                <w:color w:val="auto"/>
              </w:rPr>
              <w:t>Benefits and other changes in policy reserves</w:t>
            </w: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(418)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575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(210)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549</w:t>
            </w:r>
          </w:p>
        </w:tc>
        <w:tc>
          <w:tcPr>
            <w:tcW w:w="0" w:type="dxa"/>
            <w:vAlign w:val="bottom"/>
          </w:tcPr>
          <w:p>
            <w:pPr>
              <w:spacing w:after="0"/>
              <w:rPr>
                <w:sz w:val="1"/>
                <w:szCs w:val="1"/>
                <w:color w:val="auto"/>
              </w:rPr>
            </w:pPr>
          </w:p>
        </w:tc>
      </w:tr>
      <w:tr>
        <w:trPr>
          <w:trHeight w:val="214"/>
        </w:trPr>
        <w:tc>
          <w:tcPr>
            <w:tcW w:w="6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343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0" w:type="dxa"/>
            <w:vAlign w:val="bottom"/>
          </w:tcPr>
          <w:p>
            <w:pPr>
              <w:spacing w:after="0"/>
              <w:rPr>
                <w:sz w:val="1"/>
                <w:szCs w:val="1"/>
                <w:color w:val="auto"/>
              </w:rPr>
            </w:pPr>
          </w:p>
        </w:tc>
      </w:tr>
      <w:tr>
        <w:trPr>
          <w:trHeight w:val="207"/>
        </w:trPr>
        <w:tc>
          <w:tcPr>
            <w:tcW w:w="6180" w:type="dxa"/>
            <w:vAlign w:val="bottom"/>
          </w:tcPr>
          <w:p>
            <w:pPr>
              <w:ind w:left="220"/>
              <w:spacing w:after="0"/>
              <w:rPr>
                <w:sz w:val="20"/>
                <w:szCs w:val="20"/>
                <w:color w:val="auto"/>
              </w:rPr>
            </w:pPr>
            <w:r>
              <w:rPr>
                <w:rFonts w:ascii="Arial" w:cs="Arial" w:eastAsia="Arial" w:hAnsi="Arial"/>
                <w:sz w:val="16"/>
                <w:szCs w:val="16"/>
                <w:color w:val="auto"/>
              </w:rPr>
              <w:t>Provision for title claim losses</w:t>
            </w: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2"/>
              <w:spacing w:after="0"/>
              <w:rPr>
                <w:sz w:val="20"/>
                <w:szCs w:val="20"/>
                <w:color w:val="auto"/>
              </w:rPr>
            </w:pPr>
            <w:r>
              <w:rPr>
                <w:rFonts w:ascii="Arial" w:cs="Arial" w:eastAsia="Arial" w:hAnsi="Arial"/>
                <w:sz w:val="16"/>
                <w:szCs w:val="16"/>
                <w:color w:val="auto"/>
              </w:rPr>
              <w:t>177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214"/>
        </w:trPr>
        <w:tc>
          <w:tcPr>
            <w:tcW w:w="6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expense</w:t>
            </w:r>
          </w:p>
        </w:tc>
        <w:tc>
          <w:tcPr>
            <w:tcW w:w="18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61</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00"/>
        </w:trPr>
        <w:tc>
          <w:tcPr>
            <w:tcW w:w="6180" w:type="dxa"/>
            <w:vAlign w:val="bottom"/>
            <w:tcBorders>
              <w:bottom w:val="single" w:sz="8" w:color="CCEEFF"/>
            </w:tcBorders>
          </w:tcPr>
          <w:p>
            <w:pPr>
              <w:ind w:left="780"/>
              <w:spacing w:after="0"/>
              <w:rPr>
                <w:sz w:val="20"/>
                <w:szCs w:val="20"/>
                <w:color w:val="auto"/>
              </w:rPr>
            </w:pPr>
            <w:r>
              <w:rPr>
                <w:rFonts w:ascii="Arial" w:cs="Arial" w:eastAsia="Arial" w:hAnsi="Arial"/>
                <w:sz w:val="16"/>
                <w:szCs w:val="16"/>
                <w:color w:val="auto"/>
              </w:rPr>
              <w:t>Total expenses</w:t>
            </w:r>
          </w:p>
        </w:tc>
        <w:tc>
          <w:tcPr>
            <w:tcW w:w="18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2,093</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3,141</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4,706</w:t>
            </w: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5,484</w:t>
            </w:r>
          </w:p>
        </w:tc>
        <w:tc>
          <w:tcPr>
            <w:tcW w:w="0" w:type="dxa"/>
            <w:vAlign w:val="bottom"/>
          </w:tcPr>
          <w:p>
            <w:pPr>
              <w:spacing w:after="0"/>
              <w:rPr>
                <w:sz w:val="1"/>
                <w:szCs w:val="1"/>
                <w:color w:val="auto"/>
              </w:rPr>
            </w:pPr>
          </w:p>
        </w:tc>
      </w:tr>
      <w:tr>
        <w:trPr>
          <w:trHeight w:val="207"/>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Earnings from continuing operations before income taxes and equity in earnings of unconsolidated affiliates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1,090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1,470</w:t>
            </w:r>
          </w:p>
        </w:tc>
        <w:tc>
          <w:tcPr>
            <w:tcW w:w="0" w:type="dxa"/>
            <w:vAlign w:val="bottom"/>
          </w:tcPr>
          <w:p>
            <w:pPr>
              <w:spacing w:after="0"/>
              <w:rPr>
                <w:sz w:val="1"/>
                <w:szCs w:val="1"/>
                <w:color w:val="auto"/>
              </w:rPr>
            </w:pPr>
          </w:p>
        </w:tc>
      </w:tr>
      <w:tr>
        <w:trPr>
          <w:trHeight w:val="207"/>
        </w:trPr>
        <w:tc>
          <w:tcPr>
            <w:tcW w:w="6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18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319</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w:t>
            </w:r>
          </w:p>
        </w:tc>
        <w:tc>
          <w:tcPr>
            <w:tcW w:w="0" w:type="dxa"/>
            <w:vAlign w:val="bottom"/>
          </w:tcPr>
          <w:p>
            <w:pPr>
              <w:spacing w:after="0"/>
              <w:rPr>
                <w:sz w:val="1"/>
                <w:szCs w:val="1"/>
                <w:color w:val="auto"/>
              </w:rPr>
            </w:pPr>
          </w:p>
        </w:tc>
      </w:tr>
      <w:tr>
        <w:trPr>
          <w:trHeight w:val="207"/>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before equity in earnings of unconsolidated affiliates</w:t>
            </w: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771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1,128</w:t>
            </w:r>
          </w:p>
        </w:tc>
        <w:tc>
          <w:tcPr>
            <w:tcW w:w="0" w:type="dxa"/>
            <w:vAlign w:val="bottom"/>
          </w:tcPr>
          <w:p>
            <w:pPr>
              <w:spacing w:after="0"/>
              <w:rPr>
                <w:sz w:val="1"/>
                <w:szCs w:val="1"/>
                <w:color w:val="auto"/>
              </w:rPr>
            </w:pPr>
          </w:p>
        </w:tc>
      </w:tr>
      <w:tr>
        <w:trPr>
          <w:trHeight w:val="207"/>
        </w:trPr>
        <w:tc>
          <w:tcPr>
            <w:tcW w:w="6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Equity in earnings of unconsolidated affiliates</w:t>
            </w:r>
          </w:p>
        </w:tc>
        <w:tc>
          <w:tcPr>
            <w:tcW w:w="18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16</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07"/>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 from continuing operations</w:t>
            </w: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787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1,155</w:t>
            </w:r>
          </w:p>
        </w:tc>
        <w:tc>
          <w:tcPr>
            <w:tcW w:w="0" w:type="dxa"/>
            <w:vAlign w:val="bottom"/>
          </w:tcPr>
          <w:p>
            <w:pPr>
              <w:spacing w:after="0"/>
              <w:rPr>
                <w:sz w:val="1"/>
                <w:szCs w:val="1"/>
                <w:color w:val="auto"/>
              </w:rPr>
            </w:pPr>
          </w:p>
        </w:tc>
      </w:tr>
      <w:tr>
        <w:trPr>
          <w:trHeight w:val="207"/>
        </w:trPr>
        <w:tc>
          <w:tcPr>
            <w:tcW w:w="6180" w:type="dxa"/>
            <w:vAlign w:val="bottom"/>
          </w:tcPr>
          <w:p>
            <w:pPr>
              <w:ind w:left="20"/>
              <w:spacing w:after="0"/>
              <w:rPr>
                <w:sz w:val="20"/>
                <w:szCs w:val="20"/>
                <w:color w:val="auto"/>
              </w:rPr>
            </w:pPr>
            <w:r>
              <w:rPr>
                <w:rFonts w:ascii="Arial" w:cs="Arial" w:eastAsia="Arial" w:hAnsi="Arial"/>
                <w:sz w:val="16"/>
                <w:szCs w:val="16"/>
                <w:color w:val="auto"/>
              </w:rPr>
              <w:t>Net earnings from discontinued operations, net of tax</w:t>
            </w: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7"/>
        </w:trPr>
        <w:tc>
          <w:tcPr>
            <w:tcW w:w="6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earnings</w:t>
            </w:r>
          </w:p>
        </w:tc>
        <w:tc>
          <w:tcPr>
            <w:tcW w:w="18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557</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787</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1,166</w:t>
            </w:r>
          </w:p>
        </w:tc>
        <w:tc>
          <w:tcPr>
            <w:tcW w:w="0" w:type="dxa"/>
            <w:vAlign w:val="bottom"/>
          </w:tcPr>
          <w:p>
            <w:pPr>
              <w:spacing w:after="0"/>
              <w:rPr>
                <w:sz w:val="1"/>
                <w:szCs w:val="1"/>
                <w:color w:val="auto"/>
              </w:rPr>
            </w:pPr>
          </w:p>
        </w:tc>
      </w:tr>
      <w:tr>
        <w:trPr>
          <w:trHeight w:val="207"/>
        </w:trPr>
        <w:tc>
          <w:tcPr>
            <w:tcW w:w="6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Net earnings attributable to non-controlling interests</w:t>
            </w:r>
          </w:p>
        </w:tc>
        <w:tc>
          <w:tcPr>
            <w:tcW w:w="18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6"/>
        </w:trPr>
        <w:tc>
          <w:tcPr>
            <w:tcW w:w="6180" w:type="dxa"/>
            <w:vAlign w:val="bottom"/>
            <w:tcBorders>
              <w:bottom w:val="single" w:sz="8" w:color="CCEEFF"/>
            </w:tcBorders>
            <w:shd w:val="clear" w:color="auto" w:fill="CCEEFF"/>
          </w:tcPr>
          <w:p>
            <w:pPr>
              <w:ind w:left="20"/>
              <w:spacing w:after="0" w:line="181" w:lineRule="exact"/>
              <w:rPr>
                <w:sz w:val="20"/>
                <w:szCs w:val="20"/>
                <w:color w:val="auto"/>
              </w:rPr>
            </w:pPr>
            <w:r>
              <w:rPr>
                <w:rFonts w:ascii="Arial" w:cs="Arial" w:eastAsia="Arial" w:hAnsi="Arial"/>
                <w:sz w:val="16"/>
                <w:szCs w:val="16"/>
                <w:color w:val="auto"/>
              </w:rPr>
              <w:t>Net earnings attributable to Fidelity National Financial, Inc. common shareholders</w:t>
            </w:r>
          </w:p>
        </w:tc>
        <w:tc>
          <w:tcPr>
            <w:tcW w:w="18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ind w:left="20"/>
              <w:spacing w:after="0" w:line="181" w:lineRule="exact"/>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382</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552</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ind w:right="2"/>
              <w:spacing w:after="0" w:line="181" w:lineRule="exact"/>
              <w:rPr>
                <w:sz w:val="20"/>
                <w:szCs w:val="20"/>
                <w:color w:val="auto"/>
              </w:rPr>
            </w:pPr>
            <w:r>
              <w:rPr>
                <w:rFonts w:ascii="Arial" w:cs="Arial" w:eastAsia="Arial" w:hAnsi="Arial"/>
                <w:sz w:val="16"/>
                <w:szCs w:val="16"/>
                <w:color w:val="auto"/>
              </w:rPr>
              <w:t>779</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1,157</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Earnings per share</w:t>
            </w:r>
          </w:p>
        </w:tc>
        <w:tc>
          <w:tcPr>
            <w:tcW w:w="1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6180" w:type="dxa"/>
            <w:vAlign w:val="bottom"/>
            <w:vMerge w:val="continue"/>
          </w:tcPr>
          <w:p>
            <w:pPr>
              <w:spacing w:after="0"/>
              <w:rPr>
                <w:sz w:val="13"/>
                <w:szCs w:val="13"/>
                <w:color w:val="auto"/>
              </w:rPr>
            </w:pPr>
          </w:p>
        </w:tc>
        <w:tc>
          <w:tcPr>
            <w:tcW w:w="1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Basic</w:t>
            </w: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180" w:type="dxa"/>
            <w:vAlign w:val="bottom"/>
          </w:tcPr>
          <w:p>
            <w:pPr>
              <w:ind w:left="20"/>
              <w:spacing w:after="0"/>
              <w:rPr>
                <w:sz w:val="20"/>
                <w:szCs w:val="20"/>
                <w:color w:val="auto"/>
              </w:rPr>
            </w:pPr>
            <w:r>
              <w:rPr>
                <w:rFonts w:ascii="Arial" w:cs="Arial" w:eastAsia="Arial" w:hAnsi="Arial"/>
                <w:sz w:val="16"/>
                <w:szCs w:val="16"/>
                <w:color w:val="auto"/>
                <w:w w:val="99"/>
              </w:rPr>
              <w:t>Net earnings per share from continuing operations attributable to common shareholders</w:t>
            </w:r>
          </w:p>
        </w:tc>
        <w:tc>
          <w:tcPr>
            <w:tcW w:w="180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1.37</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1.91</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2"/>
              <w:spacing w:after="0"/>
              <w:rPr>
                <w:sz w:val="20"/>
                <w:szCs w:val="20"/>
                <w:color w:val="auto"/>
              </w:rPr>
            </w:pPr>
            <w:r>
              <w:rPr>
                <w:rFonts w:ascii="Arial" w:cs="Arial" w:eastAsia="Arial" w:hAnsi="Arial"/>
                <w:sz w:val="16"/>
                <w:szCs w:val="16"/>
                <w:color w:val="auto"/>
              </w:rPr>
              <w:t>2.79</w:t>
            </w:r>
          </w:p>
        </w:tc>
        <w:tc>
          <w:tcPr>
            <w:tcW w:w="8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3.99</w:t>
            </w:r>
          </w:p>
        </w:tc>
        <w:tc>
          <w:tcPr>
            <w:tcW w:w="0" w:type="dxa"/>
            <w:vAlign w:val="bottom"/>
          </w:tcPr>
          <w:p>
            <w:pPr>
              <w:spacing w:after="0"/>
              <w:rPr>
                <w:sz w:val="1"/>
                <w:szCs w:val="1"/>
                <w:color w:val="auto"/>
              </w:rPr>
            </w:pPr>
          </w:p>
        </w:tc>
      </w:tr>
      <w:tr>
        <w:trPr>
          <w:trHeight w:val="211"/>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6"/>
              </w:rPr>
              <w:t>Net earnings per share from discontinued operations attributable to common shareholders</w:t>
            </w: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207"/>
        </w:trPr>
        <w:tc>
          <w:tcPr>
            <w:tcW w:w="6180" w:type="dxa"/>
            <w:vAlign w:val="bottom"/>
          </w:tcPr>
          <w:p>
            <w:pPr>
              <w:ind w:left="20"/>
              <w:spacing w:after="0"/>
              <w:rPr>
                <w:sz w:val="20"/>
                <w:szCs w:val="20"/>
                <w:color w:val="auto"/>
              </w:rPr>
            </w:pPr>
            <w:r>
              <w:rPr>
                <w:rFonts w:ascii="Arial" w:cs="Arial" w:eastAsia="Arial" w:hAnsi="Arial"/>
                <w:sz w:val="16"/>
                <w:szCs w:val="16"/>
                <w:color w:val="auto"/>
              </w:rPr>
              <w:t>Net earnings per share attributable to common shareholders, basic</w:t>
            </w:r>
          </w:p>
        </w:tc>
        <w:tc>
          <w:tcPr>
            <w:tcW w:w="1800" w:type="dxa"/>
            <w:vAlign w:val="bottom"/>
          </w:tcPr>
          <w:p>
            <w:pPr>
              <w:spacing w:after="0"/>
              <w:rPr>
                <w:sz w:val="18"/>
                <w:szCs w:val="18"/>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1.37</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1.93</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2.79</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4.03</w:t>
            </w:r>
          </w:p>
        </w:tc>
        <w:tc>
          <w:tcPr>
            <w:tcW w:w="0" w:type="dxa"/>
            <w:vAlign w:val="bottom"/>
          </w:tcPr>
          <w:p>
            <w:pPr>
              <w:spacing w:after="0"/>
              <w:rPr>
                <w:sz w:val="1"/>
                <w:szCs w:val="1"/>
                <w:color w:val="auto"/>
              </w:rPr>
            </w:pPr>
          </w:p>
        </w:tc>
      </w:tr>
      <w:tr>
        <w:trPr>
          <w:trHeight w:val="20"/>
        </w:trPr>
        <w:tc>
          <w:tcPr>
            <w:tcW w:w="618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18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i w:val="1"/>
                <w:iCs w:val="1"/>
                <w:color w:val="auto"/>
              </w:rPr>
              <w:t>Diluted</w:t>
            </w:r>
          </w:p>
        </w:tc>
        <w:tc>
          <w:tcPr>
            <w:tcW w:w="1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6180" w:type="dxa"/>
            <w:vAlign w:val="bottom"/>
          </w:tcPr>
          <w:p>
            <w:pPr>
              <w:ind w:left="20"/>
              <w:spacing w:after="0"/>
              <w:rPr>
                <w:sz w:val="20"/>
                <w:szCs w:val="20"/>
                <w:color w:val="auto"/>
              </w:rPr>
            </w:pPr>
            <w:r>
              <w:rPr>
                <w:rFonts w:ascii="Arial" w:cs="Arial" w:eastAsia="Arial" w:hAnsi="Arial"/>
                <w:sz w:val="16"/>
                <w:szCs w:val="16"/>
                <w:color w:val="auto"/>
                <w:w w:val="99"/>
              </w:rPr>
              <w:t>Net earnings per share from continuing operations attributable to common shareholders</w:t>
            </w:r>
          </w:p>
        </w:tc>
        <w:tc>
          <w:tcPr>
            <w:tcW w:w="180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1.37</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1.90</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2"/>
              <w:spacing w:after="0"/>
              <w:rPr>
                <w:sz w:val="20"/>
                <w:szCs w:val="20"/>
                <w:color w:val="auto"/>
              </w:rPr>
            </w:pPr>
            <w:r>
              <w:rPr>
                <w:rFonts w:ascii="Arial" w:cs="Arial" w:eastAsia="Arial" w:hAnsi="Arial"/>
                <w:sz w:val="16"/>
                <w:szCs w:val="16"/>
                <w:color w:val="auto"/>
              </w:rPr>
              <w:t>2.77</w:t>
            </w:r>
          </w:p>
        </w:tc>
        <w:tc>
          <w:tcPr>
            <w:tcW w:w="8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3.96</w:t>
            </w:r>
          </w:p>
        </w:tc>
        <w:tc>
          <w:tcPr>
            <w:tcW w:w="0" w:type="dxa"/>
            <w:vAlign w:val="bottom"/>
          </w:tcPr>
          <w:p>
            <w:pPr>
              <w:spacing w:after="0"/>
              <w:rPr>
                <w:sz w:val="1"/>
                <w:szCs w:val="1"/>
                <w:color w:val="auto"/>
              </w:rPr>
            </w:pPr>
          </w:p>
        </w:tc>
      </w:tr>
      <w:tr>
        <w:trPr>
          <w:trHeight w:val="211"/>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6"/>
              </w:rPr>
              <w:t>Net earnings per share from discontinued operations attributable to common shareholders</w:t>
            </w: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207"/>
        </w:trPr>
        <w:tc>
          <w:tcPr>
            <w:tcW w:w="6180" w:type="dxa"/>
            <w:vAlign w:val="bottom"/>
          </w:tcPr>
          <w:p>
            <w:pPr>
              <w:ind w:left="20"/>
              <w:spacing w:after="0"/>
              <w:rPr>
                <w:sz w:val="20"/>
                <w:szCs w:val="20"/>
                <w:color w:val="auto"/>
              </w:rPr>
            </w:pPr>
            <w:r>
              <w:rPr>
                <w:rFonts w:ascii="Arial" w:cs="Arial" w:eastAsia="Arial" w:hAnsi="Arial"/>
                <w:sz w:val="16"/>
                <w:szCs w:val="16"/>
                <w:color w:val="auto"/>
              </w:rPr>
              <w:t>Net earnings per share attributable to common shareholders, diluted</w:t>
            </w:r>
          </w:p>
        </w:tc>
        <w:tc>
          <w:tcPr>
            <w:tcW w:w="1800" w:type="dxa"/>
            <w:vAlign w:val="bottom"/>
          </w:tcPr>
          <w:p>
            <w:pPr>
              <w:spacing w:after="0"/>
              <w:rPr>
                <w:sz w:val="18"/>
                <w:szCs w:val="18"/>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1.37</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1.92</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2.77</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20"/>
        </w:trPr>
        <w:tc>
          <w:tcPr>
            <w:tcW w:w="618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
        </w:trPr>
        <w:tc>
          <w:tcPr>
            <w:tcW w:w="6180" w:type="dxa"/>
            <w:vAlign w:val="bottom"/>
            <w:shd w:val="clear" w:color="auto" w:fill="CCEEFF"/>
          </w:tcPr>
          <w:p>
            <w:pPr>
              <w:spacing w:after="0"/>
              <w:rPr>
                <w:sz w:val="6"/>
                <w:szCs w:val="6"/>
                <w:color w:val="auto"/>
              </w:rPr>
            </w:pPr>
          </w:p>
        </w:tc>
        <w:tc>
          <w:tcPr>
            <w:tcW w:w="18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618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 - basic</w:t>
            </w:r>
          </w:p>
        </w:tc>
        <w:tc>
          <w:tcPr>
            <w:tcW w:w="18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279</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w:t>
            </w:r>
          </w:p>
        </w:tc>
        <w:tc>
          <w:tcPr>
            <w:tcW w:w="0" w:type="dxa"/>
            <w:vAlign w:val="bottom"/>
          </w:tcPr>
          <w:p>
            <w:pPr>
              <w:spacing w:after="0"/>
              <w:rPr>
                <w:sz w:val="1"/>
                <w:szCs w:val="1"/>
                <w:color w:val="auto"/>
              </w:rPr>
            </w:pPr>
          </w:p>
        </w:tc>
      </w:tr>
      <w:tr>
        <w:trPr>
          <w:trHeight w:val="20"/>
        </w:trPr>
        <w:tc>
          <w:tcPr>
            <w:tcW w:w="618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 - diluted</w:t>
            </w:r>
          </w:p>
        </w:tc>
        <w:tc>
          <w:tcPr>
            <w:tcW w:w="18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281</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bottom w:val="single" w:sz="8" w:color="CCEEFF"/>
            </w:tcBorders>
            <w:vMerge w:val="restart"/>
          </w:tcPr>
          <w:p>
            <w:pPr>
              <w:ind w:left="3740"/>
              <w:spacing w:after="0"/>
              <w:rPr>
                <w:sz w:val="20"/>
                <w:szCs w:val="20"/>
                <w:color w:val="auto"/>
              </w:rPr>
            </w:pPr>
            <w:r>
              <w:rPr>
                <w:rFonts w:ascii="Arial" w:cs="Arial" w:eastAsia="Arial" w:hAnsi="Arial"/>
                <w:sz w:val="16"/>
                <w:szCs w:val="16"/>
                <w:color w:val="auto"/>
                <w:w w:val="84"/>
              </w:rPr>
              <w:t>See Notes to Condensed Consolidated</w:t>
            </w:r>
            <w:r>
              <w:rPr>
                <w:rFonts w:ascii="Arial" w:cs="Arial" w:eastAsia="Arial" w:hAnsi="Arial"/>
                <w:sz w:val="17"/>
                <w:szCs w:val="17"/>
                <w:color w:val="auto"/>
                <w:w w:val="84"/>
              </w:rPr>
              <w:t>4</w:t>
            </w:r>
          </w:p>
        </w:tc>
        <w:tc>
          <w:tcPr>
            <w:tcW w:w="18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Financial Statements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6180" w:type="dxa"/>
            <w:vAlign w:val="bottom"/>
            <w:vMerge w:val="continue"/>
          </w:tcPr>
          <w:p>
            <w:pPr>
              <w:spacing w:after="0"/>
              <w:rPr>
                <w:sz w:val="24"/>
                <w:szCs w:val="24"/>
                <w:color w:val="auto"/>
              </w:rPr>
            </w:pPr>
          </w:p>
        </w:tc>
        <w:tc>
          <w:tcPr>
            <w:tcW w:w="18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6180" w:type="dxa"/>
            <w:vAlign w:val="bottom"/>
            <w:tcBorders>
              <w:bottom w:val="single" w:sz="8" w:color="9A9A9A"/>
            </w:tcBorders>
          </w:tcPr>
          <w:p>
            <w:pPr>
              <w:spacing w:after="0"/>
              <w:rPr>
                <w:sz w:val="9"/>
                <w:szCs w:val="9"/>
                <w:color w:val="auto"/>
              </w:rPr>
            </w:pPr>
          </w:p>
        </w:tc>
        <w:tc>
          <w:tcPr>
            <w:tcW w:w="18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color w:val="auto"/>
        </w:rPr>
        <w:t xml:space="preserve">FIDELITY NATIONAL FINANCIAL, INC. AND SUBSIDIARIES CONDENSED CONSOLIDATED STATEMENTS OF COMPREHENSIVE EARNINGS </w:t>
      </w:r>
      <w:r>
        <w:rPr>
          <w:rFonts w:ascii="Arial" w:cs="Arial" w:eastAsia="Arial" w:hAnsi="Arial"/>
          <w:sz w:val="18"/>
          <w:szCs w:val="18"/>
          <w:color w:val="auto"/>
        </w:rPr>
        <w:t>(In millions)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84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88"/>
              </w:rPr>
              <w:t>Three months ended June</w:t>
            </w:r>
          </w:p>
        </w:tc>
        <w:tc>
          <w:tcPr>
            <w:tcW w:w="174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w w:val="91"/>
              </w:rPr>
              <w:t>Six months ended June 30,</w:t>
            </w:r>
          </w:p>
        </w:tc>
        <w:tc>
          <w:tcPr>
            <w:tcW w:w="0" w:type="dxa"/>
            <w:vAlign w:val="bottom"/>
          </w:tcPr>
          <w:p>
            <w:pPr>
              <w:spacing w:after="0"/>
              <w:rPr>
                <w:sz w:val="1"/>
                <w:szCs w:val="1"/>
                <w:color w:val="auto"/>
              </w:rPr>
            </w:pPr>
          </w:p>
        </w:tc>
      </w:tr>
      <w:tr>
        <w:trPr>
          <w:trHeight w:val="184"/>
        </w:trPr>
        <w:tc>
          <w:tcPr>
            <w:tcW w:w="76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3"/>
          </w:tcPr>
          <w:p>
            <w:pPr>
              <w:jc w:val="center"/>
              <w:ind w:left="337"/>
              <w:spacing w:after="0"/>
              <w:rPr>
                <w:sz w:val="20"/>
                <w:szCs w:val="20"/>
                <w:color w:val="auto"/>
              </w:rPr>
            </w:pPr>
            <w:r>
              <w:rPr>
                <w:rFonts w:ascii="Arial" w:cs="Arial" w:eastAsia="Arial" w:hAnsi="Arial"/>
                <w:sz w:val="14"/>
                <w:szCs w:val="14"/>
                <w:b w:val="1"/>
                <w:bCs w:val="1"/>
                <w:color w:val="auto"/>
                <w:w w:val="92"/>
              </w:rPr>
              <w:t>30,</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Borders>
              <w:bottom w:val="single" w:sz="8" w:color="auto"/>
            </w:tcBorders>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6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77"/>
        </w:trPr>
        <w:tc>
          <w:tcPr>
            <w:tcW w:w="7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gridSpan w:val="4"/>
          </w:tcPr>
          <w:p>
            <w:pPr>
              <w:jc w:val="center"/>
              <w:ind w:right="114"/>
              <w:spacing w:after="0"/>
              <w:rPr>
                <w:sz w:val="20"/>
                <w:szCs w:val="20"/>
                <w:color w:val="auto"/>
              </w:rPr>
            </w:pPr>
            <w:r>
              <w:rPr>
                <w:rFonts w:ascii="Arial" w:cs="Arial" w:eastAsia="Arial" w:hAnsi="Arial"/>
                <w:sz w:val="14"/>
                <w:szCs w:val="14"/>
                <w:b w:val="1"/>
                <w:bCs w:val="1"/>
                <w:color w:val="auto"/>
                <w:w w:val="95"/>
              </w:rPr>
              <w:t>(Unaudited)</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gridSpan w:val="4"/>
          </w:tcPr>
          <w:p>
            <w:pPr>
              <w:jc w:val="right"/>
              <w:ind w:right="414"/>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24"/>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w:t>
            </w:r>
          </w:p>
        </w:tc>
        <w:tc>
          <w:tcPr>
            <w:tcW w:w="0" w:type="dxa"/>
            <w:vAlign w:val="bottom"/>
          </w:tcPr>
          <w:p>
            <w:pPr>
              <w:spacing w:after="0"/>
              <w:rPr>
                <w:sz w:val="1"/>
                <w:szCs w:val="1"/>
                <w:color w:val="auto"/>
              </w:rPr>
            </w:pPr>
          </w:p>
        </w:tc>
      </w:tr>
      <w:tr>
        <w:trPr>
          <w:trHeight w:val="223"/>
        </w:trPr>
        <w:tc>
          <w:tcPr>
            <w:tcW w:w="7660" w:type="dxa"/>
            <w:vAlign w:val="bottom"/>
          </w:tcPr>
          <w:p>
            <w:pPr>
              <w:ind w:left="20"/>
              <w:spacing w:after="0"/>
              <w:rPr>
                <w:sz w:val="20"/>
                <w:szCs w:val="20"/>
                <w:color w:val="auto"/>
              </w:rPr>
            </w:pPr>
            <w:r>
              <w:rPr>
                <w:rFonts w:ascii="Arial" w:cs="Arial" w:eastAsia="Arial" w:hAnsi="Arial"/>
                <w:sz w:val="18"/>
                <w:szCs w:val="18"/>
                <w:color w:val="auto"/>
              </w:rPr>
              <w:t>Other comprehensive (loss) earnings:</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7660" w:type="dxa"/>
            <w:vAlign w:val="bottom"/>
            <w:shd w:val="clear" w:color="auto" w:fill="CCEEFF"/>
          </w:tcPr>
          <w:p>
            <w:pPr>
              <w:ind w:left="220"/>
              <w:spacing w:after="0" w:line="172" w:lineRule="exact"/>
              <w:rPr>
                <w:sz w:val="20"/>
                <w:szCs w:val="20"/>
                <w:color w:val="auto"/>
              </w:rPr>
            </w:pPr>
            <w:r>
              <w:rPr>
                <w:rFonts w:ascii="Arial" w:cs="Arial" w:eastAsia="Arial" w:hAnsi="Arial"/>
                <w:sz w:val="18"/>
                <w:szCs w:val="18"/>
                <w:color w:val="auto"/>
                <w:w w:val="91"/>
              </w:rPr>
              <w:t>Unrealized (loss) gain on investments and other financial instruments, net of adjustments to intangible</w:t>
            </w:r>
          </w:p>
        </w:tc>
        <w:tc>
          <w:tcPr>
            <w:tcW w:w="20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(1,509)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(3,038)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23"/>
        </w:trPr>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assets and unearned revenue (excluding investments in unconsolidated affiliates) (1)</w:t>
            </w:r>
          </w:p>
        </w:tc>
        <w:tc>
          <w:tcPr>
            <w:tcW w:w="20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60" w:type="dxa"/>
            <w:vAlign w:val="bottom"/>
          </w:tcPr>
          <w:p>
            <w:pPr>
              <w:ind w:left="220"/>
              <w:spacing w:after="0"/>
              <w:rPr>
                <w:sz w:val="20"/>
                <w:szCs w:val="20"/>
                <w:color w:val="auto"/>
              </w:rPr>
            </w:pPr>
            <w:r>
              <w:rPr>
                <w:rFonts w:ascii="Arial" w:cs="Arial" w:eastAsia="Arial" w:hAnsi="Arial"/>
                <w:sz w:val="18"/>
                <w:szCs w:val="18"/>
                <w:color w:val="auto"/>
              </w:rPr>
              <w:t>Unrealized gain on investments in unconsolidated affiliates (2)</w:t>
            </w:r>
          </w:p>
        </w:tc>
        <w:tc>
          <w:tcPr>
            <w:tcW w:w="20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4"/>
        </w:trPr>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Unrealized (loss) gain on foreign currency translation (3)</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6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w w:val="94"/>
              </w:rPr>
              <w:t>Reclassification adjustments for change in unrealized gains and losses included in net earnings (4)</w:t>
            </w: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7"/>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earnings</w:t>
            </w: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7"/>
        </w:trPr>
        <w:tc>
          <w:tcPr>
            <w:tcW w:w="7660" w:type="dxa"/>
            <w:vAlign w:val="bottom"/>
          </w:tcPr>
          <w:p>
            <w:pPr>
              <w:ind w:left="20"/>
              <w:spacing w:after="0"/>
              <w:rPr>
                <w:sz w:val="20"/>
                <w:szCs w:val="20"/>
                <w:color w:val="auto"/>
              </w:rPr>
            </w:pPr>
            <w:r>
              <w:rPr>
                <w:rFonts w:ascii="Arial" w:cs="Arial" w:eastAsia="Arial" w:hAnsi="Arial"/>
                <w:sz w:val="18"/>
                <w:szCs w:val="18"/>
                <w:color w:val="auto"/>
              </w:rPr>
              <w:t>Comprehensive (loss) earnings</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(1,090)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931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(2,182)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956</w:t>
            </w:r>
          </w:p>
        </w:tc>
        <w:tc>
          <w:tcPr>
            <w:tcW w:w="0" w:type="dxa"/>
            <w:vAlign w:val="bottom"/>
          </w:tcPr>
          <w:p>
            <w:pPr>
              <w:spacing w:after="0"/>
              <w:rPr>
                <w:sz w:val="1"/>
                <w:szCs w:val="1"/>
                <w:color w:val="auto"/>
              </w:rPr>
            </w:pPr>
          </w:p>
        </w:tc>
      </w:tr>
      <w:tr>
        <w:trPr>
          <w:trHeight w:val="224"/>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Comprehensive earnings attributable to non-controlling interests</w:t>
            </w:r>
          </w:p>
        </w:tc>
        <w:tc>
          <w:tcPr>
            <w:tcW w:w="2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7"/>
        </w:trPr>
        <w:tc>
          <w:tcPr>
            <w:tcW w:w="7660" w:type="dxa"/>
            <w:vAlign w:val="bottom"/>
          </w:tcPr>
          <w:p>
            <w:pPr>
              <w:ind w:left="20"/>
              <w:spacing w:after="0"/>
              <w:rPr>
                <w:sz w:val="20"/>
                <w:szCs w:val="20"/>
                <w:color w:val="auto"/>
              </w:rPr>
            </w:pPr>
            <w:r>
              <w:rPr>
                <w:rFonts w:ascii="Arial" w:cs="Arial" w:eastAsia="Arial" w:hAnsi="Arial"/>
                <w:sz w:val="18"/>
                <w:szCs w:val="18"/>
                <w:color w:val="auto"/>
                <w:w w:val="95"/>
              </w:rPr>
              <w:t>Comprehensive (loss) earnings attributable to Fidelity National Financial, Inc. common shareholders</w:t>
            </w:r>
          </w:p>
        </w:tc>
        <w:tc>
          <w:tcPr>
            <w:tcW w:w="20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(1,096)</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w:t>
      </w:r>
    </w:p>
    <w:p>
      <w:pPr>
        <w:spacing w:after="0" w:line="56" w:lineRule="exact"/>
        <w:rPr>
          <w:sz w:val="20"/>
          <w:szCs w:val="20"/>
          <w:color w:val="auto"/>
        </w:rPr>
      </w:pPr>
    </w:p>
    <w:p>
      <w:pPr>
        <w:ind w:left="960" w:hanging="955"/>
        <w:spacing w:after="0" w:line="261" w:lineRule="auto"/>
        <w:tabs>
          <w:tab w:leader="none" w:pos="954"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(benefit) expense of $(398) million and $100 million for the three months ended June 30, 2022 and 2021, respectively, and $(689) million and $(46) million for the six months periods ended June 30, 2022 and 2021, respectively.</w:t>
      </w:r>
    </w:p>
    <w:p>
      <w:pPr>
        <w:spacing w:after="0" w:line="128" w:lineRule="exact"/>
        <w:rPr>
          <w:rFonts w:ascii="Arial" w:cs="Arial" w:eastAsia="Arial" w:hAnsi="Arial"/>
          <w:sz w:val="18"/>
          <w:szCs w:val="18"/>
          <w:color w:val="auto"/>
        </w:rPr>
      </w:pPr>
    </w:p>
    <w:p>
      <w:pPr>
        <w:ind w:left="940" w:hanging="935"/>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expense of $2 million and $3 million for the six months ended June 30, 2022 and 2021, respectively.</w:t>
      </w:r>
    </w:p>
    <w:p>
      <w:pPr>
        <w:spacing w:after="0" w:line="161" w:lineRule="exact"/>
        <w:rPr>
          <w:rFonts w:ascii="Arial" w:cs="Arial" w:eastAsia="Arial" w:hAnsi="Arial"/>
          <w:sz w:val="18"/>
          <w:szCs w:val="18"/>
          <w:color w:val="auto"/>
        </w:rPr>
      </w:pPr>
    </w:p>
    <w:p>
      <w:pPr>
        <w:ind w:left="960" w:hanging="955"/>
        <w:spacing w:after="0" w:line="261" w:lineRule="auto"/>
        <w:tabs>
          <w:tab w:leader="none" w:pos="954"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(benefit) expense of less than $(1) million and $1 million for the three months ended June 30, 2022 and 2021, respectively, and less than $(1) million for the six months ended June 30, 2022 and 2021.</w:t>
      </w:r>
    </w:p>
    <w:p>
      <w:pPr>
        <w:spacing w:after="0" w:line="128" w:lineRule="exact"/>
        <w:rPr>
          <w:rFonts w:ascii="Arial" w:cs="Arial" w:eastAsia="Arial" w:hAnsi="Arial"/>
          <w:sz w:val="18"/>
          <w:szCs w:val="18"/>
          <w:color w:val="auto"/>
        </w:rPr>
      </w:pPr>
    </w:p>
    <w:p>
      <w:pPr>
        <w:ind w:left="960" w:hanging="955"/>
        <w:spacing w:after="0" w:line="261" w:lineRule="auto"/>
        <w:tabs>
          <w:tab w:leader="none" w:pos="954"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(benefit) expense of $(11) million and $1 million for the three-month periods June 30, 2022 and 2021, respectively, and $(19) million and $14 million for the six-month periods ended June 30, 2022 and 2021, respectively.</w:t>
      </w:r>
    </w:p>
    <w:p>
      <w:pPr>
        <w:spacing w:after="0" w:line="129"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8"/>
          </w:tcPr>
          <w:p>
            <w:pPr>
              <w:ind w:left="20"/>
              <w:spacing w:after="0"/>
              <w:rPr>
                <w:sz w:val="20"/>
                <w:szCs w:val="20"/>
                <w:color w:val="auto"/>
              </w:rPr>
            </w:pPr>
            <w:r>
              <w:rPr>
                <w:rFonts w:ascii="Arial" w:cs="Arial" w:eastAsia="Arial" w:hAnsi="Arial"/>
                <w:sz w:val="12"/>
                <w:szCs w:val="12"/>
                <w:b w:val="1"/>
                <w:bCs w:val="1"/>
                <w:color w:val="auto"/>
              </w:rPr>
              <w:t>Fidelity National Financial, Inc. Common Shareholders</w:t>
            </w: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2"/>
              </w:rPr>
              <w:t>Accumulated</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jc w:val="center"/>
              <w:ind w:left="519"/>
              <w:spacing w:after="0"/>
              <w:rPr>
                <w:sz w:val="20"/>
                <w:szCs w:val="20"/>
                <w:color w:val="auto"/>
              </w:rPr>
            </w:pPr>
            <w:r>
              <w:rPr>
                <w:rFonts w:ascii="Arial" w:cs="Arial" w:eastAsia="Arial" w:hAnsi="Arial"/>
                <w:sz w:val="12"/>
                <w:szCs w:val="12"/>
                <w:b w:val="1"/>
                <w:bCs w:val="1"/>
                <w:color w:val="auto"/>
              </w:rPr>
              <w:t>FNF</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3"/>
              </w:rPr>
              <w:t>Other</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4"/>
          </w:tcPr>
          <w:p>
            <w:pPr>
              <w:jc w:val="center"/>
              <w:ind w:left="339"/>
              <w:spacing w:after="0"/>
              <w:rPr>
                <w:sz w:val="20"/>
                <w:szCs w:val="20"/>
                <w:color w:val="auto"/>
              </w:rPr>
            </w:pPr>
            <w:r>
              <w:rPr>
                <w:rFonts w:ascii="Arial" w:cs="Arial" w:eastAsia="Arial" w:hAnsi="Arial"/>
                <w:sz w:val="12"/>
                <w:szCs w:val="12"/>
                <w:b w:val="1"/>
                <w:bCs w:val="1"/>
                <w:color w:val="auto"/>
                <w:w w:val="92"/>
              </w:rPr>
              <w:t>Common</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5"/>
              </w:rPr>
              <w:t>Additional</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1"/>
              </w:rPr>
              <w:t>Comprehensive</w:t>
            </w:r>
          </w:p>
        </w:tc>
        <w:tc>
          <w:tcPr>
            <w:tcW w:w="980" w:type="dxa"/>
            <w:vAlign w:val="bottom"/>
            <w:gridSpan w:val="3"/>
          </w:tcPr>
          <w:p>
            <w:pPr>
              <w:jc w:val="right"/>
              <w:spacing w:after="0"/>
              <w:rPr>
                <w:sz w:val="20"/>
                <w:szCs w:val="20"/>
                <w:color w:val="auto"/>
              </w:rPr>
            </w:pPr>
            <w:r>
              <w:rPr>
                <w:rFonts w:ascii="Arial" w:cs="Arial" w:eastAsia="Arial" w:hAnsi="Arial"/>
                <w:sz w:val="12"/>
                <w:szCs w:val="12"/>
                <w:b w:val="1"/>
                <w:bCs w:val="1"/>
                <w:color w:val="auto"/>
              </w:rPr>
              <w:t>Treasury</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4"/>
              </w:rPr>
              <w:t>Non-</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Borders>
              <w:bottom w:val="single" w:sz="8" w:color="auto"/>
            </w:tcBorders>
            <w:gridSpan w:val="4"/>
          </w:tcPr>
          <w:p>
            <w:pPr>
              <w:jc w:val="center"/>
              <w:ind w:left="339"/>
              <w:spacing w:after="0"/>
              <w:rPr>
                <w:sz w:val="20"/>
                <w:szCs w:val="20"/>
                <w:color w:val="auto"/>
              </w:rPr>
            </w:pPr>
            <w:r>
              <w:rPr>
                <w:rFonts w:ascii="Arial" w:cs="Arial" w:eastAsia="Arial" w:hAnsi="Arial"/>
                <w:sz w:val="12"/>
                <w:szCs w:val="12"/>
                <w:b w:val="1"/>
                <w:bCs w:val="1"/>
                <w:color w:val="auto"/>
                <w:w w:val="85"/>
              </w:rPr>
              <w:t>Stock</w:t>
            </w:r>
          </w:p>
        </w:tc>
        <w:tc>
          <w:tcPr>
            <w:tcW w:w="4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4"/>
              </w:rPr>
              <w:t>Paid-in</w:t>
            </w:r>
          </w:p>
        </w:tc>
        <w:tc>
          <w:tcPr>
            <w:tcW w:w="140" w:type="dxa"/>
            <w:vAlign w:val="bottom"/>
          </w:tcPr>
          <w:p>
            <w:pPr>
              <w:spacing w:after="0"/>
              <w:rPr>
                <w:sz w:val="15"/>
                <w:szCs w:val="15"/>
                <w:color w:val="auto"/>
              </w:rPr>
            </w:pP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Retained</w:t>
            </w:r>
          </w:p>
        </w:tc>
        <w:tc>
          <w:tcPr>
            <w:tcW w:w="140" w:type="dxa"/>
            <w:vAlign w:val="bottom"/>
          </w:tcPr>
          <w:p>
            <w:pPr>
              <w:spacing w:after="0"/>
              <w:rPr>
                <w:sz w:val="15"/>
                <w:szCs w:val="15"/>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3"/>
              </w:rPr>
              <w:t>Earnings</w:t>
            </w:r>
          </w:p>
        </w:tc>
        <w:tc>
          <w:tcPr>
            <w:tcW w:w="98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2"/>
                <w:szCs w:val="12"/>
                <w:b w:val="1"/>
                <w:bCs w:val="1"/>
                <w:color w:val="auto"/>
              </w:rPr>
              <w:t>Stock</w:t>
            </w: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0"/>
              </w:rPr>
              <w:t>controlling</w:t>
            </w:r>
          </w:p>
        </w:tc>
        <w:tc>
          <w:tcPr>
            <w:tcW w:w="120" w:type="dxa"/>
            <w:vAlign w:val="bottom"/>
          </w:tcPr>
          <w:p>
            <w:pPr>
              <w:spacing w:after="0"/>
              <w:rPr>
                <w:sz w:val="15"/>
                <w:szCs w:val="15"/>
                <w:color w:val="auto"/>
              </w:rPr>
            </w:pPr>
          </w:p>
        </w:tc>
        <w:tc>
          <w:tcPr>
            <w:tcW w:w="560" w:type="dxa"/>
            <w:vAlign w:val="bottom"/>
          </w:tcPr>
          <w:p>
            <w:pPr>
              <w:jc w:val="right"/>
              <w:ind w:right="139"/>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4"/>
        </w:trPr>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ind w:left="18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00" w:type="dxa"/>
            <w:vAlign w:val="bottom"/>
          </w:tcPr>
          <w:p>
            <w:pPr>
              <w:ind w:left="80"/>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9"/>
              </w:rPr>
              <w:t>Capital</w:t>
            </w:r>
          </w:p>
        </w:tc>
        <w:tc>
          <w:tcPr>
            <w:tcW w:w="14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Earnings</w:t>
            </w:r>
          </w:p>
        </w:tc>
        <w:tc>
          <w:tcPr>
            <w:tcW w:w="14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8"/>
              </w:rPr>
              <w:t>(Loss)</w:t>
            </w:r>
          </w:p>
        </w:tc>
        <w:tc>
          <w:tcPr>
            <w:tcW w:w="800" w:type="dxa"/>
            <w:vAlign w:val="bottom"/>
            <w:gridSpan w:val="2"/>
          </w:tcPr>
          <w:p>
            <w:pPr>
              <w:ind w:left="16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7"/>
              </w:rPr>
              <w:t>Interests</w:t>
            </w:r>
          </w:p>
        </w:tc>
        <w:tc>
          <w:tcPr>
            <w:tcW w:w="120" w:type="dxa"/>
            <w:vAlign w:val="bottom"/>
          </w:tcPr>
          <w:p>
            <w:pPr>
              <w:spacing w:after="0"/>
              <w:rPr>
                <w:sz w:val="14"/>
                <w:szCs w:val="14"/>
                <w:color w:val="auto"/>
              </w:rPr>
            </w:pPr>
          </w:p>
        </w:tc>
        <w:tc>
          <w:tcPr>
            <w:tcW w:w="560" w:type="dxa"/>
            <w:vAlign w:val="bottom"/>
          </w:tcPr>
          <w:p>
            <w:pPr>
              <w:jc w:val="right"/>
              <w:ind w:right="99"/>
              <w:spacing w:after="0"/>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163"/>
        </w:trPr>
        <w:tc>
          <w:tcPr>
            <w:tcW w:w="3240" w:type="dxa"/>
            <w:vAlign w:val="bottom"/>
            <w:gridSpan w:val="2"/>
          </w:tcPr>
          <w:p>
            <w:pPr>
              <w:ind w:left="20"/>
              <w:spacing w:after="0"/>
              <w:rPr>
                <w:sz w:val="20"/>
                <w:szCs w:val="20"/>
                <w:color w:val="auto"/>
              </w:rPr>
            </w:pPr>
            <w:r>
              <w:rPr>
                <w:rFonts w:ascii="Arial" w:cs="Arial" w:eastAsia="Arial" w:hAnsi="Arial"/>
                <w:sz w:val="12"/>
                <w:szCs w:val="12"/>
                <w:color w:val="auto"/>
              </w:rPr>
              <w:t>Balance, March 31, 2021</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324</w:t>
            </w: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tcPr>
          <w:p>
            <w:pPr>
              <w:ind w:lef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5,752</w:t>
            </w:r>
          </w:p>
        </w:tc>
        <w:tc>
          <w:tcPr>
            <w:tcW w:w="10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2,893</w:t>
            </w:r>
          </w:p>
        </w:tc>
        <w:tc>
          <w:tcPr>
            <w:tcW w:w="10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720</w:t>
            </w:r>
          </w:p>
        </w:tc>
        <w:tc>
          <w:tcPr>
            <w:tcW w:w="120" w:type="dxa"/>
            <w:vAlign w:val="bottom"/>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34</w:t>
            </w:r>
          </w:p>
        </w:tc>
        <w:tc>
          <w:tcPr>
            <w:tcW w:w="120" w:type="dxa"/>
            <w:vAlign w:val="bottom"/>
          </w:tcPr>
          <w:p>
            <w:pPr>
              <w:spacing w:after="0"/>
              <w:rPr>
                <w:sz w:val="14"/>
                <w:szCs w:val="14"/>
                <w:color w:val="auto"/>
              </w:rPr>
            </w:pPr>
          </w:p>
        </w:tc>
        <w:tc>
          <w:tcPr>
            <w:tcW w:w="180" w:type="dxa"/>
            <w:vAlign w:val="bottom"/>
            <w:tcBorders>
              <w:top w:val="single" w:sz="8" w:color="auto"/>
            </w:tcBorders>
          </w:tcPr>
          <w:p>
            <w:pPr>
              <w:jc w:val="right"/>
              <w:ind w:right="39"/>
              <w:spacing w:after="0"/>
              <w:rPr>
                <w:sz w:val="20"/>
                <w:szCs w:val="20"/>
                <w:color w:val="auto"/>
              </w:rPr>
            </w:pPr>
            <w:r>
              <w:rPr>
                <w:rFonts w:ascii="Arial" w:cs="Arial" w:eastAsia="Arial" w:hAnsi="Arial"/>
                <w:sz w:val="12"/>
                <w:szCs w:val="12"/>
                <w:color w:val="auto"/>
                <w:w w:val="89"/>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99"/>
              </w:rPr>
              <w:t>(1,179)</w:t>
            </w:r>
          </w:p>
        </w:tc>
        <w:tc>
          <w:tcPr>
            <w:tcW w:w="10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40</w:t>
            </w:r>
          </w:p>
        </w:tc>
        <w:tc>
          <w:tcPr>
            <w:tcW w:w="10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8,226</w:t>
            </w:r>
          </w:p>
        </w:tc>
        <w:tc>
          <w:tcPr>
            <w:tcW w:w="0" w:type="dxa"/>
            <w:vAlign w:val="bottom"/>
          </w:tcPr>
          <w:p>
            <w:pPr>
              <w:spacing w:after="0"/>
              <w:rPr>
                <w:sz w:val="1"/>
                <w:szCs w:val="1"/>
                <w:color w:val="auto"/>
              </w:rPr>
            </w:pPr>
          </w:p>
        </w:tc>
      </w:tr>
      <w:tr>
        <w:trPr>
          <w:trHeight w:val="179"/>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Exercise of stock options</w:t>
            </w: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w:t>
            </w:r>
          </w:p>
        </w:tc>
        <w:tc>
          <w:tcPr>
            <w:tcW w:w="0" w:type="dxa"/>
            <w:vAlign w:val="bottom"/>
          </w:tcPr>
          <w:p>
            <w:pPr>
              <w:spacing w:after="0"/>
              <w:rPr>
                <w:sz w:val="1"/>
                <w:szCs w:val="1"/>
                <w:color w:val="auto"/>
              </w:rPr>
            </w:pPr>
          </w:p>
        </w:tc>
      </w:tr>
      <w:tr>
        <w:trPr>
          <w:trHeight w:val="163"/>
        </w:trPr>
        <w:tc>
          <w:tcPr>
            <w:tcW w:w="3240" w:type="dxa"/>
            <w:vAlign w:val="bottom"/>
            <w:gridSpan w:val="2"/>
          </w:tcPr>
          <w:p>
            <w:pPr>
              <w:ind w:left="20"/>
              <w:spacing w:after="0"/>
              <w:rPr>
                <w:sz w:val="20"/>
                <w:szCs w:val="20"/>
                <w:color w:val="auto"/>
              </w:rPr>
            </w:pPr>
            <w:r>
              <w:rPr>
                <w:rFonts w:ascii="Arial" w:cs="Arial" w:eastAsia="Arial" w:hAnsi="Arial"/>
                <w:sz w:val="12"/>
                <w:szCs w:val="12"/>
                <w:color w:val="auto"/>
              </w:rPr>
              <w:t>Purchase of incremental share in consolidated subsidiaries</w:t>
            </w:r>
          </w:p>
        </w:tc>
        <w:tc>
          <w:tcPr>
            <w:tcW w:w="82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500" w:type="dxa"/>
            <w:vAlign w:val="bottom"/>
            <w:gridSpan w:val="2"/>
          </w:tcPr>
          <w:p>
            <w:pPr>
              <w:ind w:lef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520" w:type="dxa"/>
            <w:vAlign w:val="bottom"/>
            <w:gridSpan w:val="2"/>
          </w:tcPr>
          <w:p>
            <w:pPr>
              <w:ind w:lef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79"/>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Treasury stock repurchased</w:t>
            </w: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(183)</w:t>
            </w:r>
          </w:p>
        </w:tc>
        <w:tc>
          <w:tcPr>
            <w:tcW w:w="0" w:type="dxa"/>
            <w:vAlign w:val="bottom"/>
          </w:tcPr>
          <w:p>
            <w:pPr>
              <w:spacing w:after="0"/>
              <w:rPr>
                <w:sz w:val="1"/>
                <w:szCs w:val="1"/>
                <w:color w:val="auto"/>
              </w:rPr>
            </w:pPr>
          </w:p>
        </w:tc>
      </w:tr>
      <w:tr>
        <w:trPr>
          <w:trHeight w:val="118"/>
        </w:trPr>
        <w:tc>
          <w:tcPr>
            <w:tcW w:w="3240" w:type="dxa"/>
            <w:vAlign w:val="bottom"/>
            <w:gridSpan w:val="2"/>
          </w:tcPr>
          <w:p>
            <w:pPr>
              <w:ind w:left="20"/>
              <w:spacing w:after="0" w:line="118" w:lineRule="exact"/>
              <w:rPr>
                <w:sz w:val="20"/>
                <w:szCs w:val="20"/>
                <w:color w:val="auto"/>
              </w:rPr>
            </w:pPr>
            <w:r>
              <w:rPr>
                <w:rFonts w:ascii="Arial" w:cs="Arial" w:eastAsia="Arial" w:hAnsi="Arial"/>
                <w:sz w:val="12"/>
                <w:szCs w:val="12"/>
                <w:color w:val="auto"/>
              </w:rPr>
              <w:t>Other comprehensive earnings - unrealized gain on</w:t>
            </w:r>
          </w:p>
        </w:tc>
        <w:tc>
          <w:tcPr>
            <w:tcW w:w="820" w:type="dxa"/>
            <w:vAlign w:val="bottom"/>
            <w:gridSpan w:val="3"/>
            <w:vMerge w:val="restart"/>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0"/>
                <w:szCs w:val="10"/>
                <w:color w:val="auto"/>
              </w:rPr>
            </w:pPr>
          </w:p>
        </w:tc>
        <w:tc>
          <w:tcPr>
            <w:tcW w:w="5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Arial" w:cs="Arial" w:eastAsia="Arial" w:hAnsi="Arial"/>
                <w:sz w:val="12"/>
                <w:szCs w:val="12"/>
                <w:color w:val="auto"/>
              </w:rPr>
              <w:t>377</w:t>
            </w:r>
          </w:p>
        </w:tc>
        <w:tc>
          <w:tcPr>
            <w:tcW w:w="12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0"/>
                <w:szCs w:val="10"/>
                <w:color w:val="auto"/>
              </w:rPr>
            </w:pPr>
          </w:p>
        </w:tc>
        <w:tc>
          <w:tcPr>
            <w:tcW w:w="5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377</w:t>
            </w:r>
          </w:p>
        </w:tc>
        <w:tc>
          <w:tcPr>
            <w:tcW w:w="0" w:type="dxa"/>
            <w:vAlign w:val="bottom"/>
          </w:tcPr>
          <w:p>
            <w:pPr>
              <w:spacing w:after="0"/>
              <w:rPr>
                <w:sz w:val="1"/>
                <w:szCs w:val="1"/>
                <w:color w:val="auto"/>
              </w:rPr>
            </w:pPr>
          </w:p>
        </w:tc>
      </w:tr>
      <w:tr>
        <w:trPr>
          <w:trHeight w:val="163"/>
        </w:trPr>
        <w:tc>
          <w:tcPr>
            <w:tcW w:w="3240" w:type="dxa"/>
            <w:vAlign w:val="bottom"/>
            <w:gridSpan w:val="2"/>
          </w:tcPr>
          <w:p>
            <w:pPr>
              <w:ind w:left="20"/>
              <w:spacing w:after="0"/>
              <w:rPr>
                <w:sz w:val="20"/>
                <w:szCs w:val="20"/>
                <w:color w:val="auto"/>
              </w:rPr>
            </w:pPr>
            <w:r>
              <w:rPr>
                <w:rFonts w:ascii="Arial" w:cs="Arial" w:eastAsia="Arial" w:hAnsi="Arial"/>
                <w:sz w:val="12"/>
                <w:szCs w:val="12"/>
                <w:color w:val="auto"/>
              </w:rPr>
              <w:t>investments and other financial instruments</w:t>
            </w:r>
          </w:p>
        </w:tc>
        <w:tc>
          <w:tcPr>
            <w:tcW w:w="82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240" w:type="dxa"/>
            <w:vAlign w:val="bottom"/>
            <w:gridSpan w:val="2"/>
            <w:shd w:val="clear" w:color="auto" w:fill="CCEEFF"/>
          </w:tcPr>
          <w:p>
            <w:pPr>
              <w:ind w:left="20"/>
              <w:spacing w:after="0" w:line="126" w:lineRule="exact"/>
              <w:rPr>
                <w:sz w:val="20"/>
                <w:szCs w:val="20"/>
                <w:color w:val="auto"/>
              </w:rPr>
            </w:pPr>
            <w:r>
              <w:rPr>
                <w:rFonts w:ascii="Arial" w:cs="Arial" w:eastAsia="Arial" w:hAnsi="Arial"/>
                <w:sz w:val="12"/>
                <w:szCs w:val="12"/>
                <w:color w:val="auto"/>
              </w:rPr>
              <w:t>Other comprehensive earnings - unrealized gain on foreign</w:t>
            </w:r>
          </w:p>
        </w:tc>
        <w:tc>
          <w:tcPr>
            <w:tcW w:w="82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0"/>
                <w:szCs w:val="10"/>
                <w:color w:val="auto"/>
              </w:rPr>
            </w:pPr>
          </w:p>
        </w:tc>
        <w:tc>
          <w:tcPr>
            <w:tcW w:w="500" w:type="dxa"/>
            <w:vAlign w:val="bottom"/>
            <w:gridSpan w:val="2"/>
            <w:vMerge w:val="restart"/>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0"/>
                <w:szCs w:val="10"/>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2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0"/>
                <w:szCs w:val="10"/>
                <w:color w:val="auto"/>
              </w:rPr>
            </w:pPr>
          </w:p>
        </w:tc>
        <w:tc>
          <w:tcPr>
            <w:tcW w:w="520" w:type="dxa"/>
            <w:vAlign w:val="bottom"/>
            <w:gridSpan w:val="2"/>
            <w:vMerge w:val="restart"/>
            <w:shd w:val="clear" w:color="auto" w:fill="CCEEFF"/>
          </w:tcPr>
          <w:p>
            <w:pPr>
              <w:ind w:lef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71"/>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currency translation</w:t>
            </w:r>
          </w:p>
        </w:tc>
        <w:tc>
          <w:tcPr>
            <w:tcW w:w="820" w:type="dxa"/>
            <w:vAlign w:val="bottom"/>
            <w:gridSpan w:val="3"/>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3240" w:type="dxa"/>
            <w:vAlign w:val="bottom"/>
            <w:gridSpan w:val="2"/>
          </w:tcPr>
          <w:p>
            <w:pPr>
              <w:ind w:left="20"/>
              <w:spacing w:after="0" w:line="118" w:lineRule="exact"/>
              <w:rPr>
                <w:sz w:val="20"/>
                <w:szCs w:val="20"/>
                <w:color w:val="auto"/>
              </w:rPr>
            </w:pPr>
            <w:r>
              <w:rPr>
                <w:rFonts w:ascii="Arial" w:cs="Arial" w:eastAsia="Arial" w:hAnsi="Arial"/>
                <w:sz w:val="12"/>
                <w:szCs w:val="12"/>
                <w:color w:val="auto"/>
              </w:rPr>
              <w:t>Reclassification adjustments for change in unrealized gains</w:t>
            </w:r>
          </w:p>
        </w:tc>
        <w:tc>
          <w:tcPr>
            <w:tcW w:w="820" w:type="dxa"/>
            <w:vAlign w:val="bottom"/>
            <w:gridSpan w:val="3"/>
            <w:vMerge w:val="restart"/>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0"/>
                <w:szCs w:val="10"/>
                <w:color w:val="auto"/>
              </w:rPr>
            </w:pPr>
          </w:p>
        </w:tc>
        <w:tc>
          <w:tcPr>
            <w:tcW w:w="5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Arial" w:cs="Arial" w:eastAsia="Arial" w:hAnsi="Arial"/>
                <w:sz w:val="12"/>
                <w:szCs w:val="12"/>
                <w:color w:val="auto"/>
              </w:rPr>
              <w:t>(5)</w:t>
            </w:r>
          </w:p>
        </w:tc>
        <w:tc>
          <w:tcPr>
            <w:tcW w:w="12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0"/>
                <w:szCs w:val="10"/>
                <w:color w:val="auto"/>
              </w:rPr>
            </w:pPr>
          </w:p>
        </w:tc>
        <w:tc>
          <w:tcPr>
            <w:tcW w:w="5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63"/>
        </w:trPr>
        <w:tc>
          <w:tcPr>
            <w:tcW w:w="3240" w:type="dxa"/>
            <w:vAlign w:val="bottom"/>
            <w:gridSpan w:val="2"/>
          </w:tcPr>
          <w:p>
            <w:pPr>
              <w:ind w:left="20"/>
              <w:spacing w:after="0"/>
              <w:rPr>
                <w:sz w:val="20"/>
                <w:szCs w:val="20"/>
                <w:color w:val="auto"/>
              </w:rPr>
            </w:pPr>
            <w:r>
              <w:rPr>
                <w:rFonts w:ascii="Arial" w:cs="Arial" w:eastAsia="Arial" w:hAnsi="Arial"/>
                <w:sz w:val="12"/>
                <w:szCs w:val="12"/>
                <w:color w:val="auto"/>
              </w:rPr>
              <w:t>and losses included in net earnings</w:t>
            </w:r>
          </w:p>
        </w:tc>
        <w:tc>
          <w:tcPr>
            <w:tcW w:w="82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Stock-based compensation</w:t>
            </w: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163"/>
        </w:trPr>
        <w:tc>
          <w:tcPr>
            <w:tcW w:w="3240" w:type="dxa"/>
            <w:vAlign w:val="bottom"/>
            <w:gridSpan w:val="2"/>
          </w:tcPr>
          <w:p>
            <w:pPr>
              <w:ind w:left="20"/>
              <w:spacing w:after="0"/>
              <w:rPr>
                <w:sz w:val="20"/>
                <w:szCs w:val="20"/>
                <w:color w:val="auto"/>
              </w:rPr>
            </w:pPr>
            <w:r>
              <w:rPr>
                <w:rFonts w:ascii="Arial" w:cs="Arial" w:eastAsia="Arial" w:hAnsi="Arial"/>
                <w:sz w:val="12"/>
                <w:szCs w:val="12"/>
                <w:color w:val="auto"/>
              </w:rPr>
              <w:t>Dividends declared, $0.36 per common share</w:t>
            </w:r>
          </w:p>
        </w:tc>
        <w:tc>
          <w:tcPr>
            <w:tcW w:w="82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500" w:type="dxa"/>
            <w:vAlign w:val="bottom"/>
            <w:gridSpan w:val="2"/>
          </w:tcPr>
          <w:p>
            <w:pPr>
              <w:ind w:lef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(102)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520" w:type="dxa"/>
            <w:vAlign w:val="bottom"/>
            <w:gridSpan w:val="2"/>
          </w:tcPr>
          <w:p>
            <w:pPr>
              <w:ind w:lef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(102)</w:t>
            </w:r>
          </w:p>
        </w:tc>
        <w:tc>
          <w:tcPr>
            <w:tcW w:w="0" w:type="dxa"/>
            <w:vAlign w:val="bottom"/>
          </w:tcPr>
          <w:p>
            <w:pPr>
              <w:spacing w:after="0"/>
              <w:rPr>
                <w:sz w:val="1"/>
                <w:szCs w:val="1"/>
                <w:color w:val="auto"/>
              </w:rPr>
            </w:pPr>
          </w:p>
        </w:tc>
      </w:tr>
      <w:tr>
        <w:trPr>
          <w:trHeight w:val="179"/>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Subsidiary dividends declared to non-controlling interests</w:t>
            </w: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64"/>
        </w:trPr>
        <w:tc>
          <w:tcPr>
            <w:tcW w:w="3240" w:type="dxa"/>
            <w:vAlign w:val="bottom"/>
            <w:gridSpan w:val="2"/>
          </w:tcPr>
          <w:p>
            <w:pPr>
              <w:ind w:left="20"/>
              <w:spacing w:after="0"/>
              <w:rPr>
                <w:sz w:val="20"/>
                <w:szCs w:val="20"/>
                <w:color w:val="auto"/>
              </w:rPr>
            </w:pPr>
            <w:r>
              <w:rPr>
                <w:rFonts w:ascii="Arial" w:cs="Arial" w:eastAsia="Arial" w:hAnsi="Arial"/>
                <w:sz w:val="12"/>
                <w:szCs w:val="12"/>
                <w:color w:val="auto"/>
              </w:rPr>
              <w:t>Net earnings</w:t>
            </w:r>
          </w:p>
        </w:tc>
        <w:tc>
          <w:tcPr>
            <w:tcW w:w="82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500" w:type="dxa"/>
            <w:vAlign w:val="bottom"/>
            <w:gridSpan w:val="2"/>
          </w:tcPr>
          <w:p>
            <w:pPr>
              <w:ind w:lef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552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520" w:type="dxa"/>
            <w:vAlign w:val="bottom"/>
            <w:gridSpan w:val="2"/>
          </w:tcPr>
          <w:p>
            <w:pPr>
              <w:ind w:lef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557</w:t>
            </w:r>
          </w:p>
        </w:tc>
        <w:tc>
          <w:tcPr>
            <w:tcW w:w="0" w:type="dxa"/>
            <w:vAlign w:val="bottom"/>
          </w:tcPr>
          <w:p>
            <w:pPr>
              <w:spacing w:after="0"/>
              <w:rPr>
                <w:sz w:val="1"/>
                <w:szCs w:val="1"/>
                <w:color w:val="auto"/>
              </w:rPr>
            </w:pPr>
          </w:p>
        </w:tc>
      </w:tr>
      <w:tr>
        <w:trPr>
          <w:trHeight w:val="196"/>
        </w:trPr>
        <w:tc>
          <w:tcPr>
            <w:tcW w:w="32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Balance, June 30, 2021</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5,771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3,343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1,094</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38</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2"/>
                <w:szCs w:val="12"/>
                <w:color w:val="auto"/>
                <w:w w:val="8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9"/>
              </w:rPr>
              <w:t>(1,362)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8,888</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
        </w:trPr>
        <w:tc>
          <w:tcPr>
            <w:tcW w:w="3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Balance, March 31, 2022</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326</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5,826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4,642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(712)</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(1,679)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8,118</w:t>
            </w:r>
          </w:p>
        </w:tc>
        <w:tc>
          <w:tcPr>
            <w:tcW w:w="0" w:type="dxa"/>
            <w:vAlign w:val="bottom"/>
          </w:tcPr>
          <w:p>
            <w:pPr>
              <w:spacing w:after="0"/>
              <w:rPr>
                <w:sz w:val="1"/>
                <w:szCs w:val="1"/>
                <w:color w:val="auto"/>
              </w:rPr>
            </w:pPr>
          </w:p>
        </w:tc>
      </w:tr>
      <w:tr>
        <w:trPr>
          <w:trHeight w:val="163"/>
        </w:trPr>
        <w:tc>
          <w:tcPr>
            <w:tcW w:w="3240" w:type="dxa"/>
            <w:vAlign w:val="bottom"/>
            <w:gridSpan w:val="2"/>
          </w:tcPr>
          <w:p>
            <w:pPr>
              <w:ind w:left="20"/>
              <w:spacing w:after="0"/>
              <w:rPr>
                <w:sz w:val="20"/>
                <w:szCs w:val="20"/>
                <w:color w:val="auto"/>
              </w:rPr>
            </w:pPr>
            <w:r>
              <w:rPr>
                <w:rFonts w:ascii="Arial" w:cs="Arial" w:eastAsia="Arial" w:hAnsi="Arial"/>
                <w:sz w:val="12"/>
                <w:szCs w:val="12"/>
                <w:color w:val="auto"/>
              </w:rPr>
              <w:t>Exercise of stock options</w:t>
            </w:r>
          </w:p>
        </w:tc>
        <w:tc>
          <w:tcPr>
            <w:tcW w:w="82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500" w:type="dxa"/>
            <w:vAlign w:val="bottom"/>
            <w:gridSpan w:val="2"/>
          </w:tcPr>
          <w:p>
            <w:pPr>
              <w:ind w:lef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520" w:type="dxa"/>
            <w:vAlign w:val="bottom"/>
            <w:gridSpan w:val="2"/>
          </w:tcPr>
          <w:p>
            <w:pPr>
              <w:ind w:lef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79"/>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Treasury stock repurchased</w:t>
            </w: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(172)</w:t>
            </w:r>
          </w:p>
        </w:tc>
        <w:tc>
          <w:tcPr>
            <w:tcW w:w="0" w:type="dxa"/>
            <w:vAlign w:val="bottom"/>
          </w:tcPr>
          <w:p>
            <w:pPr>
              <w:spacing w:after="0"/>
              <w:rPr>
                <w:sz w:val="1"/>
                <w:szCs w:val="1"/>
                <w:color w:val="auto"/>
              </w:rPr>
            </w:pPr>
          </w:p>
        </w:tc>
      </w:tr>
      <w:tr>
        <w:trPr>
          <w:trHeight w:val="118"/>
        </w:trPr>
        <w:tc>
          <w:tcPr>
            <w:tcW w:w="3240" w:type="dxa"/>
            <w:vAlign w:val="bottom"/>
            <w:gridSpan w:val="2"/>
          </w:tcPr>
          <w:p>
            <w:pPr>
              <w:ind w:left="20"/>
              <w:spacing w:after="0" w:line="118" w:lineRule="exact"/>
              <w:rPr>
                <w:sz w:val="20"/>
                <w:szCs w:val="20"/>
                <w:color w:val="auto"/>
              </w:rPr>
            </w:pPr>
            <w:r>
              <w:rPr>
                <w:rFonts w:ascii="Arial" w:cs="Arial" w:eastAsia="Arial" w:hAnsi="Arial"/>
                <w:sz w:val="12"/>
                <w:szCs w:val="12"/>
                <w:color w:val="auto"/>
                <w:w w:val="94"/>
              </w:rPr>
              <w:t>Other comprehensive loss - unrealized loss on investments and</w:t>
            </w:r>
          </w:p>
        </w:tc>
        <w:tc>
          <w:tcPr>
            <w:tcW w:w="820" w:type="dxa"/>
            <w:vAlign w:val="bottom"/>
            <w:gridSpan w:val="3"/>
            <w:vMerge w:val="restart"/>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0"/>
                <w:szCs w:val="10"/>
                <w:color w:val="auto"/>
              </w:rPr>
            </w:pPr>
          </w:p>
        </w:tc>
        <w:tc>
          <w:tcPr>
            <w:tcW w:w="5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Arial" w:cs="Arial" w:eastAsia="Arial" w:hAnsi="Arial"/>
                <w:sz w:val="12"/>
                <w:szCs w:val="12"/>
                <w:color w:val="auto"/>
              </w:rPr>
              <w:t>(1,509)</w:t>
            </w:r>
          </w:p>
        </w:tc>
        <w:tc>
          <w:tcPr>
            <w:tcW w:w="12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0"/>
                <w:szCs w:val="10"/>
                <w:color w:val="auto"/>
              </w:rPr>
            </w:pPr>
          </w:p>
        </w:tc>
        <w:tc>
          <w:tcPr>
            <w:tcW w:w="5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(1,509)</w:t>
            </w:r>
          </w:p>
        </w:tc>
        <w:tc>
          <w:tcPr>
            <w:tcW w:w="0" w:type="dxa"/>
            <w:vAlign w:val="bottom"/>
          </w:tcPr>
          <w:p>
            <w:pPr>
              <w:spacing w:after="0"/>
              <w:rPr>
                <w:sz w:val="1"/>
                <w:szCs w:val="1"/>
                <w:color w:val="auto"/>
              </w:rPr>
            </w:pPr>
          </w:p>
        </w:tc>
      </w:tr>
      <w:tr>
        <w:trPr>
          <w:trHeight w:val="163"/>
        </w:trPr>
        <w:tc>
          <w:tcPr>
            <w:tcW w:w="3240" w:type="dxa"/>
            <w:vAlign w:val="bottom"/>
            <w:gridSpan w:val="2"/>
          </w:tcPr>
          <w:p>
            <w:pPr>
              <w:ind w:left="20"/>
              <w:spacing w:after="0"/>
              <w:rPr>
                <w:sz w:val="20"/>
                <w:szCs w:val="20"/>
                <w:color w:val="auto"/>
              </w:rPr>
            </w:pPr>
            <w:r>
              <w:rPr>
                <w:rFonts w:ascii="Arial" w:cs="Arial" w:eastAsia="Arial" w:hAnsi="Arial"/>
                <w:sz w:val="12"/>
                <w:szCs w:val="12"/>
                <w:color w:val="auto"/>
              </w:rPr>
              <w:t>other financial instruments</w:t>
            </w:r>
          </w:p>
        </w:tc>
        <w:tc>
          <w:tcPr>
            <w:tcW w:w="82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240" w:type="dxa"/>
            <w:vAlign w:val="bottom"/>
            <w:gridSpan w:val="2"/>
            <w:shd w:val="clear" w:color="auto" w:fill="CCEEFF"/>
          </w:tcPr>
          <w:p>
            <w:pPr>
              <w:ind w:left="20"/>
              <w:spacing w:after="0" w:line="126" w:lineRule="exact"/>
              <w:rPr>
                <w:sz w:val="20"/>
                <w:szCs w:val="20"/>
                <w:color w:val="auto"/>
              </w:rPr>
            </w:pPr>
            <w:r>
              <w:rPr>
                <w:rFonts w:ascii="Arial" w:cs="Arial" w:eastAsia="Arial" w:hAnsi="Arial"/>
                <w:sz w:val="12"/>
                <w:szCs w:val="12"/>
                <w:color w:val="auto"/>
              </w:rPr>
              <w:t>Other comprehensive loss - unrealized loss on foreign</w:t>
            </w:r>
          </w:p>
        </w:tc>
        <w:tc>
          <w:tcPr>
            <w:tcW w:w="82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0"/>
                <w:szCs w:val="10"/>
                <w:color w:val="auto"/>
              </w:rPr>
            </w:pPr>
          </w:p>
        </w:tc>
        <w:tc>
          <w:tcPr>
            <w:tcW w:w="500" w:type="dxa"/>
            <w:vAlign w:val="bottom"/>
            <w:gridSpan w:val="2"/>
            <w:vMerge w:val="restart"/>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0"/>
                <w:szCs w:val="10"/>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12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0"/>
                <w:szCs w:val="10"/>
                <w:color w:val="auto"/>
              </w:rPr>
            </w:pPr>
          </w:p>
        </w:tc>
        <w:tc>
          <w:tcPr>
            <w:tcW w:w="520" w:type="dxa"/>
            <w:vAlign w:val="bottom"/>
            <w:gridSpan w:val="2"/>
            <w:vMerge w:val="restart"/>
            <w:shd w:val="clear" w:color="auto" w:fill="CCEEFF"/>
          </w:tcPr>
          <w:p>
            <w:pPr>
              <w:ind w:lef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171"/>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currency translation</w:t>
            </w:r>
          </w:p>
        </w:tc>
        <w:tc>
          <w:tcPr>
            <w:tcW w:w="820" w:type="dxa"/>
            <w:vAlign w:val="bottom"/>
            <w:gridSpan w:val="3"/>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3240" w:type="dxa"/>
            <w:vAlign w:val="bottom"/>
            <w:gridSpan w:val="2"/>
          </w:tcPr>
          <w:p>
            <w:pPr>
              <w:ind w:left="20"/>
              <w:spacing w:after="0" w:line="118" w:lineRule="exact"/>
              <w:rPr>
                <w:sz w:val="20"/>
                <w:szCs w:val="20"/>
                <w:color w:val="auto"/>
              </w:rPr>
            </w:pPr>
            <w:r>
              <w:rPr>
                <w:rFonts w:ascii="Arial" w:cs="Arial" w:eastAsia="Arial" w:hAnsi="Arial"/>
                <w:sz w:val="12"/>
                <w:szCs w:val="12"/>
                <w:color w:val="auto"/>
              </w:rPr>
              <w:t>Reclassification adjustments for change in unrealized gains</w:t>
            </w:r>
          </w:p>
        </w:tc>
        <w:tc>
          <w:tcPr>
            <w:tcW w:w="820" w:type="dxa"/>
            <w:vAlign w:val="bottom"/>
            <w:gridSpan w:val="3"/>
            <w:vMerge w:val="restart"/>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0"/>
                <w:szCs w:val="10"/>
                <w:color w:val="auto"/>
              </w:rPr>
            </w:pPr>
          </w:p>
        </w:tc>
        <w:tc>
          <w:tcPr>
            <w:tcW w:w="5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Arial" w:cs="Arial" w:eastAsia="Arial" w:hAnsi="Arial"/>
                <w:sz w:val="12"/>
                <w:szCs w:val="12"/>
                <w:color w:val="auto"/>
              </w:rPr>
              <w:t>41</w:t>
            </w:r>
          </w:p>
        </w:tc>
        <w:tc>
          <w:tcPr>
            <w:tcW w:w="12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0"/>
                <w:szCs w:val="10"/>
                <w:color w:val="auto"/>
              </w:rPr>
            </w:pPr>
          </w:p>
        </w:tc>
        <w:tc>
          <w:tcPr>
            <w:tcW w:w="5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41</w:t>
            </w:r>
          </w:p>
        </w:tc>
        <w:tc>
          <w:tcPr>
            <w:tcW w:w="0" w:type="dxa"/>
            <w:vAlign w:val="bottom"/>
          </w:tcPr>
          <w:p>
            <w:pPr>
              <w:spacing w:after="0"/>
              <w:rPr>
                <w:sz w:val="1"/>
                <w:szCs w:val="1"/>
                <w:color w:val="auto"/>
              </w:rPr>
            </w:pPr>
          </w:p>
        </w:tc>
      </w:tr>
      <w:tr>
        <w:trPr>
          <w:trHeight w:val="163"/>
        </w:trPr>
        <w:tc>
          <w:tcPr>
            <w:tcW w:w="3240" w:type="dxa"/>
            <w:vAlign w:val="bottom"/>
            <w:gridSpan w:val="2"/>
          </w:tcPr>
          <w:p>
            <w:pPr>
              <w:ind w:left="20"/>
              <w:spacing w:after="0"/>
              <w:rPr>
                <w:sz w:val="20"/>
                <w:szCs w:val="20"/>
                <w:color w:val="auto"/>
              </w:rPr>
            </w:pPr>
            <w:r>
              <w:rPr>
                <w:rFonts w:ascii="Arial" w:cs="Arial" w:eastAsia="Arial" w:hAnsi="Arial"/>
                <w:sz w:val="12"/>
                <w:szCs w:val="12"/>
                <w:color w:val="auto"/>
              </w:rPr>
              <w:t>and losses included in net earnings</w:t>
            </w:r>
          </w:p>
        </w:tc>
        <w:tc>
          <w:tcPr>
            <w:tcW w:w="82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Stock-based compensation</w:t>
            </w: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163"/>
        </w:trPr>
        <w:tc>
          <w:tcPr>
            <w:tcW w:w="3240" w:type="dxa"/>
            <w:vAlign w:val="bottom"/>
            <w:gridSpan w:val="2"/>
          </w:tcPr>
          <w:p>
            <w:pPr>
              <w:ind w:left="20"/>
              <w:spacing w:after="0"/>
              <w:rPr>
                <w:sz w:val="20"/>
                <w:szCs w:val="20"/>
                <w:color w:val="auto"/>
              </w:rPr>
            </w:pPr>
            <w:r>
              <w:rPr>
                <w:rFonts w:ascii="Arial" w:cs="Arial" w:eastAsia="Arial" w:hAnsi="Arial"/>
                <w:sz w:val="12"/>
                <w:szCs w:val="12"/>
                <w:color w:val="auto"/>
              </w:rPr>
              <w:t>Dividends declared, $0.44 per common share</w:t>
            </w:r>
          </w:p>
        </w:tc>
        <w:tc>
          <w:tcPr>
            <w:tcW w:w="82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500" w:type="dxa"/>
            <w:vAlign w:val="bottom"/>
            <w:gridSpan w:val="2"/>
          </w:tcPr>
          <w:p>
            <w:pPr>
              <w:ind w:lef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(123)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520" w:type="dxa"/>
            <w:vAlign w:val="bottom"/>
            <w:gridSpan w:val="2"/>
          </w:tcPr>
          <w:p>
            <w:pPr>
              <w:ind w:lef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(123)</w:t>
            </w:r>
          </w:p>
        </w:tc>
        <w:tc>
          <w:tcPr>
            <w:tcW w:w="0" w:type="dxa"/>
            <w:vAlign w:val="bottom"/>
          </w:tcPr>
          <w:p>
            <w:pPr>
              <w:spacing w:after="0"/>
              <w:rPr>
                <w:sz w:val="1"/>
                <w:szCs w:val="1"/>
                <w:color w:val="auto"/>
              </w:rPr>
            </w:pPr>
          </w:p>
        </w:tc>
      </w:tr>
      <w:tr>
        <w:trPr>
          <w:trHeight w:val="179"/>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Subsidiary dividends declared to non-controlling interests</w:t>
            </w: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64"/>
        </w:trPr>
        <w:tc>
          <w:tcPr>
            <w:tcW w:w="3240" w:type="dxa"/>
            <w:vAlign w:val="bottom"/>
            <w:gridSpan w:val="2"/>
          </w:tcPr>
          <w:p>
            <w:pPr>
              <w:ind w:left="20"/>
              <w:spacing w:after="0"/>
              <w:rPr>
                <w:sz w:val="20"/>
                <w:szCs w:val="20"/>
                <w:color w:val="auto"/>
              </w:rPr>
            </w:pPr>
            <w:r>
              <w:rPr>
                <w:rFonts w:ascii="Arial" w:cs="Arial" w:eastAsia="Arial" w:hAnsi="Arial"/>
                <w:sz w:val="12"/>
                <w:szCs w:val="12"/>
                <w:color w:val="auto"/>
              </w:rPr>
              <w:t>Net earnings</w:t>
            </w:r>
          </w:p>
        </w:tc>
        <w:tc>
          <w:tcPr>
            <w:tcW w:w="82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500" w:type="dxa"/>
            <w:vAlign w:val="bottom"/>
            <w:gridSpan w:val="2"/>
          </w:tcPr>
          <w:p>
            <w:pPr>
              <w:ind w:lef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382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520" w:type="dxa"/>
            <w:vAlign w:val="bottom"/>
            <w:gridSpan w:val="2"/>
          </w:tcPr>
          <w:p>
            <w:pPr>
              <w:ind w:lef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388</w:t>
            </w:r>
          </w:p>
        </w:tc>
        <w:tc>
          <w:tcPr>
            <w:tcW w:w="0" w:type="dxa"/>
            <w:vAlign w:val="bottom"/>
          </w:tcPr>
          <w:p>
            <w:pPr>
              <w:spacing w:after="0"/>
              <w:rPr>
                <w:sz w:val="1"/>
                <w:szCs w:val="1"/>
                <w:color w:val="auto"/>
              </w:rPr>
            </w:pPr>
          </w:p>
        </w:tc>
      </w:tr>
      <w:tr>
        <w:trPr>
          <w:trHeight w:val="196"/>
        </w:trPr>
        <w:tc>
          <w:tcPr>
            <w:tcW w:w="32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Balance, June 30, 2022</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5,843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4,901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(2,190)</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49</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2"/>
                <w:szCs w:val="12"/>
                <w:color w:val="auto"/>
                <w:w w:val="8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9"/>
              </w:rPr>
              <w:t>(1,851)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6,746</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8"/>
          </w:tcPr>
          <w:p>
            <w:pPr>
              <w:ind w:left="20"/>
              <w:spacing w:after="0"/>
              <w:rPr>
                <w:sz w:val="20"/>
                <w:szCs w:val="20"/>
                <w:color w:val="auto"/>
              </w:rPr>
            </w:pPr>
            <w:r>
              <w:rPr>
                <w:rFonts w:ascii="Arial" w:cs="Arial" w:eastAsia="Arial" w:hAnsi="Arial"/>
                <w:sz w:val="12"/>
                <w:szCs w:val="12"/>
                <w:b w:val="1"/>
                <w:bCs w:val="1"/>
                <w:color w:val="auto"/>
              </w:rPr>
              <w:t>Fidelity National Financial, Inc. Common Shareholders</w:t>
            </w: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2"/>
              </w:rPr>
              <w:t>Accumulated</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jc w:val="center"/>
              <w:ind w:left="519"/>
              <w:spacing w:after="0"/>
              <w:rPr>
                <w:sz w:val="20"/>
                <w:szCs w:val="20"/>
                <w:color w:val="auto"/>
              </w:rPr>
            </w:pPr>
            <w:r>
              <w:rPr>
                <w:rFonts w:ascii="Arial" w:cs="Arial" w:eastAsia="Arial" w:hAnsi="Arial"/>
                <w:sz w:val="12"/>
                <w:szCs w:val="12"/>
                <w:b w:val="1"/>
                <w:bCs w:val="1"/>
                <w:color w:val="auto"/>
              </w:rPr>
              <w:t>FNF</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3"/>
              </w:rPr>
              <w:t>Other</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4"/>
          </w:tcPr>
          <w:p>
            <w:pPr>
              <w:jc w:val="center"/>
              <w:ind w:left="339"/>
              <w:spacing w:after="0"/>
              <w:rPr>
                <w:sz w:val="20"/>
                <w:szCs w:val="20"/>
                <w:color w:val="auto"/>
              </w:rPr>
            </w:pPr>
            <w:r>
              <w:rPr>
                <w:rFonts w:ascii="Arial" w:cs="Arial" w:eastAsia="Arial" w:hAnsi="Arial"/>
                <w:sz w:val="12"/>
                <w:szCs w:val="12"/>
                <w:b w:val="1"/>
                <w:bCs w:val="1"/>
                <w:color w:val="auto"/>
                <w:w w:val="92"/>
              </w:rPr>
              <w:t>Common</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5"/>
              </w:rPr>
              <w:t>Additional</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1"/>
              </w:rPr>
              <w:t>Comprehensive</w:t>
            </w:r>
          </w:p>
        </w:tc>
        <w:tc>
          <w:tcPr>
            <w:tcW w:w="980" w:type="dxa"/>
            <w:vAlign w:val="bottom"/>
            <w:gridSpan w:val="3"/>
          </w:tcPr>
          <w:p>
            <w:pPr>
              <w:jc w:val="right"/>
              <w:spacing w:after="0"/>
              <w:rPr>
                <w:sz w:val="20"/>
                <w:szCs w:val="20"/>
                <w:color w:val="auto"/>
              </w:rPr>
            </w:pPr>
            <w:r>
              <w:rPr>
                <w:rFonts w:ascii="Arial" w:cs="Arial" w:eastAsia="Arial" w:hAnsi="Arial"/>
                <w:sz w:val="12"/>
                <w:szCs w:val="12"/>
                <w:b w:val="1"/>
                <w:bCs w:val="1"/>
                <w:color w:val="auto"/>
              </w:rPr>
              <w:t>Treasury</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4"/>
              </w:rPr>
              <w:t>Non-</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Borders>
              <w:bottom w:val="single" w:sz="8" w:color="auto"/>
            </w:tcBorders>
            <w:gridSpan w:val="4"/>
          </w:tcPr>
          <w:p>
            <w:pPr>
              <w:jc w:val="center"/>
              <w:ind w:left="339"/>
              <w:spacing w:after="0"/>
              <w:rPr>
                <w:sz w:val="20"/>
                <w:szCs w:val="20"/>
                <w:color w:val="auto"/>
              </w:rPr>
            </w:pPr>
            <w:r>
              <w:rPr>
                <w:rFonts w:ascii="Arial" w:cs="Arial" w:eastAsia="Arial" w:hAnsi="Arial"/>
                <w:sz w:val="12"/>
                <w:szCs w:val="12"/>
                <w:b w:val="1"/>
                <w:bCs w:val="1"/>
                <w:color w:val="auto"/>
                <w:w w:val="85"/>
              </w:rPr>
              <w:t>Stock</w:t>
            </w:r>
          </w:p>
        </w:tc>
        <w:tc>
          <w:tcPr>
            <w:tcW w:w="4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4"/>
              </w:rPr>
              <w:t>Paid-in</w:t>
            </w:r>
          </w:p>
        </w:tc>
        <w:tc>
          <w:tcPr>
            <w:tcW w:w="140" w:type="dxa"/>
            <w:vAlign w:val="bottom"/>
          </w:tcPr>
          <w:p>
            <w:pPr>
              <w:spacing w:after="0"/>
              <w:rPr>
                <w:sz w:val="15"/>
                <w:szCs w:val="15"/>
                <w:color w:val="auto"/>
              </w:rPr>
            </w:pP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Retained</w:t>
            </w:r>
          </w:p>
        </w:tc>
        <w:tc>
          <w:tcPr>
            <w:tcW w:w="140" w:type="dxa"/>
            <w:vAlign w:val="bottom"/>
          </w:tcPr>
          <w:p>
            <w:pPr>
              <w:spacing w:after="0"/>
              <w:rPr>
                <w:sz w:val="15"/>
                <w:szCs w:val="15"/>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3"/>
              </w:rPr>
              <w:t>Earnings</w:t>
            </w:r>
          </w:p>
        </w:tc>
        <w:tc>
          <w:tcPr>
            <w:tcW w:w="98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2"/>
                <w:szCs w:val="12"/>
                <w:b w:val="1"/>
                <w:bCs w:val="1"/>
                <w:color w:val="auto"/>
              </w:rPr>
              <w:t>Stock</w:t>
            </w: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0"/>
              </w:rPr>
              <w:t>controlling</w:t>
            </w:r>
          </w:p>
        </w:tc>
        <w:tc>
          <w:tcPr>
            <w:tcW w:w="120" w:type="dxa"/>
            <w:vAlign w:val="bottom"/>
          </w:tcPr>
          <w:p>
            <w:pPr>
              <w:spacing w:after="0"/>
              <w:rPr>
                <w:sz w:val="15"/>
                <w:szCs w:val="15"/>
                <w:color w:val="auto"/>
              </w:rPr>
            </w:pPr>
          </w:p>
        </w:tc>
        <w:tc>
          <w:tcPr>
            <w:tcW w:w="560" w:type="dxa"/>
            <w:vAlign w:val="bottom"/>
          </w:tcPr>
          <w:p>
            <w:pPr>
              <w:jc w:val="right"/>
              <w:ind w:right="139"/>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4"/>
        </w:trPr>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ind w:left="18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00" w:type="dxa"/>
            <w:vAlign w:val="bottom"/>
          </w:tcPr>
          <w:p>
            <w:pPr>
              <w:ind w:left="80"/>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9"/>
              </w:rPr>
              <w:t>Capital</w:t>
            </w:r>
          </w:p>
        </w:tc>
        <w:tc>
          <w:tcPr>
            <w:tcW w:w="14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Earnings</w:t>
            </w:r>
          </w:p>
        </w:tc>
        <w:tc>
          <w:tcPr>
            <w:tcW w:w="14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8"/>
              </w:rPr>
              <w:t>(Loss)</w:t>
            </w:r>
          </w:p>
        </w:tc>
        <w:tc>
          <w:tcPr>
            <w:tcW w:w="800" w:type="dxa"/>
            <w:vAlign w:val="bottom"/>
            <w:gridSpan w:val="2"/>
          </w:tcPr>
          <w:p>
            <w:pPr>
              <w:ind w:left="16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7"/>
              </w:rPr>
              <w:t>Interests</w:t>
            </w:r>
          </w:p>
        </w:tc>
        <w:tc>
          <w:tcPr>
            <w:tcW w:w="120" w:type="dxa"/>
            <w:vAlign w:val="bottom"/>
          </w:tcPr>
          <w:p>
            <w:pPr>
              <w:spacing w:after="0"/>
              <w:rPr>
                <w:sz w:val="14"/>
                <w:szCs w:val="14"/>
                <w:color w:val="auto"/>
              </w:rPr>
            </w:pPr>
          </w:p>
        </w:tc>
        <w:tc>
          <w:tcPr>
            <w:tcW w:w="560" w:type="dxa"/>
            <w:vAlign w:val="bottom"/>
          </w:tcPr>
          <w:p>
            <w:pPr>
              <w:jc w:val="right"/>
              <w:ind w:right="99"/>
              <w:spacing w:after="0"/>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163"/>
        </w:trPr>
        <w:tc>
          <w:tcPr>
            <w:tcW w:w="3240" w:type="dxa"/>
            <w:vAlign w:val="bottom"/>
            <w:gridSpan w:val="2"/>
          </w:tcPr>
          <w:p>
            <w:pPr>
              <w:ind w:left="20"/>
              <w:spacing w:after="0"/>
              <w:rPr>
                <w:sz w:val="20"/>
                <w:szCs w:val="20"/>
                <w:color w:val="auto"/>
              </w:rPr>
            </w:pPr>
            <w:r>
              <w:rPr>
                <w:rFonts w:ascii="Arial" w:cs="Arial" w:eastAsia="Arial" w:hAnsi="Arial"/>
                <w:sz w:val="12"/>
                <w:szCs w:val="12"/>
                <w:color w:val="auto"/>
              </w:rPr>
              <w:t>Balance, December 31, 2020</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323</w:t>
            </w: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tcPr>
          <w:p>
            <w:pPr>
              <w:ind w:lef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5,720</w:t>
            </w:r>
          </w:p>
        </w:tc>
        <w:tc>
          <w:tcPr>
            <w:tcW w:w="10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2,394</w:t>
            </w:r>
          </w:p>
        </w:tc>
        <w:tc>
          <w:tcPr>
            <w:tcW w:w="10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1,304</w:t>
            </w:r>
          </w:p>
        </w:tc>
        <w:tc>
          <w:tcPr>
            <w:tcW w:w="120" w:type="dxa"/>
            <w:vAlign w:val="bottom"/>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31</w:t>
            </w:r>
          </w:p>
        </w:tc>
        <w:tc>
          <w:tcPr>
            <w:tcW w:w="120" w:type="dxa"/>
            <w:vAlign w:val="bottom"/>
          </w:tcPr>
          <w:p>
            <w:pPr>
              <w:spacing w:after="0"/>
              <w:rPr>
                <w:sz w:val="14"/>
                <w:szCs w:val="14"/>
                <w:color w:val="auto"/>
              </w:rPr>
            </w:pPr>
          </w:p>
        </w:tc>
        <w:tc>
          <w:tcPr>
            <w:tcW w:w="180" w:type="dxa"/>
            <w:vAlign w:val="bottom"/>
            <w:tcBorders>
              <w:top w:val="single" w:sz="8" w:color="auto"/>
            </w:tcBorders>
          </w:tcPr>
          <w:p>
            <w:pPr>
              <w:jc w:val="right"/>
              <w:ind w:right="39"/>
              <w:spacing w:after="0"/>
              <w:rPr>
                <w:sz w:val="20"/>
                <w:szCs w:val="20"/>
                <w:color w:val="auto"/>
              </w:rPr>
            </w:pPr>
            <w:r>
              <w:rPr>
                <w:rFonts w:ascii="Arial" w:cs="Arial" w:eastAsia="Arial" w:hAnsi="Arial"/>
                <w:sz w:val="12"/>
                <w:szCs w:val="12"/>
                <w:color w:val="auto"/>
                <w:w w:val="89"/>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99"/>
              </w:rPr>
              <w:t>(1,067)</w:t>
            </w:r>
          </w:p>
        </w:tc>
        <w:tc>
          <w:tcPr>
            <w:tcW w:w="10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41</w:t>
            </w:r>
          </w:p>
        </w:tc>
        <w:tc>
          <w:tcPr>
            <w:tcW w:w="10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8,392</w:t>
            </w:r>
          </w:p>
        </w:tc>
        <w:tc>
          <w:tcPr>
            <w:tcW w:w="0" w:type="dxa"/>
            <w:vAlign w:val="bottom"/>
          </w:tcPr>
          <w:p>
            <w:pPr>
              <w:spacing w:after="0"/>
              <w:rPr>
                <w:sz w:val="1"/>
                <w:szCs w:val="1"/>
                <w:color w:val="auto"/>
              </w:rPr>
            </w:pPr>
          </w:p>
        </w:tc>
      </w:tr>
      <w:tr>
        <w:trPr>
          <w:trHeight w:val="179"/>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Purchase of incremental share in consolidated subsidiaries</w:t>
            </w: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63"/>
        </w:trPr>
        <w:tc>
          <w:tcPr>
            <w:tcW w:w="3240" w:type="dxa"/>
            <w:vAlign w:val="bottom"/>
            <w:gridSpan w:val="2"/>
          </w:tcPr>
          <w:p>
            <w:pPr>
              <w:ind w:left="20"/>
              <w:spacing w:after="0"/>
              <w:rPr>
                <w:sz w:val="20"/>
                <w:szCs w:val="20"/>
                <w:color w:val="auto"/>
              </w:rPr>
            </w:pPr>
            <w:r>
              <w:rPr>
                <w:rFonts w:ascii="Arial" w:cs="Arial" w:eastAsia="Arial" w:hAnsi="Arial"/>
                <w:sz w:val="12"/>
                <w:szCs w:val="12"/>
                <w:color w:val="auto"/>
              </w:rPr>
              <w:t>Exercise of stock options</w:t>
            </w:r>
          </w:p>
        </w:tc>
        <w:tc>
          <w:tcPr>
            <w:tcW w:w="70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gridSpan w:val="2"/>
          </w:tcPr>
          <w:p>
            <w:pPr>
              <w:ind w:lef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30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520" w:type="dxa"/>
            <w:vAlign w:val="bottom"/>
            <w:gridSpan w:val="2"/>
          </w:tcPr>
          <w:p>
            <w:pPr>
              <w:ind w:lef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30</w:t>
            </w:r>
          </w:p>
        </w:tc>
        <w:tc>
          <w:tcPr>
            <w:tcW w:w="0" w:type="dxa"/>
            <w:vAlign w:val="bottom"/>
          </w:tcPr>
          <w:p>
            <w:pPr>
              <w:spacing w:after="0"/>
              <w:rPr>
                <w:sz w:val="1"/>
                <w:szCs w:val="1"/>
                <w:color w:val="auto"/>
              </w:rPr>
            </w:pPr>
          </w:p>
        </w:tc>
      </w:tr>
      <w:tr>
        <w:trPr>
          <w:trHeight w:val="179"/>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Treasury stock repurchased</w:t>
            </w: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(295)</w:t>
            </w:r>
          </w:p>
        </w:tc>
        <w:tc>
          <w:tcPr>
            <w:tcW w:w="0" w:type="dxa"/>
            <w:vAlign w:val="bottom"/>
          </w:tcPr>
          <w:p>
            <w:pPr>
              <w:spacing w:after="0"/>
              <w:rPr>
                <w:sz w:val="1"/>
                <w:szCs w:val="1"/>
                <w:color w:val="auto"/>
              </w:rPr>
            </w:pPr>
          </w:p>
        </w:tc>
      </w:tr>
      <w:tr>
        <w:trPr>
          <w:trHeight w:val="118"/>
        </w:trPr>
        <w:tc>
          <w:tcPr>
            <w:tcW w:w="3240" w:type="dxa"/>
            <w:vAlign w:val="bottom"/>
            <w:gridSpan w:val="2"/>
          </w:tcPr>
          <w:p>
            <w:pPr>
              <w:ind w:left="20"/>
              <w:spacing w:after="0" w:line="118" w:lineRule="exact"/>
              <w:rPr>
                <w:sz w:val="20"/>
                <w:szCs w:val="20"/>
                <w:color w:val="auto"/>
              </w:rPr>
            </w:pPr>
            <w:r>
              <w:rPr>
                <w:rFonts w:ascii="Arial" w:cs="Arial" w:eastAsia="Arial" w:hAnsi="Arial"/>
                <w:sz w:val="12"/>
                <w:szCs w:val="12"/>
                <w:color w:val="auto"/>
                <w:w w:val="94"/>
              </w:rPr>
              <w:t>Other comprehensive loss - unrealized loss on investments and</w:t>
            </w:r>
          </w:p>
        </w:tc>
        <w:tc>
          <w:tcPr>
            <w:tcW w:w="820" w:type="dxa"/>
            <w:vAlign w:val="bottom"/>
            <w:gridSpan w:val="3"/>
            <w:vMerge w:val="restart"/>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0"/>
                <w:szCs w:val="10"/>
                <w:color w:val="auto"/>
              </w:rPr>
            </w:pPr>
          </w:p>
        </w:tc>
        <w:tc>
          <w:tcPr>
            <w:tcW w:w="5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Arial" w:cs="Arial" w:eastAsia="Arial" w:hAnsi="Arial"/>
                <w:sz w:val="12"/>
                <w:szCs w:val="12"/>
                <w:color w:val="auto"/>
              </w:rPr>
              <w:t>(168)</w:t>
            </w:r>
          </w:p>
        </w:tc>
        <w:tc>
          <w:tcPr>
            <w:tcW w:w="12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0"/>
                <w:szCs w:val="10"/>
                <w:color w:val="auto"/>
              </w:rPr>
            </w:pPr>
          </w:p>
        </w:tc>
        <w:tc>
          <w:tcPr>
            <w:tcW w:w="5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(168)</w:t>
            </w:r>
          </w:p>
        </w:tc>
        <w:tc>
          <w:tcPr>
            <w:tcW w:w="0" w:type="dxa"/>
            <w:vAlign w:val="bottom"/>
          </w:tcPr>
          <w:p>
            <w:pPr>
              <w:spacing w:after="0"/>
              <w:rPr>
                <w:sz w:val="1"/>
                <w:szCs w:val="1"/>
                <w:color w:val="auto"/>
              </w:rPr>
            </w:pPr>
          </w:p>
        </w:tc>
      </w:tr>
      <w:tr>
        <w:trPr>
          <w:trHeight w:val="163"/>
        </w:trPr>
        <w:tc>
          <w:tcPr>
            <w:tcW w:w="3240" w:type="dxa"/>
            <w:vAlign w:val="bottom"/>
            <w:gridSpan w:val="2"/>
          </w:tcPr>
          <w:p>
            <w:pPr>
              <w:ind w:left="20"/>
              <w:spacing w:after="0"/>
              <w:rPr>
                <w:sz w:val="20"/>
                <w:szCs w:val="20"/>
                <w:color w:val="auto"/>
              </w:rPr>
            </w:pPr>
            <w:r>
              <w:rPr>
                <w:rFonts w:ascii="Arial" w:cs="Arial" w:eastAsia="Arial" w:hAnsi="Arial"/>
                <w:sz w:val="12"/>
                <w:szCs w:val="12"/>
                <w:color w:val="auto"/>
              </w:rPr>
              <w:t>other financial instruments</w:t>
            </w:r>
          </w:p>
        </w:tc>
        <w:tc>
          <w:tcPr>
            <w:tcW w:w="82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240" w:type="dxa"/>
            <w:vAlign w:val="bottom"/>
            <w:gridSpan w:val="2"/>
            <w:shd w:val="clear" w:color="auto" w:fill="CCEEFF"/>
          </w:tcPr>
          <w:p>
            <w:pPr>
              <w:ind w:left="20"/>
              <w:spacing w:after="0" w:line="126" w:lineRule="exact"/>
              <w:rPr>
                <w:sz w:val="20"/>
                <w:szCs w:val="20"/>
                <w:color w:val="auto"/>
              </w:rPr>
            </w:pPr>
            <w:r>
              <w:rPr>
                <w:rFonts w:ascii="Arial" w:cs="Arial" w:eastAsia="Arial" w:hAnsi="Arial"/>
                <w:sz w:val="12"/>
                <w:szCs w:val="12"/>
                <w:color w:val="auto"/>
              </w:rPr>
              <w:t>Other comprehensive earnings - unrealized gain on</w:t>
            </w:r>
          </w:p>
        </w:tc>
        <w:tc>
          <w:tcPr>
            <w:tcW w:w="82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0"/>
                <w:szCs w:val="10"/>
                <w:color w:val="auto"/>
              </w:rPr>
            </w:pPr>
          </w:p>
        </w:tc>
        <w:tc>
          <w:tcPr>
            <w:tcW w:w="500" w:type="dxa"/>
            <w:vAlign w:val="bottom"/>
            <w:gridSpan w:val="2"/>
            <w:vMerge w:val="restart"/>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0"/>
                <w:szCs w:val="10"/>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9</w:t>
            </w:r>
          </w:p>
        </w:tc>
        <w:tc>
          <w:tcPr>
            <w:tcW w:w="12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0"/>
                <w:szCs w:val="10"/>
                <w:color w:val="auto"/>
              </w:rPr>
            </w:pPr>
          </w:p>
        </w:tc>
        <w:tc>
          <w:tcPr>
            <w:tcW w:w="520" w:type="dxa"/>
            <w:vAlign w:val="bottom"/>
            <w:gridSpan w:val="2"/>
            <w:vMerge w:val="restart"/>
            <w:shd w:val="clear" w:color="auto" w:fill="CCEEFF"/>
          </w:tcPr>
          <w:p>
            <w:pPr>
              <w:ind w:lef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9</w:t>
            </w:r>
          </w:p>
        </w:tc>
        <w:tc>
          <w:tcPr>
            <w:tcW w:w="0" w:type="dxa"/>
            <w:vAlign w:val="bottom"/>
          </w:tcPr>
          <w:p>
            <w:pPr>
              <w:spacing w:after="0"/>
              <w:rPr>
                <w:sz w:val="1"/>
                <w:szCs w:val="1"/>
                <w:color w:val="auto"/>
              </w:rPr>
            </w:pPr>
          </w:p>
        </w:tc>
      </w:tr>
      <w:tr>
        <w:trPr>
          <w:trHeight w:val="171"/>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investments in unconsolidated affiliates</w:t>
            </w:r>
          </w:p>
        </w:tc>
        <w:tc>
          <w:tcPr>
            <w:tcW w:w="820" w:type="dxa"/>
            <w:vAlign w:val="bottom"/>
            <w:gridSpan w:val="3"/>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3240" w:type="dxa"/>
            <w:vAlign w:val="bottom"/>
            <w:gridSpan w:val="2"/>
          </w:tcPr>
          <w:p>
            <w:pPr>
              <w:ind w:left="20"/>
              <w:spacing w:after="0" w:line="118" w:lineRule="exact"/>
              <w:rPr>
                <w:sz w:val="20"/>
                <w:szCs w:val="20"/>
                <w:color w:val="auto"/>
              </w:rPr>
            </w:pPr>
            <w:r>
              <w:rPr>
                <w:rFonts w:ascii="Arial" w:cs="Arial" w:eastAsia="Arial" w:hAnsi="Arial"/>
                <w:sz w:val="12"/>
                <w:szCs w:val="12"/>
                <w:color w:val="auto"/>
              </w:rPr>
              <w:t>Reclassification adjustments for change in unrealized gains</w:t>
            </w:r>
          </w:p>
        </w:tc>
        <w:tc>
          <w:tcPr>
            <w:tcW w:w="820" w:type="dxa"/>
            <w:vAlign w:val="bottom"/>
            <w:gridSpan w:val="3"/>
            <w:vMerge w:val="restart"/>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0"/>
                <w:szCs w:val="10"/>
                <w:color w:val="auto"/>
              </w:rPr>
            </w:pPr>
          </w:p>
        </w:tc>
        <w:tc>
          <w:tcPr>
            <w:tcW w:w="5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Arial" w:cs="Arial" w:eastAsia="Arial" w:hAnsi="Arial"/>
                <w:sz w:val="12"/>
                <w:szCs w:val="12"/>
                <w:color w:val="auto"/>
              </w:rPr>
              <w:t>(51)</w:t>
            </w:r>
          </w:p>
        </w:tc>
        <w:tc>
          <w:tcPr>
            <w:tcW w:w="12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0"/>
                <w:szCs w:val="10"/>
                <w:color w:val="auto"/>
              </w:rPr>
            </w:pPr>
          </w:p>
        </w:tc>
        <w:tc>
          <w:tcPr>
            <w:tcW w:w="5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(51)</w:t>
            </w:r>
          </w:p>
        </w:tc>
        <w:tc>
          <w:tcPr>
            <w:tcW w:w="0" w:type="dxa"/>
            <w:vAlign w:val="bottom"/>
          </w:tcPr>
          <w:p>
            <w:pPr>
              <w:spacing w:after="0"/>
              <w:rPr>
                <w:sz w:val="1"/>
                <w:szCs w:val="1"/>
                <w:color w:val="auto"/>
              </w:rPr>
            </w:pPr>
          </w:p>
        </w:tc>
      </w:tr>
      <w:tr>
        <w:trPr>
          <w:trHeight w:val="163"/>
        </w:trPr>
        <w:tc>
          <w:tcPr>
            <w:tcW w:w="3240" w:type="dxa"/>
            <w:vAlign w:val="bottom"/>
            <w:gridSpan w:val="2"/>
          </w:tcPr>
          <w:p>
            <w:pPr>
              <w:ind w:left="20"/>
              <w:spacing w:after="0"/>
              <w:rPr>
                <w:sz w:val="20"/>
                <w:szCs w:val="20"/>
                <w:color w:val="auto"/>
              </w:rPr>
            </w:pPr>
            <w:r>
              <w:rPr>
                <w:rFonts w:ascii="Arial" w:cs="Arial" w:eastAsia="Arial" w:hAnsi="Arial"/>
                <w:sz w:val="12"/>
                <w:szCs w:val="12"/>
                <w:color w:val="auto"/>
              </w:rPr>
              <w:t>and losses included in net earnings</w:t>
            </w:r>
          </w:p>
        </w:tc>
        <w:tc>
          <w:tcPr>
            <w:tcW w:w="82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Stock-based compensation</w:t>
            </w: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w:t>
            </w:r>
          </w:p>
        </w:tc>
        <w:tc>
          <w:tcPr>
            <w:tcW w:w="0" w:type="dxa"/>
            <w:vAlign w:val="bottom"/>
          </w:tcPr>
          <w:p>
            <w:pPr>
              <w:spacing w:after="0"/>
              <w:rPr>
                <w:sz w:val="1"/>
                <w:szCs w:val="1"/>
                <w:color w:val="auto"/>
              </w:rPr>
            </w:pPr>
          </w:p>
        </w:tc>
      </w:tr>
      <w:tr>
        <w:trPr>
          <w:trHeight w:val="163"/>
        </w:trPr>
        <w:tc>
          <w:tcPr>
            <w:tcW w:w="3240" w:type="dxa"/>
            <w:vAlign w:val="bottom"/>
            <w:gridSpan w:val="2"/>
          </w:tcPr>
          <w:p>
            <w:pPr>
              <w:ind w:left="20"/>
              <w:spacing w:after="0"/>
              <w:rPr>
                <w:sz w:val="20"/>
                <w:szCs w:val="20"/>
                <w:color w:val="auto"/>
              </w:rPr>
            </w:pPr>
            <w:r>
              <w:rPr>
                <w:rFonts w:ascii="Arial" w:cs="Arial" w:eastAsia="Arial" w:hAnsi="Arial"/>
                <w:sz w:val="12"/>
                <w:szCs w:val="12"/>
                <w:color w:val="auto"/>
              </w:rPr>
              <w:t>Dividends declared, $0.72 per common share</w:t>
            </w:r>
          </w:p>
        </w:tc>
        <w:tc>
          <w:tcPr>
            <w:tcW w:w="82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500" w:type="dxa"/>
            <w:vAlign w:val="bottom"/>
            <w:gridSpan w:val="2"/>
          </w:tcPr>
          <w:p>
            <w:pPr>
              <w:ind w:lef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(208)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520" w:type="dxa"/>
            <w:vAlign w:val="bottom"/>
            <w:gridSpan w:val="2"/>
          </w:tcPr>
          <w:p>
            <w:pPr>
              <w:ind w:lef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(208)</w:t>
            </w:r>
          </w:p>
        </w:tc>
        <w:tc>
          <w:tcPr>
            <w:tcW w:w="0" w:type="dxa"/>
            <w:vAlign w:val="bottom"/>
          </w:tcPr>
          <w:p>
            <w:pPr>
              <w:spacing w:after="0"/>
              <w:rPr>
                <w:sz w:val="1"/>
                <w:szCs w:val="1"/>
                <w:color w:val="auto"/>
              </w:rPr>
            </w:pPr>
          </w:p>
        </w:tc>
      </w:tr>
      <w:tr>
        <w:trPr>
          <w:trHeight w:val="179"/>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Subsidiary dividends declared to non-controlling interests</w:t>
            </w: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w:t>
            </w:r>
          </w:p>
        </w:tc>
        <w:tc>
          <w:tcPr>
            <w:tcW w:w="0" w:type="dxa"/>
            <w:vAlign w:val="bottom"/>
          </w:tcPr>
          <w:p>
            <w:pPr>
              <w:spacing w:after="0"/>
              <w:rPr>
                <w:sz w:val="1"/>
                <w:szCs w:val="1"/>
                <w:color w:val="auto"/>
              </w:rPr>
            </w:pPr>
          </w:p>
        </w:tc>
      </w:tr>
      <w:tr>
        <w:trPr>
          <w:trHeight w:val="164"/>
        </w:trPr>
        <w:tc>
          <w:tcPr>
            <w:tcW w:w="3240" w:type="dxa"/>
            <w:vAlign w:val="bottom"/>
            <w:gridSpan w:val="2"/>
          </w:tcPr>
          <w:p>
            <w:pPr>
              <w:ind w:left="20"/>
              <w:spacing w:after="0"/>
              <w:rPr>
                <w:sz w:val="20"/>
                <w:szCs w:val="20"/>
                <w:color w:val="auto"/>
              </w:rPr>
            </w:pPr>
            <w:r>
              <w:rPr>
                <w:rFonts w:ascii="Arial" w:cs="Arial" w:eastAsia="Arial" w:hAnsi="Arial"/>
                <w:sz w:val="12"/>
                <w:szCs w:val="12"/>
                <w:color w:val="auto"/>
              </w:rPr>
              <w:t>Net earnings</w:t>
            </w:r>
          </w:p>
        </w:tc>
        <w:tc>
          <w:tcPr>
            <w:tcW w:w="82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500" w:type="dxa"/>
            <w:vAlign w:val="bottom"/>
            <w:gridSpan w:val="2"/>
          </w:tcPr>
          <w:p>
            <w:pPr>
              <w:ind w:lef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1,157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520" w:type="dxa"/>
            <w:vAlign w:val="bottom"/>
            <w:gridSpan w:val="2"/>
          </w:tcPr>
          <w:p>
            <w:pPr>
              <w:ind w:lef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1,166</w:t>
            </w:r>
          </w:p>
        </w:tc>
        <w:tc>
          <w:tcPr>
            <w:tcW w:w="0" w:type="dxa"/>
            <w:vAlign w:val="bottom"/>
          </w:tcPr>
          <w:p>
            <w:pPr>
              <w:spacing w:after="0"/>
              <w:rPr>
                <w:sz w:val="1"/>
                <w:szCs w:val="1"/>
                <w:color w:val="auto"/>
              </w:rPr>
            </w:pPr>
          </w:p>
        </w:tc>
      </w:tr>
      <w:tr>
        <w:trPr>
          <w:trHeight w:val="196"/>
        </w:trPr>
        <w:tc>
          <w:tcPr>
            <w:tcW w:w="32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Balance, June 30, 2021</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5,771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3,343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1,094</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38</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2"/>
                <w:szCs w:val="12"/>
                <w:color w:val="auto"/>
                <w:w w:val="8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9"/>
              </w:rPr>
              <w:t>(1,362)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8,888</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
        </w:trPr>
        <w:tc>
          <w:tcPr>
            <w:tcW w:w="3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Balance, December 31, 2021</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325</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5,811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4,369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779</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(1,545)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9,457</w:t>
            </w:r>
          </w:p>
        </w:tc>
        <w:tc>
          <w:tcPr>
            <w:tcW w:w="0" w:type="dxa"/>
            <w:vAlign w:val="bottom"/>
          </w:tcPr>
          <w:p>
            <w:pPr>
              <w:spacing w:after="0"/>
              <w:rPr>
                <w:sz w:val="1"/>
                <w:szCs w:val="1"/>
                <w:color w:val="auto"/>
              </w:rPr>
            </w:pPr>
          </w:p>
        </w:tc>
      </w:tr>
      <w:tr>
        <w:trPr>
          <w:trHeight w:val="163"/>
        </w:trPr>
        <w:tc>
          <w:tcPr>
            <w:tcW w:w="3240" w:type="dxa"/>
            <w:vAlign w:val="bottom"/>
            <w:gridSpan w:val="2"/>
          </w:tcPr>
          <w:p>
            <w:pPr>
              <w:ind w:left="20"/>
              <w:spacing w:after="0"/>
              <w:rPr>
                <w:sz w:val="20"/>
                <w:szCs w:val="20"/>
                <w:color w:val="auto"/>
              </w:rPr>
            </w:pPr>
            <w:r>
              <w:rPr>
                <w:rFonts w:ascii="Arial" w:cs="Arial" w:eastAsia="Arial" w:hAnsi="Arial"/>
                <w:sz w:val="12"/>
                <w:szCs w:val="12"/>
                <w:color w:val="auto"/>
              </w:rPr>
              <w:t>Exercise of stock options</w:t>
            </w:r>
          </w:p>
        </w:tc>
        <w:tc>
          <w:tcPr>
            <w:tcW w:w="70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gridSpan w:val="2"/>
          </w:tcPr>
          <w:p>
            <w:pPr>
              <w:ind w:lef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520" w:type="dxa"/>
            <w:vAlign w:val="bottom"/>
            <w:gridSpan w:val="2"/>
          </w:tcPr>
          <w:p>
            <w:pPr>
              <w:ind w:lef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179"/>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Treasury stock repurchased</w:t>
            </w: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(306)</w:t>
            </w:r>
          </w:p>
        </w:tc>
        <w:tc>
          <w:tcPr>
            <w:tcW w:w="0" w:type="dxa"/>
            <w:vAlign w:val="bottom"/>
          </w:tcPr>
          <w:p>
            <w:pPr>
              <w:spacing w:after="0"/>
              <w:rPr>
                <w:sz w:val="1"/>
                <w:szCs w:val="1"/>
                <w:color w:val="auto"/>
              </w:rPr>
            </w:pPr>
          </w:p>
        </w:tc>
      </w:tr>
      <w:tr>
        <w:trPr>
          <w:trHeight w:val="118"/>
        </w:trPr>
        <w:tc>
          <w:tcPr>
            <w:tcW w:w="3240" w:type="dxa"/>
            <w:vAlign w:val="bottom"/>
            <w:gridSpan w:val="2"/>
          </w:tcPr>
          <w:p>
            <w:pPr>
              <w:ind w:left="20"/>
              <w:spacing w:after="0" w:line="118" w:lineRule="exact"/>
              <w:rPr>
                <w:sz w:val="20"/>
                <w:szCs w:val="20"/>
                <w:color w:val="auto"/>
              </w:rPr>
            </w:pPr>
            <w:r>
              <w:rPr>
                <w:rFonts w:ascii="Arial" w:cs="Arial" w:eastAsia="Arial" w:hAnsi="Arial"/>
                <w:sz w:val="12"/>
                <w:szCs w:val="12"/>
                <w:color w:val="auto"/>
                <w:w w:val="99"/>
              </w:rPr>
              <w:t>Other comprehensive loss — unrealized loss on investments</w:t>
            </w:r>
          </w:p>
        </w:tc>
        <w:tc>
          <w:tcPr>
            <w:tcW w:w="820" w:type="dxa"/>
            <w:vAlign w:val="bottom"/>
            <w:gridSpan w:val="3"/>
            <w:vMerge w:val="restart"/>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0"/>
                <w:szCs w:val="10"/>
                <w:color w:val="auto"/>
              </w:rPr>
            </w:pPr>
          </w:p>
        </w:tc>
        <w:tc>
          <w:tcPr>
            <w:tcW w:w="5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Arial" w:cs="Arial" w:eastAsia="Arial" w:hAnsi="Arial"/>
                <w:sz w:val="12"/>
                <w:szCs w:val="12"/>
                <w:color w:val="auto"/>
              </w:rPr>
              <w:t>(3,038)</w:t>
            </w:r>
          </w:p>
        </w:tc>
        <w:tc>
          <w:tcPr>
            <w:tcW w:w="12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0"/>
                <w:szCs w:val="10"/>
                <w:color w:val="auto"/>
              </w:rPr>
            </w:pPr>
          </w:p>
        </w:tc>
        <w:tc>
          <w:tcPr>
            <w:tcW w:w="5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(3,038)</w:t>
            </w:r>
          </w:p>
        </w:tc>
        <w:tc>
          <w:tcPr>
            <w:tcW w:w="0" w:type="dxa"/>
            <w:vAlign w:val="bottom"/>
          </w:tcPr>
          <w:p>
            <w:pPr>
              <w:spacing w:after="0"/>
              <w:rPr>
                <w:sz w:val="1"/>
                <w:szCs w:val="1"/>
                <w:color w:val="auto"/>
              </w:rPr>
            </w:pPr>
          </w:p>
        </w:tc>
      </w:tr>
      <w:tr>
        <w:trPr>
          <w:trHeight w:val="163"/>
        </w:trPr>
        <w:tc>
          <w:tcPr>
            <w:tcW w:w="3240" w:type="dxa"/>
            <w:vAlign w:val="bottom"/>
            <w:gridSpan w:val="2"/>
          </w:tcPr>
          <w:p>
            <w:pPr>
              <w:ind w:left="20"/>
              <w:spacing w:after="0"/>
              <w:rPr>
                <w:sz w:val="20"/>
                <w:szCs w:val="20"/>
                <w:color w:val="auto"/>
              </w:rPr>
            </w:pPr>
            <w:r>
              <w:rPr>
                <w:rFonts w:ascii="Arial" w:cs="Arial" w:eastAsia="Arial" w:hAnsi="Arial"/>
                <w:sz w:val="12"/>
                <w:szCs w:val="12"/>
                <w:color w:val="auto"/>
              </w:rPr>
              <w:t>and other financial instruments</w:t>
            </w:r>
          </w:p>
        </w:tc>
        <w:tc>
          <w:tcPr>
            <w:tcW w:w="82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240" w:type="dxa"/>
            <w:vAlign w:val="bottom"/>
            <w:gridSpan w:val="2"/>
            <w:shd w:val="clear" w:color="auto" w:fill="CCEEFF"/>
          </w:tcPr>
          <w:p>
            <w:pPr>
              <w:ind w:left="20"/>
              <w:spacing w:after="0" w:line="126" w:lineRule="exact"/>
              <w:rPr>
                <w:sz w:val="20"/>
                <w:szCs w:val="20"/>
                <w:color w:val="auto"/>
              </w:rPr>
            </w:pPr>
            <w:r>
              <w:rPr>
                <w:rFonts w:ascii="Arial" w:cs="Arial" w:eastAsia="Arial" w:hAnsi="Arial"/>
                <w:sz w:val="12"/>
                <w:szCs w:val="12"/>
                <w:color w:val="auto"/>
              </w:rPr>
              <w:t>Other comprehensive earnings — unrealized gain on</w:t>
            </w:r>
          </w:p>
        </w:tc>
        <w:tc>
          <w:tcPr>
            <w:tcW w:w="82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0"/>
                <w:szCs w:val="10"/>
                <w:color w:val="auto"/>
              </w:rPr>
            </w:pPr>
          </w:p>
        </w:tc>
        <w:tc>
          <w:tcPr>
            <w:tcW w:w="500" w:type="dxa"/>
            <w:vAlign w:val="bottom"/>
            <w:gridSpan w:val="2"/>
            <w:vMerge w:val="restart"/>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0"/>
                <w:szCs w:val="10"/>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7</w:t>
            </w:r>
          </w:p>
        </w:tc>
        <w:tc>
          <w:tcPr>
            <w:tcW w:w="12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0"/>
                <w:szCs w:val="10"/>
                <w:color w:val="auto"/>
              </w:rPr>
            </w:pPr>
          </w:p>
        </w:tc>
        <w:tc>
          <w:tcPr>
            <w:tcW w:w="520" w:type="dxa"/>
            <w:vAlign w:val="bottom"/>
            <w:gridSpan w:val="2"/>
            <w:vMerge w:val="restart"/>
            <w:shd w:val="clear" w:color="auto" w:fill="CCEEFF"/>
          </w:tcPr>
          <w:p>
            <w:pPr>
              <w:ind w:lef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171"/>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investments in unconsolidated affiliates</w:t>
            </w:r>
          </w:p>
        </w:tc>
        <w:tc>
          <w:tcPr>
            <w:tcW w:w="820" w:type="dxa"/>
            <w:vAlign w:val="bottom"/>
            <w:gridSpan w:val="3"/>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3240" w:type="dxa"/>
            <w:vAlign w:val="bottom"/>
            <w:gridSpan w:val="2"/>
          </w:tcPr>
          <w:p>
            <w:pPr>
              <w:ind w:left="20"/>
              <w:spacing w:after="0" w:line="118" w:lineRule="exact"/>
              <w:rPr>
                <w:sz w:val="20"/>
                <w:szCs w:val="20"/>
                <w:color w:val="auto"/>
              </w:rPr>
            </w:pPr>
            <w:r>
              <w:rPr>
                <w:rFonts w:ascii="Arial" w:cs="Arial" w:eastAsia="Arial" w:hAnsi="Arial"/>
                <w:sz w:val="12"/>
                <w:szCs w:val="12"/>
                <w:color w:val="auto"/>
              </w:rPr>
              <w:t>Other comprehensive gain — unrealized gain on foreign</w:t>
            </w:r>
          </w:p>
        </w:tc>
        <w:tc>
          <w:tcPr>
            <w:tcW w:w="820" w:type="dxa"/>
            <w:vAlign w:val="bottom"/>
            <w:gridSpan w:val="3"/>
            <w:vMerge w:val="restart"/>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0"/>
                <w:szCs w:val="10"/>
                <w:color w:val="auto"/>
              </w:rPr>
            </w:pPr>
          </w:p>
        </w:tc>
        <w:tc>
          <w:tcPr>
            <w:tcW w:w="5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Arial" w:cs="Arial" w:eastAsia="Arial" w:hAnsi="Arial"/>
                <w:sz w:val="12"/>
                <w:szCs w:val="12"/>
                <w:color w:val="auto"/>
              </w:rPr>
              <w:t>(12)</w:t>
            </w:r>
          </w:p>
        </w:tc>
        <w:tc>
          <w:tcPr>
            <w:tcW w:w="12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0"/>
                <w:szCs w:val="10"/>
                <w:color w:val="auto"/>
              </w:rPr>
            </w:pPr>
          </w:p>
        </w:tc>
        <w:tc>
          <w:tcPr>
            <w:tcW w:w="5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(12)</w:t>
            </w:r>
          </w:p>
        </w:tc>
        <w:tc>
          <w:tcPr>
            <w:tcW w:w="0" w:type="dxa"/>
            <w:vAlign w:val="bottom"/>
          </w:tcPr>
          <w:p>
            <w:pPr>
              <w:spacing w:after="0"/>
              <w:rPr>
                <w:sz w:val="1"/>
                <w:szCs w:val="1"/>
                <w:color w:val="auto"/>
              </w:rPr>
            </w:pPr>
          </w:p>
        </w:tc>
      </w:tr>
      <w:tr>
        <w:trPr>
          <w:trHeight w:val="163"/>
        </w:trPr>
        <w:tc>
          <w:tcPr>
            <w:tcW w:w="3240" w:type="dxa"/>
            <w:vAlign w:val="bottom"/>
            <w:gridSpan w:val="2"/>
          </w:tcPr>
          <w:p>
            <w:pPr>
              <w:ind w:left="20"/>
              <w:spacing w:after="0"/>
              <w:rPr>
                <w:sz w:val="20"/>
                <w:szCs w:val="20"/>
                <w:color w:val="auto"/>
              </w:rPr>
            </w:pPr>
            <w:r>
              <w:rPr>
                <w:rFonts w:ascii="Arial" w:cs="Arial" w:eastAsia="Arial" w:hAnsi="Arial"/>
                <w:sz w:val="12"/>
                <w:szCs w:val="12"/>
                <w:color w:val="auto"/>
              </w:rPr>
              <w:t>currency translation</w:t>
            </w:r>
          </w:p>
        </w:tc>
        <w:tc>
          <w:tcPr>
            <w:tcW w:w="82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240" w:type="dxa"/>
            <w:vAlign w:val="bottom"/>
            <w:gridSpan w:val="2"/>
            <w:shd w:val="clear" w:color="auto" w:fill="CCEEFF"/>
          </w:tcPr>
          <w:p>
            <w:pPr>
              <w:ind w:left="20"/>
              <w:spacing w:after="0" w:line="126" w:lineRule="exact"/>
              <w:rPr>
                <w:sz w:val="20"/>
                <w:szCs w:val="20"/>
                <w:color w:val="auto"/>
              </w:rPr>
            </w:pPr>
            <w:r>
              <w:rPr>
                <w:rFonts w:ascii="Arial" w:cs="Arial" w:eastAsia="Arial" w:hAnsi="Arial"/>
                <w:sz w:val="12"/>
                <w:szCs w:val="12"/>
                <w:color w:val="auto"/>
              </w:rPr>
              <w:t>Reclassification adjustments for change in unrealized gains</w:t>
            </w:r>
          </w:p>
        </w:tc>
        <w:tc>
          <w:tcPr>
            <w:tcW w:w="82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0"/>
                <w:szCs w:val="10"/>
                <w:color w:val="auto"/>
              </w:rPr>
            </w:pPr>
          </w:p>
        </w:tc>
        <w:tc>
          <w:tcPr>
            <w:tcW w:w="500" w:type="dxa"/>
            <w:vAlign w:val="bottom"/>
            <w:gridSpan w:val="2"/>
            <w:vMerge w:val="restart"/>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0"/>
                <w:szCs w:val="10"/>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74</w:t>
            </w:r>
          </w:p>
        </w:tc>
        <w:tc>
          <w:tcPr>
            <w:tcW w:w="12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0"/>
                <w:szCs w:val="10"/>
                <w:color w:val="auto"/>
              </w:rPr>
            </w:pPr>
          </w:p>
        </w:tc>
        <w:tc>
          <w:tcPr>
            <w:tcW w:w="520" w:type="dxa"/>
            <w:vAlign w:val="bottom"/>
            <w:gridSpan w:val="2"/>
            <w:vMerge w:val="restart"/>
            <w:shd w:val="clear" w:color="auto" w:fill="CCEEFF"/>
          </w:tcPr>
          <w:p>
            <w:pPr>
              <w:ind w:lef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74</w:t>
            </w:r>
          </w:p>
        </w:tc>
        <w:tc>
          <w:tcPr>
            <w:tcW w:w="0" w:type="dxa"/>
            <w:vAlign w:val="bottom"/>
          </w:tcPr>
          <w:p>
            <w:pPr>
              <w:spacing w:after="0"/>
              <w:rPr>
                <w:sz w:val="1"/>
                <w:szCs w:val="1"/>
                <w:color w:val="auto"/>
              </w:rPr>
            </w:pPr>
          </w:p>
        </w:tc>
      </w:tr>
      <w:tr>
        <w:trPr>
          <w:trHeight w:val="171"/>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and losses included in net earnings</w:t>
            </w:r>
          </w:p>
        </w:tc>
        <w:tc>
          <w:tcPr>
            <w:tcW w:w="820" w:type="dxa"/>
            <w:vAlign w:val="bottom"/>
            <w:gridSpan w:val="3"/>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240" w:type="dxa"/>
            <w:vAlign w:val="bottom"/>
            <w:gridSpan w:val="2"/>
          </w:tcPr>
          <w:p>
            <w:pPr>
              <w:ind w:left="20"/>
              <w:spacing w:after="0"/>
              <w:rPr>
                <w:sz w:val="20"/>
                <w:szCs w:val="20"/>
                <w:color w:val="auto"/>
              </w:rPr>
            </w:pPr>
            <w:r>
              <w:rPr>
                <w:rFonts w:ascii="Arial" w:cs="Arial" w:eastAsia="Arial" w:hAnsi="Arial"/>
                <w:sz w:val="12"/>
                <w:szCs w:val="12"/>
                <w:color w:val="auto"/>
              </w:rPr>
              <w:t>Stock-based compensation</w:t>
            </w:r>
          </w:p>
        </w:tc>
        <w:tc>
          <w:tcPr>
            <w:tcW w:w="82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500" w:type="dxa"/>
            <w:vAlign w:val="bottom"/>
            <w:gridSpan w:val="2"/>
          </w:tcPr>
          <w:p>
            <w:pPr>
              <w:ind w:lef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520" w:type="dxa"/>
            <w:vAlign w:val="bottom"/>
            <w:gridSpan w:val="2"/>
          </w:tcPr>
          <w:p>
            <w:pPr>
              <w:ind w:lef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24</w:t>
            </w:r>
          </w:p>
        </w:tc>
        <w:tc>
          <w:tcPr>
            <w:tcW w:w="0" w:type="dxa"/>
            <w:vAlign w:val="bottom"/>
          </w:tcPr>
          <w:p>
            <w:pPr>
              <w:spacing w:after="0"/>
              <w:rPr>
                <w:sz w:val="1"/>
                <w:szCs w:val="1"/>
                <w:color w:val="auto"/>
              </w:rPr>
            </w:pPr>
          </w:p>
        </w:tc>
      </w:tr>
      <w:tr>
        <w:trPr>
          <w:trHeight w:val="179"/>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Dividends declared, $0.88 per common share</w:t>
            </w: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(247)</w:t>
            </w:r>
          </w:p>
        </w:tc>
        <w:tc>
          <w:tcPr>
            <w:tcW w:w="0" w:type="dxa"/>
            <w:vAlign w:val="bottom"/>
          </w:tcPr>
          <w:p>
            <w:pPr>
              <w:spacing w:after="0"/>
              <w:rPr>
                <w:sz w:val="1"/>
                <w:szCs w:val="1"/>
                <w:color w:val="auto"/>
              </w:rPr>
            </w:pPr>
          </w:p>
        </w:tc>
      </w:tr>
      <w:tr>
        <w:trPr>
          <w:trHeight w:val="163"/>
        </w:trPr>
        <w:tc>
          <w:tcPr>
            <w:tcW w:w="3240" w:type="dxa"/>
            <w:vAlign w:val="bottom"/>
            <w:gridSpan w:val="2"/>
          </w:tcPr>
          <w:p>
            <w:pPr>
              <w:ind w:left="20"/>
              <w:spacing w:after="0"/>
              <w:rPr>
                <w:sz w:val="20"/>
                <w:szCs w:val="20"/>
                <w:color w:val="auto"/>
              </w:rPr>
            </w:pPr>
            <w:r>
              <w:rPr>
                <w:rFonts w:ascii="Arial" w:cs="Arial" w:eastAsia="Arial" w:hAnsi="Arial"/>
                <w:sz w:val="12"/>
                <w:szCs w:val="12"/>
                <w:color w:val="auto"/>
              </w:rPr>
              <w:t>Subsidiary dividends declared to non-controlling interests</w:t>
            </w:r>
          </w:p>
        </w:tc>
        <w:tc>
          <w:tcPr>
            <w:tcW w:w="82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500" w:type="dxa"/>
            <w:vAlign w:val="bottom"/>
            <w:gridSpan w:val="2"/>
          </w:tcPr>
          <w:p>
            <w:pPr>
              <w:ind w:lef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520" w:type="dxa"/>
            <w:vAlign w:val="bottom"/>
            <w:gridSpan w:val="2"/>
          </w:tcPr>
          <w:p>
            <w:pPr>
              <w:ind w:lef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179"/>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Net earnings</w:t>
            </w: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787</w:t>
            </w:r>
          </w:p>
        </w:tc>
        <w:tc>
          <w:tcPr>
            <w:tcW w:w="0" w:type="dxa"/>
            <w:vAlign w:val="bottom"/>
          </w:tcPr>
          <w:p>
            <w:pPr>
              <w:spacing w:after="0"/>
              <w:rPr>
                <w:sz w:val="1"/>
                <w:szCs w:val="1"/>
                <w:color w:val="auto"/>
              </w:rPr>
            </w:pPr>
          </w:p>
        </w:tc>
      </w:tr>
      <w:tr>
        <w:trPr>
          <w:trHeight w:val="164"/>
        </w:trPr>
        <w:tc>
          <w:tcPr>
            <w:tcW w:w="3240" w:type="dxa"/>
            <w:vAlign w:val="bottom"/>
            <w:gridSpan w:val="2"/>
          </w:tcPr>
          <w:p>
            <w:pPr>
              <w:ind w:left="20"/>
              <w:spacing w:after="0"/>
              <w:rPr>
                <w:sz w:val="20"/>
                <w:szCs w:val="20"/>
                <w:color w:val="auto"/>
              </w:rPr>
            </w:pPr>
            <w:r>
              <w:rPr>
                <w:rFonts w:ascii="Arial" w:cs="Arial" w:eastAsia="Arial" w:hAnsi="Arial"/>
                <w:sz w:val="12"/>
                <w:szCs w:val="12"/>
                <w:color w:val="auto"/>
              </w:rPr>
              <w:t>Balance, June 30, 2022</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326</w:t>
            </w:r>
          </w:p>
        </w:tc>
        <w:tc>
          <w:tcPr>
            <w:tcW w:w="100" w:type="dxa"/>
            <w:vAlign w:val="bottom"/>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5,843</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4,901</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(2,190)</w:t>
            </w:r>
          </w:p>
        </w:tc>
        <w:tc>
          <w:tcPr>
            <w:tcW w:w="12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49</w:t>
            </w:r>
          </w:p>
        </w:tc>
        <w:tc>
          <w:tcPr>
            <w:tcW w:w="12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2"/>
                <w:szCs w:val="12"/>
                <w:color w:val="auto"/>
                <w:w w:val="8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99"/>
              </w:rPr>
              <w:t>(1,851)</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43</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6,746</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00" w:type="dxa"/>
            <w:vAlign w:val="bottom"/>
          </w:tcPr>
          <w:p>
            <w:pPr>
              <w:spacing w:after="0"/>
              <w:rPr>
                <w:sz w:val="14"/>
                <w:szCs w:val="14"/>
                <w:color w:val="auto"/>
              </w:rPr>
            </w:pPr>
          </w:p>
        </w:tc>
        <w:tc>
          <w:tcPr>
            <w:tcW w:w="1940" w:type="dxa"/>
            <w:vAlign w:val="bottom"/>
            <w:gridSpan w:val="5"/>
          </w:tcPr>
          <w:p>
            <w:pPr>
              <w:jc w:val="center"/>
              <w:spacing w:after="0"/>
              <w:rPr>
                <w:sz w:val="20"/>
                <w:szCs w:val="20"/>
                <w:color w:val="auto"/>
              </w:rPr>
            </w:pPr>
            <w:r>
              <w:rPr>
                <w:rFonts w:ascii="Arial" w:cs="Arial" w:eastAsia="Arial" w:hAnsi="Arial"/>
                <w:sz w:val="14"/>
                <w:szCs w:val="14"/>
                <w:b w:val="1"/>
                <w:bCs w:val="1"/>
                <w:color w:val="auto"/>
                <w:w w:val="87"/>
              </w:rPr>
              <w:t>For the six months ended June</w:t>
            </w:r>
          </w:p>
        </w:tc>
      </w:tr>
      <w:tr>
        <w:trPr>
          <w:trHeight w:val="184"/>
        </w:trPr>
        <w:tc>
          <w:tcPr>
            <w:tcW w:w="93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ind w:left="570"/>
              <w:spacing w:after="0"/>
              <w:rPr>
                <w:sz w:val="20"/>
                <w:szCs w:val="20"/>
                <w:color w:val="auto"/>
              </w:rPr>
            </w:pPr>
            <w:r>
              <w:rPr>
                <w:rFonts w:ascii="Arial" w:cs="Arial" w:eastAsia="Arial" w:hAnsi="Arial"/>
                <w:sz w:val="14"/>
                <w:szCs w:val="14"/>
                <w:b w:val="1"/>
                <w:bCs w:val="1"/>
                <w:color w:val="auto"/>
                <w:w w:val="92"/>
              </w:rPr>
              <w:t>30,</w:t>
            </w:r>
          </w:p>
        </w:tc>
        <w:tc>
          <w:tcPr>
            <w:tcW w:w="2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r>
      <w:tr>
        <w:trPr>
          <w:trHeight w:val="177"/>
        </w:trPr>
        <w:tc>
          <w:tcPr>
            <w:tcW w:w="93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b w:val="1"/>
                <w:bCs w:val="1"/>
                <w:color w:val="auto"/>
                <w:w w:val="89"/>
              </w:rPr>
              <w:t>2021</w:t>
            </w:r>
          </w:p>
        </w:tc>
      </w:tr>
      <w:tr>
        <w:trPr>
          <w:trHeight w:val="169"/>
        </w:trPr>
        <w:tc>
          <w:tcPr>
            <w:tcW w:w="9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3"/>
          </w:tcPr>
          <w:p>
            <w:pPr>
              <w:jc w:val="center"/>
              <w:ind w:left="310"/>
              <w:spacing w:after="0"/>
              <w:rPr>
                <w:sz w:val="20"/>
                <w:szCs w:val="20"/>
                <w:color w:val="auto"/>
              </w:rPr>
            </w:pPr>
            <w:r>
              <w:rPr>
                <w:rFonts w:ascii="Arial" w:cs="Arial" w:eastAsia="Arial" w:hAnsi="Arial"/>
                <w:sz w:val="14"/>
                <w:szCs w:val="14"/>
                <w:b w:val="1"/>
                <w:bCs w:val="1"/>
                <w:color w:val="auto"/>
                <w:w w:val="95"/>
              </w:rPr>
              <w:t>(Unaudited)</w:t>
            </w:r>
          </w:p>
        </w:tc>
        <w:tc>
          <w:tcPr>
            <w:tcW w:w="600" w:type="dxa"/>
            <w:vAlign w:val="bottom"/>
          </w:tcPr>
          <w:p>
            <w:pPr>
              <w:spacing w:after="0"/>
              <w:rPr>
                <w:sz w:val="14"/>
                <w:szCs w:val="14"/>
                <w:color w:val="auto"/>
              </w:rPr>
            </w:pPr>
          </w:p>
        </w:tc>
      </w:tr>
      <w:tr>
        <w:trPr>
          <w:trHeight w:val="188"/>
        </w:trPr>
        <w:tc>
          <w:tcPr>
            <w:tcW w:w="9300" w:type="dxa"/>
            <w:vAlign w:val="bottom"/>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0"/>
        </w:trPr>
        <w:tc>
          <w:tcPr>
            <w:tcW w:w="93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earnings</w:t>
            </w:r>
          </w:p>
        </w:tc>
        <w:tc>
          <w:tcPr>
            <w:tcW w:w="2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787</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1,166</w:t>
            </w:r>
          </w:p>
        </w:tc>
      </w:tr>
      <w:tr>
        <w:trPr>
          <w:trHeight w:val="182"/>
        </w:trPr>
        <w:tc>
          <w:tcPr>
            <w:tcW w:w="9300" w:type="dxa"/>
            <w:vAlign w:val="bottom"/>
          </w:tcPr>
          <w:p>
            <w:pPr>
              <w:ind w:left="220"/>
              <w:spacing w:after="0"/>
              <w:rPr>
                <w:sz w:val="20"/>
                <w:szCs w:val="20"/>
                <w:color w:val="auto"/>
              </w:rPr>
            </w:pPr>
            <w:r>
              <w:rPr>
                <w:rFonts w:ascii="Arial" w:cs="Arial" w:eastAsia="Arial" w:hAnsi="Arial"/>
                <w:sz w:val="14"/>
                <w:szCs w:val="14"/>
                <w:color w:val="auto"/>
              </w:rPr>
              <w:t>Adjustments to reconcile net earnings to net cash provided by operating activities:</w:t>
            </w: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87"/>
        </w:trPr>
        <w:tc>
          <w:tcPr>
            <w:tcW w:w="9300" w:type="dxa"/>
            <w:vAlign w:val="bottom"/>
            <w:shd w:val="clear" w:color="auto" w:fill="CCEEFF"/>
          </w:tcPr>
          <w:p>
            <w:pPr>
              <w:ind w:left="440"/>
              <w:spacing w:after="0"/>
              <w:rPr>
                <w:sz w:val="20"/>
                <w:szCs w:val="20"/>
                <w:color w:val="auto"/>
              </w:rPr>
            </w:pPr>
            <w:r>
              <w:rPr>
                <w:rFonts w:ascii="Arial" w:cs="Arial" w:eastAsia="Arial" w:hAnsi="Arial"/>
                <w:sz w:val="14"/>
                <w:szCs w:val="14"/>
                <w:color w:val="auto"/>
              </w:rPr>
              <w:t>Depreciation and amortization</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w:t>
            </w:r>
          </w:p>
        </w:tc>
      </w:tr>
      <w:tr>
        <w:trPr>
          <w:trHeight w:val="182"/>
        </w:trPr>
        <w:tc>
          <w:tcPr>
            <w:tcW w:w="9300" w:type="dxa"/>
            <w:vAlign w:val="bottom"/>
          </w:tcPr>
          <w:p>
            <w:pPr>
              <w:ind w:left="440"/>
              <w:spacing w:after="0"/>
              <w:rPr>
                <w:sz w:val="20"/>
                <w:szCs w:val="20"/>
                <w:color w:val="auto"/>
              </w:rPr>
            </w:pPr>
            <w:r>
              <w:rPr>
                <w:rFonts w:ascii="Arial" w:cs="Arial" w:eastAsia="Arial" w:hAnsi="Arial"/>
                <w:sz w:val="14"/>
                <w:szCs w:val="14"/>
                <w:color w:val="auto"/>
              </w:rPr>
              <w:t>Equity in earnings of unconsolidated affiliates</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187"/>
        </w:trPr>
        <w:tc>
          <w:tcPr>
            <w:tcW w:w="9300" w:type="dxa"/>
            <w:vAlign w:val="bottom"/>
            <w:shd w:val="clear" w:color="auto" w:fill="CCEEFF"/>
          </w:tcPr>
          <w:p>
            <w:pPr>
              <w:ind w:left="440"/>
              <w:spacing w:after="0"/>
              <w:rPr>
                <w:sz w:val="20"/>
                <w:szCs w:val="20"/>
                <w:color w:val="auto"/>
              </w:rPr>
            </w:pPr>
            <w:r>
              <w:rPr>
                <w:rFonts w:ascii="Arial" w:cs="Arial" w:eastAsia="Arial" w:hAnsi="Arial"/>
                <w:sz w:val="14"/>
                <w:szCs w:val="14"/>
                <w:color w:val="auto"/>
              </w:rPr>
              <w:t>Gain on sales of investments and other assets and asset impairments, net</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w:t>
            </w:r>
          </w:p>
        </w:tc>
      </w:tr>
      <w:tr>
        <w:trPr>
          <w:trHeight w:val="182"/>
        </w:trPr>
        <w:tc>
          <w:tcPr>
            <w:tcW w:w="9300" w:type="dxa"/>
            <w:vAlign w:val="bottom"/>
          </w:tcPr>
          <w:p>
            <w:pPr>
              <w:ind w:left="440"/>
              <w:spacing w:after="0"/>
              <w:rPr>
                <w:sz w:val="20"/>
                <w:szCs w:val="20"/>
                <w:color w:val="auto"/>
              </w:rPr>
            </w:pPr>
            <w:r>
              <w:rPr>
                <w:rFonts w:ascii="Arial" w:cs="Arial" w:eastAsia="Arial" w:hAnsi="Arial"/>
                <w:sz w:val="14"/>
                <w:szCs w:val="14"/>
                <w:color w:val="auto"/>
              </w:rPr>
              <w:t>Loss on the sale of businesses</w:t>
            </w:r>
          </w:p>
        </w:tc>
        <w:tc>
          <w:tcPr>
            <w:tcW w:w="22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187"/>
        </w:trPr>
        <w:tc>
          <w:tcPr>
            <w:tcW w:w="9300" w:type="dxa"/>
            <w:vAlign w:val="bottom"/>
            <w:shd w:val="clear" w:color="auto" w:fill="CCEEFF"/>
          </w:tcPr>
          <w:p>
            <w:pPr>
              <w:ind w:left="440"/>
              <w:spacing w:after="0"/>
              <w:rPr>
                <w:sz w:val="20"/>
                <w:szCs w:val="20"/>
                <w:color w:val="auto"/>
              </w:rPr>
            </w:pPr>
            <w:r>
              <w:rPr>
                <w:rFonts w:ascii="Arial" w:cs="Arial" w:eastAsia="Arial" w:hAnsi="Arial"/>
                <w:sz w:val="14"/>
                <w:szCs w:val="14"/>
                <w:color w:val="auto"/>
              </w:rPr>
              <w:t>Interest credited/index credits to contractholder account balances</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(862)</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476</w:t>
            </w:r>
          </w:p>
        </w:tc>
      </w:tr>
      <w:tr>
        <w:trPr>
          <w:trHeight w:val="182"/>
        </w:trPr>
        <w:tc>
          <w:tcPr>
            <w:tcW w:w="9300" w:type="dxa"/>
            <w:vAlign w:val="bottom"/>
          </w:tcPr>
          <w:p>
            <w:pPr>
              <w:ind w:left="440"/>
              <w:spacing w:after="0"/>
              <w:rPr>
                <w:sz w:val="20"/>
                <w:szCs w:val="20"/>
                <w:color w:val="auto"/>
              </w:rPr>
            </w:pPr>
            <w:r>
              <w:rPr>
                <w:rFonts w:ascii="Arial" w:cs="Arial" w:eastAsia="Arial" w:hAnsi="Arial"/>
                <w:sz w:val="14"/>
                <w:szCs w:val="14"/>
                <w:color w:val="auto"/>
              </w:rPr>
              <w:t>Deferred policy acquisition costs and deferred sales inducements</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(371)</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(303)</w:t>
            </w:r>
          </w:p>
        </w:tc>
      </w:tr>
      <w:tr>
        <w:trPr>
          <w:trHeight w:val="187"/>
        </w:trPr>
        <w:tc>
          <w:tcPr>
            <w:tcW w:w="9300" w:type="dxa"/>
            <w:vAlign w:val="bottom"/>
            <w:shd w:val="clear" w:color="auto" w:fill="CCEEFF"/>
          </w:tcPr>
          <w:p>
            <w:pPr>
              <w:ind w:left="440"/>
              <w:spacing w:after="0"/>
              <w:rPr>
                <w:sz w:val="20"/>
                <w:szCs w:val="20"/>
                <w:color w:val="auto"/>
              </w:rPr>
            </w:pPr>
            <w:r>
              <w:rPr>
                <w:rFonts w:ascii="Arial" w:cs="Arial" w:eastAsia="Arial" w:hAnsi="Arial"/>
                <w:sz w:val="14"/>
                <w:szCs w:val="14"/>
                <w:color w:val="auto"/>
              </w:rPr>
              <w:t>Charges assessed to contractholders for mortality and admin</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r>
      <w:tr>
        <w:trPr>
          <w:trHeight w:val="182"/>
        </w:trPr>
        <w:tc>
          <w:tcPr>
            <w:tcW w:w="9300" w:type="dxa"/>
            <w:vAlign w:val="bottom"/>
          </w:tcPr>
          <w:p>
            <w:pPr>
              <w:ind w:left="440"/>
              <w:spacing w:after="0"/>
              <w:rPr>
                <w:sz w:val="20"/>
                <w:szCs w:val="20"/>
                <w:color w:val="auto"/>
              </w:rPr>
            </w:pPr>
            <w:r>
              <w:rPr>
                <w:rFonts w:ascii="Arial" w:cs="Arial" w:eastAsia="Arial" w:hAnsi="Arial"/>
                <w:sz w:val="14"/>
                <w:szCs w:val="14"/>
                <w:color w:val="auto"/>
              </w:rPr>
              <w:t>Non-cash lease costs</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70</w:t>
            </w:r>
          </w:p>
        </w:tc>
      </w:tr>
      <w:tr>
        <w:trPr>
          <w:trHeight w:val="187"/>
        </w:trPr>
        <w:tc>
          <w:tcPr>
            <w:tcW w:w="9300" w:type="dxa"/>
            <w:vAlign w:val="bottom"/>
            <w:shd w:val="clear" w:color="auto" w:fill="CCEEFF"/>
          </w:tcPr>
          <w:p>
            <w:pPr>
              <w:ind w:left="440"/>
              <w:spacing w:after="0"/>
              <w:rPr>
                <w:sz w:val="20"/>
                <w:szCs w:val="20"/>
                <w:color w:val="auto"/>
              </w:rPr>
            </w:pPr>
            <w:r>
              <w:rPr>
                <w:rFonts w:ascii="Arial" w:cs="Arial" w:eastAsia="Arial" w:hAnsi="Arial"/>
                <w:sz w:val="14"/>
                <w:szCs w:val="14"/>
                <w:color w:val="auto"/>
              </w:rPr>
              <w:t>Operating lease payments</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r>
      <w:tr>
        <w:trPr>
          <w:trHeight w:val="182"/>
        </w:trPr>
        <w:tc>
          <w:tcPr>
            <w:tcW w:w="9300" w:type="dxa"/>
            <w:vAlign w:val="bottom"/>
          </w:tcPr>
          <w:p>
            <w:pPr>
              <w:ind w:left="440"/>
              <w:spacing w:after="0"/>
              <w:rPr>
                <w:sz w:val="20"/>
                <w:szCs w:val="20"/>
                <w:color w:val="auto"/>
              </w:rPr>
            </w:pPr>
            <w:r>
              <w:rPr>
                <w:rFonts w:ascii="Arial" w:cs="Arial" w:eastAsia="Arial" w:hAnsi="Arial"/>
                <w:sz w:val="14"/>
                <w:szCs w:val="14"/>
                <w:color w:val="auto"/>
              </w:rPr>
              <w:t>Distributions from unconsolidated affiliates, return on investment</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187"/>
        </w:trPr>
        <w:tc>
          <w:tcPr>
            <w:tcW w:w="9300" w:type="dxa"/>
            <w:vAlign w:val="bottom"/>
            <w:shd w:val="clear" w:color="auto" w:fill="CCEEFF"/>
          </w:tcPr>
          <w:p>
            <w:pPr>
              <w:ind w:left="440"/>
              <w:spacing w:after="0"/>
              <w:rPr>
                <w:sz w:val="20"/>
                <w:szCs w:val="20"/>
                <w:color w:val="auto"/>
              </w:rPr>
            </w:pPr>
            <w:r>
              <w:rPr>
                <w:rFonts w:ascii="Arial" w:cs="Arial" w:eastAsia="Arial" w:hAnsi="Arial"/>
                <w:sz w:val="14"/>
                <w:szCs w:val="14"/>
                <w:color w:val="auto"/>
              </w:rPr>
              <w:t>Stock-based compensation cost</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r>
      <w:tr>
        <w:trPr>
          <w:trHeight w:val="182"/>
        </w:trPr>
        <w:tc>
          <w:tcPr>
            <w:tcW w:w="9300" w:type="dxa"/>
            <w:vAlign w:val="bottom"/>
          </w:tcPr>
          <w:p>
            <w:pPr>
              <w:ind w:left="440"/>
              <w:spacing w:after="0"/>
              <w:rPr>
                <w:sz w:val="20"/>
                <w:szCs w:val="20"/>
                <w:color w:val="auto"/>
              </w:rPr>
            </w:pPr>
            <w:r>
              <w:rPr>
                <w:rFonts w:ascii="Arial" w:cs="Arial" w:eastAsia="Arial" w:hAnsi="Arial"/>
                <w:sz w:val="14"/>
                <w:szCs w:val="14"/>
                <w:color w:val="auto"/>
              </w:rPr>
              <w:t>Change in NAV of limited partnerships, net</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(172)</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(241)</w:t>
            </w:r>
          </w:p>
        </w:tc>
      </w:tr>
      <w:tr>
        <w:trPr>
          <w:trHeight w:val="187"/>
        </w:trPr>
        <w:tc>
          <w:tcPr>
            <w:tcW w:w="9300" w:type="dxa"/>
            <w:vAlign w:val="bottom"/>
            <w:shd w:val="clear" w:color="auto" w:fill="CCEEFF"/>
          </w:tcPr>
          <w:p>
            <w:pPr>
              <w:ind w:left="440"/>
              <w:spacing w:after="0"/>
              <w:rPr>
                <w:sz w:val="20"/>
                <w:szCs w:val="20"/>
                <w:color w:val="auto"/>
              </w:rPr>
            </w:pPr>
            <w:r>
              <w:rPr>
                <w:rFonts w:ascii="Arial" w:cs="Arial" w:eastAsia="Arial" w:hAnsi="Arial"/>
                <w:sz w:val="14"/>
                <w:szCs w:val="14"/>
                <w:color w:val="auto"/>
              </w:rPr>
              <w:t>Change in valuation of derivatives, equity and preferred securities, net</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1,072</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r>
      <w:tr>
        <w:trPr>
          <w:trHeight w:val="182"/>
        </w:trPr>
        <w:tc>
          <w:tcPr>
            <w:tcW w:w="9300" w:type="dxa"/>
            <w:vAlign w:val="bottom"/>
          </w:tcPr>
          <w:p>
            <w:pPr>
              <w:ind w:left="220"/>
              <w:spacing w:after="0"/>
              <w:rPr>
                <w:sz w:val="20"/>
                <w:szCs w:val="20"/>
                <w:color w:val="auto"/>
              </w:rPr>
            </w:pPr>
            <w:r>
              <w:rPr>
                <w:rFonts w:ascii="Arial" w:cs="Arial" w:eastAsia="Arial" w:hAnsi="Arial"/>
                <w:sz w:val="14"/>
                <w:szCs w:val="14"/>
                <w:color w:val="auto"/>
              </w:rPr>
              <w:t>Changes in assets and liabilities, net of effects from acquisitions:</w:t>
            </w: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87"/>
        </w:trPr>
        <w:tc>
          <w:tcPr>
            <w:tcW w:w="93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Change in reinsurance recoverable</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r>
      <w:tr>
        <w:trPr>
          <w:trHeight w:val="182"/>
        </w:trPr>
        <w:tc>
          <w:tcPr>
            <w:tcW w:w="9300" w:type="dxa"/>
            <w:vAlign w:val="bottom"/>
          </w:tcPr>
          <w:p>
            <w:pPr>
              <w:ind w:left="500"/>
              <w:spacing w:after="0"/>
              <w:rPr>
                <w:sz w:val="20"/>
                <w:szCs w:val="20"/>
                <w:color w:val="auto"/>
              </w:rPr>
            </w:pPr>
            <w:r>
              <w:rPr>
                <w:rFonts w:ascii="Arial" w:cs="Arial" w:eastAsia="Arial" w:hAnsi="Arial"/>
                <w:sz w:val="14"/>
                <w:szCs w:val="14"/>
                <w:color w:val="auto"/>
              </w:rPr>
              <w:t>Change in future policy benefits</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445</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(112)</w:t>
            </w:r>
          </w:p>
        </w:tc>
      </w:tr>
      <w:tr>
        <w:trPr>
          <w:trHeight w:val="187"/>
        </w:trPr>
        <w:tc>
          <w:tcPr>
            <w:tcW w:w="93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Change in funds withheld from reinsurers</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617</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461</w:t>
            </w:r>
          </w:p>
        </w:tc>
      </w:tr>
      <w:tr>
        <w:trPr>
          <w:trHeight w:val="182"/>
        </w:trPr>
        <w:tc>
          <w:tcPr>
            <w:tcW w:w="9300" w:type="dxa"/>
            <w:vAlign w:val="bottom"/>
          </w:tcPr>
          <w:p>
            <w:pPr>
              <w:ind w:left="500"/>
              <w:spacing w:after="0"/>
              <w:rPr>
                <w:sz w:val="20"/>
                <w:szCs w:val="20"/>
                <w:color w:val="auto"/>
              </w:rPr>
            </w:pPr>
            <w:r>
              <w:rPr>
                <w:rFonts w:ascii="Arial" w:cs="Arial" w:eastAsia="Arial" w:hAnsi="Arial"/>
                <w:sz w:val="14"/>
                <w:szCs w:val="14"/>
                <w:color w:val="auto"/>
              </w:rPr>
              <w:t>Net decrease in trade receivables</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(58)</w:t>
            </w:r>
          </w:p>
        </w:tc>
      </w:tr>
      <w:tr>
        <w:trPr>
          <w:trHeight w:val="187"/>
        </w:trPr>
        <w:tc>
          <w:tcPr>
            <w:tcW w:w="93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Net (decrease) increase in reserve for title claim losses</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r>
      <w:tr>
        <w:trPr>
          <w:trHeight w:val="182"/>
        </w:trPr>
        <w:tc>
          <w:tcPr>
            <w:tcW w:w="9300" w:type="dxa"/>
            <w:vAlign w:val="bottom"/>
          </w:tcPr>
          <w:p>
            <w:pPr>
              <w:ind w:left="500"/>
              <w:spacing w:after="0"/>
              <w:rPr>
                <w:sz w:val="20"/>
                <w:szCs w:val="20"/>
                <w:color w:val="auto"/>
              </w:rPr>
            </w:pPr>
            <w:r>
              <w:rPr>
                <w:rFonts w:ascii="Arial" w:cs="Arial" w:eastAsia="Arial" w:hAnsi="Arial"/>
                <w:sz w:val="14"/>
                <w:szCs w:val="14"/>
                <w:color w:val="auto"/>
              </w:rPr>
              <w:t>Net change in income taxes</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169</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(86)</w:t>
            </w:r>
          </w:p>
        </w:tc>
      </w:tr>
      <w:tr>
        <w:trPr>
          <w:trHeight w:val="187"/>
        </w:trPr>
        <w:tc>
          <w:tcPr>
            <w:tcW w:w="93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Net change in other assets and other liabilities</w:t>
            </w:r>
          </w:p>
        </w:tc>
        <w:tc>
          <w:tcPr>
            <w:tcW w:w="2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(640)</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w:t>
            </w:r>
          </w:p>
        </w:tc>
      </w:tr>
      <w:tr>
        <w:trPr>
          <w:trHeight w:val="175"/>
        </w:trPr>
        <w:tc>
          <w:tcPr>
            <w:tcW w:w="9300" w:type="dxa"/>
            <w:vAlign w:val="bottom"/>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1,495</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1,516</w:t>
            </w:r>
          </w:p>
        </w:tc>
      </w:tr>
      <w:tr>
        <w:trPr>
          <w:trHeight w:val="187"/>
        </w:trPr>
        <w:tc>
          <w:tcPr>
            <w:tcW w:w="93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r>
      <w:tr>
        <w:trPr>
          <w:trHeight w:val="182"/>
        </w:trPr>
        <w:tc>
          <w:tcPr>
            <w:tcW w:w="9300" w:type="dxa"/>
            <w:vAlign w:val="bottom"/>
          </w:tcPr>
          <w:p>
            <w:pPr>
              <w:ind w:left="220"/>
              <w:spacing w:after="0"/>
              <w:rPr>
                <w:sz w:val="20"/>
                <w:szCs w:val="20"/>
                <w:color w:val="auto"/>
              </w:rPr>
            </w:pPr>
            <w:r>
              <w:rPr>
                <w:rFonts w:ascii="Arial" w:cs="Arial" w:eastAsia="Arial" w:hAnsi="Arial"/>
                <w:sz w:val="14"/>
                <w:szCs w:val="14"/>
                <w:color w:val="auto"/>
              </w:rPr>
              <w:t>Proceeds from sales, calls and maturities of investment securities</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3,541</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3,334</w:t>
            </w:r>
          </w:p>
        </w:tc>
      </w:tr>
      <w:tr>
        <w:trPr>
          <w:trHeight w:val="187"/>
        </w:trPr>
        <w:tc>
          <w:tcPr>
            <w:tcW w:w="93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sales of property and equipment</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182"/>
        </w:trPr>
        <w:tc>
          <w:tcPr>
            <w:tcW w:w="9300" w:type="dxa"/>
            <w:vAlign w:val="bottom"/>
          </w:tcPr>
          <w:p>
            <w:pPr>
              <w:ind w:left="220"/>
              <w:spacing w:after="0"/>
              <w:rPr>
                <w:sz w:val="20"/>
                <w:szCs w:val="20"/>
                <w:color w:val="auto"/>
              </w:rPr>
            </w:pPr>
            <w:r>
              <w:rPr>
                <w:rFonts w:ascii="Arial" w:cs="Arial" w:eastAsia="Arial" w:hAnsi="Arial"/>
                <w:sz w:val="14"/>
                <w:szCs w:val="14"/>
                <w:color w:val="auto"/>
              </w:rPr>
              <w:t>Additions to property and equipment and capitalized software</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(54)</w:t>
            </w:r>
          </w:p>
        </w:tc>
      </w:tr>
      <w:tr>
        <w:trPr>
          <w:trHeight w:val="187"/>
        </w:trPr>
        <w:tc>
          <w:tcPr>
            <w:tcW w:w="93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Purchases of investment securities</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(6,958)</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(6,226)</w:t>
            </w:r>
          </w:p>
        </w:tc>
      </w:tr>
      <w:tr>
        <w:trPr>
          <w:trHeight w:val="182"/>
        </w:trPr>
        <w:tc>
          <w:tcPr>
            <w:tcW w:w="9300" w:type="dxa"/>
            <w:vAlign w:val="bottom"/>
          </w:tcPr>
          <w:p>
            <w:pPr>
              <w:ind w:left="220"/>
              <w:spacing w:after="0"/>
              <w:rPr>
                <w:sz w:val="20"/>
                <w:szCs w:val="20"/>
                <w:color w:val="auto"/>
              </w:rPr>
            </w:pPr>
            <w:r>
              <w:rPr>
                <w:rFonts w:ascii="Arial" w:cs="Arial" w:eastAsia="Arial" w:hAnsi="Arial"/>
                <w:sz w:val="14"/>
                <w:szCs w:val="14"/>
                <w:color w:val="auto"/>
              </w:rPr>
              <w:t>Net (purchases of) proceeds from sales and maturities of short-term investment securities</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(1,644)</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334</w:t>
            </w:r>
          </w:p>
        </w:tc>
      </w:tr>
      <w:tr>
        <w:trPr>
          <w:trHeight w:val="187"/>
        </w:trPr>
        <w:tc>
          <w:tcPr>
            <w:tcW w:w="93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Additions to notes receivable</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r>
      <w:tr>
        <w:trPr>
          <w:trHeight w:val="182"/>
        </w:trPr>
        <w:tc>
          <w:tcPr>
            <w:tcW w:w="9300" w:type="dxa"/>
            <w:vAlign w:val="bottom"/>
          </w:tcPr>
          <w:p>
            <w:pPr>
              <w:ind w:left="220"/>
              <w:spacing w:after="0"/>
              <w:rPr>
                <w:sz w:val="20"/>
                <w:szCs w:val="20"/>
                <w:color w:val="auto"/>
              </w:rPr>
            </w:pPr>
            <w:r>
              <w:rPr>
                <w:rFonts w:ascii="Arial" w:cs="Arial" w:eastAsia="Arial" w:hAnsi="Arial"/>
                <w:sz w:val="14"/>
                <w:szCs w:val="14"/>
                <w:color w:val="auto"/>
              </w:rPr>
              <w:t>Collections of notes receivable</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187"/>
        </w:trPr>
        <w:tc>
          <w:tcPr>
            <w:tcW w:w="93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Acquisitions and dispositions</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r>
      <w:tr>
        <w:trPr>
          <w:trHeight w:val="182"/>
        </w:trPr>
        <w:tc>
          <w:tcPr>
            <w:tcW w:w="9300" w:type="dxa"/>
            <w:vAlign w:val="bottom"/>
          </w:tcPr>
          <w:p>
            <w:pPr>
              <w:ind w:left="220"/>
              <w:spacing w:after="0"/>
              <w:rPr>
                <w:sz w:val="20"/>
                <w:szCs w:val="20"/>
                <w:color w:val="auto"/>
              </w:rPr>
            </w:pPr>
            <w:r>
              <w:rPr>
                <w:rFonts w:ascii="Arial" w:cs="Arial" w:eastAsia="Arial" w:hAnsi="Arial"/>
                <w:sz w:val="14"/>
                <w:szCs w:val="14"/>
                <w:color w:val="auto"/>
              </w:rPr>
              <w:t>Additional investments in unconsolidated affiliates</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(741)</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(587)</w:t>
            </w:r>
          </w:p>
        </w:tc>
      </w:tr>
      <w:tr>
        <w:trPr>
          <w:trHeight w:val="187"/>
        </w:trPr>
        <w:tc>
          <w:tcPr>
            <w:tcW w:w="93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Distributions from unconsolidated affiliates, return of investment</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r>
      <w:tr>
        <w:trPr>
          <w:trHeight w:val="182"/>
        </w:trPr>
        <w:tc>
          <w:tcPr>
            <w:tcW w:w="9300" w:type="dxa"/>
            <w:vAlign w:val="bottom"/>
          </w:tcPr>
          <w:p>
            <w:pPr>
              <w:ind w:left="220"/>
              <w:spacing w:after="0"/>
              <w:rPr>
                <w:sz w:val="20"/>
                <w:szCs w:val="20"/>
                <w:color w:val="auto"/>
              </w:rPr>
            </w:pPr>
            <w:r>
              <w:rPr>
                <w:rFonts w:ascii="Arial" w:cs="Arial" w:eastAsia="Arial" w:hAnsi="Arial"/>
                <w:sz w:val="14"/>
                <w:szCs w:val="14"/>
                <w:color w:val="auto"/>
              </w:rPr>
              <w:t>Net other investing activities</w:t>
            </w:r>
          </w:p>
        </w:tc>
        <w:tc>
          <w:tcPr>
            <w:tcW w:w="22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94</w:t>
            </w:r>
          </w:p>
        </w:tc>
      </w:tr>
      <w:tr>
        <w:trPr>
          <w:trHeight w:val="180"/>
        </w:trPr>
        <w:tc>
          <w:tcPr>
            <w:tcW w:w="9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used in investing activities</w:t>
            </w:r>
          </w:p>
        </w:tc>
        <w:tc>
          <w:tcPr>
            <w:tcW w:w="2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(5,891)</w:t>
            </w: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(3,118)</w:t>
            </w:r>
          </w:p>
        </w:tc>
      </w:tr>
      <w:tr>
        <w:trPr>
          <w:trHeight w:val="184"/>
        </w:trPr>
        <w:tc>
          <w:tcPr>
            <w:tcW w:w="930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85"/>
        </w:trPr>
        <w:tc>
          <w:tcPr>
            <w:tcW w:w="93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Dividends paid</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w:t>
            </w:r>
          </w:p>
        </w:tc>
      </w:tr>
      <w:tr>
        <w:trPr>
          <w:trHeight w:val="182"/>
        </w:trPr>
        <w:tc>
          <w:tcPr>
            <w:tcW w:w="9300" w:type="dxa"/>
            <w:vAlign w:val="bottom"/>
          </w:tcPr>
          <w:p>
            <w:pPr>
              <w:ind w:left="220"/>
              <w:spacing w:after="0"/>
              <w:rPr>
                <w:sz w:val="20"/>
                <w:szCs w:val="20"/>
                <w:color w:val="auto"/>
              </w:rPr>
            </w:pPr>
            <w:r>
              <w:rPr>
                <w:rFonts w:ascii="Arial" w:cs="Arial" w:eastAsia="Arial" w:hAnsi="Arial"/>
                <w:sz w:val="14"/>
                <w:szCs w:val="14"/>
                <w:color w:val="auto"/>
              </w:rPr>
              <w:t>Subsidiary dividends paid to non-controlling interest shareholders</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187"/>
        </w:trPr>
        <w:tc>
          <w:tcPr>
            <w:tcW w:w="93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Exercise of stock options</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r>
      <w:tr>
        <w:trPr>
          <w:trHeight w:val="182"/>
        </w:trPr>
        <w:tc>
          <w:tcPr>
            <w:tcW w:w="9300" w:type="dxa"/>
            <w:vAlign w:val="bottom"/>
          </w:tcPr>
          <w:p>
            <w:pPr>
              <w:ind w:left="220"/>
              <w:spacing w:after="0"/>
              <w:rPr>
                <w:sz w:val="20"/>
                <w:szCs w:val="20"/>
                <w:color w:val="auto"/>
              </w:rPr>
            </w:pPr>
            <w:r>
              <w:rPr>
                <w:rFonts w:ascii="Arial" w:cs="Arial" w:eastAsia="Arial" w:hAnsi="Arial"/>
                <w:sz w:val="14"/>
                <w:szCs w:val="14"/>
                <w:color w:val="auto"/>
              </w:rPr>
              <w:t>Net change in secured trust deposits</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239</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219</w:t>
            </w:r>
          </w:p>
        </w:tc>
      </w:tr>
      <w:tr>
        <w:trPr>
          <w:trHeight w:val="187"/>
        </w:trPr>
        <w:tc>
          <w:tcPr>
            <w:tcW w:w="93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Additional investment in consolidated subsidiaries</w:t>
            </w:r>
          </w:p>
        </w:tc>
        <w:tc>
          <w:tcPr>
            <w:tcW w:w="2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82"/>
        </w:trPr>
        <w:tc>
          <w:tcPr>
            <w:tcW w:w="9300" w:type="dxa"/>
            <w:vAlign w:val="bottom"/>
          </w:tcPr>
          <w:p>
            <w:pPr>
              <w:ind w:left="220"/>
              <w:spacing w:after="0"/>
              <w:rPr>
                <w:sz w:val="20"/>
                <w:szCs w:val="20"/>
                <w:color w:val="auto"/>
              </w:rPr>
            </w:pPr>
            <w:r>
              <w:rPr>
                <w:rFonts w:ascii="Arial" w:cs="Arial" w:eastAsia="Arial" w:hAnsi="Arial"/>
                <w:sz w:val="14"/>
                <w:szCs w:val="14"/>
                <w:color w:val="auto"/>
              </w:rPr>
              <w:t>Payment of contingent consideration for prior period acquisitions</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187"/>
        </w:trPr>
        <w:tc>
          <w:tcPr>
            <w:tcW w:w="93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Contractholder account deposits</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4,513</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4,190</w:t>
            </w:r>
          </w:p>
        </w:tc>
      </w:tr>
      <w:tr>
        <w:trPr>
          <w:trHeight w:val="182"/>
        </w:trPr>
        <w:tc>
          <w:tcPr>
            <w:tcW w:w="9300" w:type="dxa"/>
            <w:vAlign w:val="bottom"/>
          </w:tcPr>
          <w:p>
            <w:pPr>
              <w:ind w:left="220"/>
              <w:spacing w:after="0"/>
              <w:rPr>
                <w:sz w:val="20"/>
                <w:szCs w:val="20"/>
                <w:color w:val="auto"/>
              </w:rPr>
            </w:pPr>
            <w:r>
              <w:rPr>
                <w:rFonts w:ascii="Arial" w:cs="Arial" w:eastAsia="Arial" w:hAnsi="Arial"/>
                <w:sz w:val="14"/>
                <w:szCs w:val="14"/>
                <w:color w:val="auto"/>
              </w:rPr>
              <w:t>Contractholder account withdrawals</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(1,744)</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(1,575)</w:t>
            </w:r>
          </w:p>
        </w:tc>
      </w:tr>
      <w:tr>
        <w:trPr>
          <w:trHeight w:val="187"/>
        </w:trPr>
        <w:tc>
          <w:tcPr>
            <w:tcW w:w="93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Purchases of treasury stock</w:t>
            </w:r>
          </w:p>
        </w:tc>
        <w:tc>
          <w:tcPr>
            <w:tcW w:w="2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(298)</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(294)</w:t>
            </w:r>
          </w:p>
        </w:tc>
      </w:tr>
      <w:tr>
        <w:trPr>
          <w:trHeight w:val="175"/>
        </w:trPr>
        <w:tc>
          <w:tcPr>
            <w:tcW w:w="9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2,462</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2,354</w:t>
            </w:r>
          </w:p>
        </w:tc>
      </w:tr>
      <w:tr>
        <w:trPr>
          <w:trHeight w:val="180"/>
        </w:trPr>
        <w:tc>
          <w:tcPr>
            <w:tcW w:w="9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(decrease) increase in cash and cash equivalents</w:t>
            </w: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(1,934)</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752</w:t>
            </w:r>
          </w:p>
        </w:tc>
      </w:tr>
      <w:tr>
        <w:trPr>
          <w:trHeight w:val="182"/>
        </w:trPr>
        <w:tc>
          <w:tcPr>
            <w:tcW w:w="9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at beginning of period</w:t>
            </w: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4,360</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2,719</w:t>
            </w:r>
          </w:p>
        </w:tc>
      </w:tr>
      <w:tr>
        <w:trPr>
          <w:trHeight w:val="205"/>
        </w:trPr>
        <w:tc>
          <w:tcPr>
            <w:tcW w:w="9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2,426</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3,471</w:t>
            </w:r>
          </w:p>
        </w:tc>
      </w:tr>
      <w:tr>
        <w:trPr>
          <w:trHeight w:val="20"/>
        </w:trPr>
        <w:tc>
          <w:tcPr>
            <w:tcW w:w="9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83"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Unaudited)</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Basis of Financial Statements</w:t>
      </w:r>
    </w:p>
    <w:p>
      <w:pPr>
        <w:spacing w:after="0" w:line="4" w:lineRule="exact"/>
        <w:rPr>
          <w:sz w:val="20"/>
          <w:szCs w:val="20"/>
          <w:color w:val="auto"/>
        </w:rPr>
      </w:pPr>
    </w:p>
    <w:p>
      <w:pPr>
        <w:jc w:val="both"/>
        <w:ind w:firstLine="316"/>
        <w:spacing w:after="0" w:line="245" w:lineRule="auto"/>
        <w:rPr>
          <w:sz w:val="20"/>
          <w:szCs w:val="20"/>
          <w:color w:val="auto"/>
        </w:rPr>
      </w:pPr>
      <w:r>
        <w:rPr>
          <w:rFonts w:ascii="Arial" w:cs="Arial" w:eastAsia="Arial" w:hAnsi="Arial"/>
          <w:sz w:val="18"/>
          <w:szCs w:val="18"/>
          <w:color w:val="auto"/>
        </w:rPr>
        <w:t>The financial information in this report presented for interim periods is unaudited and includes the accounts of Fidelity National Financial, Inc. and its subsidiaries (collectively, “we,” “us,” “our,” the "Company" or “FNF”) prepared in accordance with U.S. generally accepted accounting principles ("GAAP") and the instructions to Form 10-Q and Article 10 of Regulation S-X. In the opinion of management, all adjustments considered necessary for a fair presentation have been included. All adjustments made were of a normal, recurring nature. This report should be read in conjunction with our Annual Report on Form 10-K (our "Annual Report") for the year ended December 31, 2021.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Business</w:t>
      </w:r>
    </w:p>
    <w:p>
      <w:pPr>
        <w:spacing w:after="0" w:line="109" w:lineRule="exact"/>
        <w:rPr>
          <w:sz w:val="20"/>
          <w:szCs w:val="20"/>
          <w:color w:val="auto"/>
        </w:rPr>
      </w:pPr>
    </w:p>
    <w:p>
      <w:pPr>
        <w:jc w:val="both"/>
        <w:ind w:firstLine="316"/>
        <w:spacing w:after="0" w:line="281" w:lineRule="auto"/>
        <w:rPr>
          <w:sz w:val="20"/>
          <w:szCs w:val="20"/>
          <w:color w:val="auto"/>
        </w:rPr>
      </w:pPr>
      <w:r>
        <w:rPr>
          <w:rFonts w:ascii="Arial" w:cs="Arial" w:eastAsia="Arial" w:hAnsi="Arial"/>
          <w:sz w:val="16"/>
          <w:szCs w:val="16"/>
          <w:color w:val="auto"/>
        </w:rPr>
        <w:t>We are a leading provider of (i) title insurance, escrow and other title-related services, including loan sub-servicing, valuations, default services and home warranty products, (ii) technology to the real estate and mortgage industries and (iii) annuity and life insurance products. FNF is one of the nation’s largest title insurance companies operating through its title insurance underwriters - Fidelity National Title Insurance Company ("FNTIC"), Chicago Title Insurance Company ("Chicago Title"), Commonwealth Land Title Insurance Company ("Commonwealth Title"), Alamo Title Insurance and National Title Insurance of New York Inc. - which collectively issue more title insurance policies than any other title company in the United States. Through our subsidiary, ServiceLink Holdings, LLC ("ServiceLink"), we provide mortgage transaction services, including title-related services and facilitation of production and management of mortgage loans. We are also a leading provider of insurance solutions serving retail annuity and life customers and institutional clients through our wholly-owned subsidiary, F&amp;G Annuities &amp; Life ("F&amp;G").</w:t>
      </w:r>
    </w:p>
    <w:p>
      <w:pPr>
        <w:spacing w:after="0" w:line="5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For information about our reportable segments refer to Note H </w:t>
      </w:r>
      <w:r>
        <w:rPr>
          <w:rFonts w:ascii="Arial" w:cs="Arial" w:eastAsia="Arial" w:hAnsi="Arial"/>
          <w:sz w:val="18"/>
          <w:szCs w:val="18"/>
          <w:i w:val="1"/>
          <w:iCs w:val="1"/>
          <w:color w:val="auto"/>
        </w:rPr>
        <w:t>Segment Information</w:t>
      </w:r>
      <w:r>
        <w:rPr>
          <w:rFonts w:ascii="Arial" w:cs="Arial" w:eastAsia="Arial" w:hAnsi="Arial"/>
          <w:sz w:val="18"/>
          <w:szCs w:val="18"/>
          <w:color w:val="auto"/>
        </w:rPr>
        <w: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0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Note Receivable from Cannae</w:t>
      </w:r>
    </w:p>
    <w:p>
      <w:pPr>
        <w:spacing w:after="0" w:line="109" w:lineRule="exact"/>
        <w:rPr>
          <w:sz w:val="20"/>
          <w:szCs w:val="20"/>
          <w:color w:val="auto"/>
        </w:rPr>
      </w:pPr>
    </w:p>
    <w:p>
      <w:pPr>
        <w:jc w:val="both"/>
        <w:ind w:firstLine="316"/>
        <w:spacing w:after="0" w:line="252" w:lineRule="auto"/>
        <w:rPr>
          <w:sz w:val="20"/>
          <w:szCs w:val="20"/>
          <w:color w:val="auto"/>
        </w:rPr>
      </w:pPr>
      <w:r>
        <w:rPr>
          <w:rFonts w:ascii="Arial" w:cs="Arial" w:eastAsia="Arial" w:hAnsi="Arial"/>
          <w:sz w:val="18"/>
          <w:szCs w:val="18"/>
          <w:color w:val="auto"/>
        </w:rPr>
        <w:t>In November 2017, in conjunction with the split-off of our former portfolio company investments into a separate company, Cannae Holdings, Inc. ("Cannae"), we issued to Cannae a revolver note, which we and Cannae amended and restated on May 12, 2022 (as amended and restated, the "Cannae Revolver").</w:t>
      </w:r>
    </w:p>
    <w:p>
      <w:pPr>
        <w:spacing w:after="0" w:line="85"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The Cannae Revolver in the aggregate principal amount of up to $100 million accrues interest quarterly at the Adjusted Term SOFR Rate, as defined in the Amended and Restated Revolver Note, plus 450 basis points and matures on November 17, 2025. The maturity date is automatically extended for additional five-year terms unless notice of non-renewal is otherwise provided by either FNF or Cannae, in their sole discretion.</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and six months ended June 30, 2022, Cannae borrowed approximately $85 million under the Cannae Revolver.</w:t>
      </w:r>
    </w:p>
    <w:p>
      <w:pPr>
        <w:spacing w:after="0" w:line="10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We account for the Cannae Revolver as a financing receivable. Interest income is recorded ratably in periods in which principal is outstanding.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Uncollectible financing receivables are written off or impaired when, based on all available information, it is probable that a loss has occurred.</w:t>
      </w:r>
    </w:p>
    <w:p>
      <w:pPr>
        <w:spacing w:after="0" w:line="9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F&amp;G Distribution</w:t>
      </w:r>
    </w:p>
    <w:p>
      <w:pPr>
        <w:spacing w:after="0" w:line="109" w:lineRule="exact"/>
        <w:rPr>
          <w:sz w:val="20"/>
          <w:szCs w:val="20"/>
          <w:color w:val="auto"/>
        </w:rPr>
      </w:pPr>
    </w:p>
    <w:p>
      <w:pPr>
        <w:jc w:val="both"/>
        <w:ind w:firstLine="316"/>
        <w:spacing w:after="0" w:line="281" w:lineRule="auto"/>
        <w:rPr>
          <w:sz w:val="20"/>
          <w:szCs w:val="20"/>
          <w:color w:val="auto"/>
        </w:rPr>
      </w:pPr>
      <w:r>
        <w:rPr>
          <w:rFonts w:ascii="Arial" w:cs="Arial" w:eastAsia="Arial" w:hAnsi="Arial"/>
          <w:sz w:val="16"/>
          <w:szCs w:val="16"/>
          <w:color w:val="auto"/>
        </w:rPr>
        <w:t>On March 14, 2022, our Board of Directors approved a dividend to our shareholders, on a pro rata basis, of 15% of the common stock of F&amp;G (the "F&amp;G Distribution"). We intend to retain control of F&amp;G through our approximate 85% ownership stake. The proposed F&amp;G Distribution is intended to be structured as a taxable dividend to our shareholders and is subject to various conditions including the final approval of our Board of Directors, the effectiveness of appropriate filings with the U.S Securities and Exchange Commission (the "SEC"), and any applicable regulatory approvals. The record date and distribution settlement date will be determined by our Board of Directors prior to the distribution. Upon completion of the F&amp;G Distribution, our shareholders as of the record date are expected to own stock in both publicly traded companies. On July 20, 2022, F&amp;G filed its confidential Form 10 registration statement with the SEC. The proposed F&amp;G Distribution is targeted to be completed early in the fourth quarter of 2022. However, there can be no assurance regarding the timeframe for completing the F&amp;G Distribution or that the conditions of the F&amp;G Distribution will be met.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w:t>
      </w:r>
    </w:p>
    <w:p>
      <w:pPr>
        <w:spacing w:after="0" w:line="83" w:lineRule="exact"/>
        <w:rPr>
          <w:sz w:val="20"/>
          <w:szCs w:val="20"/>
          <w:color w:val="auto"/>
        </w:rPr>
      </w:pPr>
    </w:p>
    <w:p>
      <w:pPr>
        <w:jc w:val="both"/>
        <w:ind w:firstLine="316"/>
        <w:spacing w:after="0" w:line="263" w:lineRule="auto"/>
        <w:rPr>
          <w:sz w:val="20"/>
          <w:szCs w:val="20"/>
          <w:color w:val="auto"/>
        </w:rPr>
      </w:pPr>
      <w:r>
        <w:rPr>
          <w:rFonts w:ascii="Arial" w:cs="Arial" w:eastAsia="Arial" w:hAnsi="Arial"/>
          <w:sz w:val="16"/>
          <w:szCs w:val="16"/>
          <w:color w:val="auto"/>
        </w:rPr>
        <w:t>Income tax expense was $164 million and $176 million in the three months ended June 30, 2022 and 2021, respectively, and $319 million and $342 million in the six months ended June 30, 2022 and 2021, respectively. Income tax expense as a percentage of earnings before income taxes was 30% and 25% in the three months periods ended June 30, 2022 and 2021, respectively, and 29% and 23% in the six months ended June 30, 2022 and 2021, respectively. The increase in income tax expense as a percentage of earnings before taxes in the three months ended June 30, 2022 as compared to the corresponding period in 2021 is primarily attributable to the recording of a valuation allowance in the 2022 period for tax benefits associated with deferred tax assets related to recognized valuation losses on equity securities for which it is more likely than not that we will not be able to realize for tax purposes. The increase in income tax expense as a percentage of earnings before taxes in the six months ended June 30, 2022 as compared to the corresponding period in 2021 is primarily attributable to the recording of valuation allowances in the 2022 period for tax benefits associated with deferred tax assets related to realized losses on the past sales of discontinued operations and the aforementioned recognized valuation losses on equity securities for which it is more likely than not that we will not be able to realize for tax purposes.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09" w:lineRule="exact"/>
        <w:rPr>
          <w:sz w:val="20"/>
          <w:szCs w:val="20"/>
          <w:color w:val="auto"/>
        </w:rPr>
      </w:pPr>
    </w:p>
    <w:p>
      <w:pPr>
        <w:jc w:val="both"/>
        <w:ind w:firstLine="316"/>
        <w:spacing w:after="0" w:line="282" w:lineRule="auto"/>
        <w:rPr>
          <w:sz w:val="20"/>
          <w:szCs w:val="20"/>
          <w:color w:val="auto"/>
        </w:rPr>
      </w:pPr>
      <w:r>
        <w:rPr>
          <w:rFonts w:ascii="Arial" w:cs="Arial" w:eastAsia="Arial" w:hAnsi="Arial"/>
          <w:sz w:val="16"/>
          <w:szCs w:val="16"/>
          <w:color w:val="auto"/>
        </w:rPr>
        <w:t>Basic earnings per share, as presented on the Condensed Consolidated Statement of Earnings, is computed by dividing net earnings available to common shareholders in a given period by the weighted average number of common shares outstanding during such period. In periods when earnings are positive, diluted earnings per share is calculated by dividing net earnings available to common shareholders by the weighted average number of common shares outstanding plus assumed conversions of potentially dilutive securities. For periods when we recognize a net loss, diluted loss per share is equal to basic loss per share as the impact of assumed conversions of potentially dilutive securities is considered to be antidilutive. We have granted certain stock options, shares of restricted stock and certain other convertible share based payments, which have been treated as common share equivalents for purposes of calculating diluted earnings per share for periods in which positive earnings have been reported.</w:t>
      </w:r>
    </w:p>
    <w:p>
      <w:pPr>
        <w:spacing w:after="0" w:line="66" w:lineRule="exact"/>
        <w:rPr>
          <w:sz w:val="20"/>
          <w:szCs w:val="20"/>
          <w:color w:val="auto"/>
        </w:rPr>
      </w:pPr>
    </w:p>
    <w:p>
      <w:pPr>
        <w:jc w:val="both"/>
        <w:ind w:firstLine="316"/>
        <w:spacing w:after="0" w:line="362" w:lineRule="auto"/>
        <w:rPr>
          <w:sz w:val="20"/>
          <w:szCs w:val="20"/>
          <w:color w:val="auto"/>
        </w:rPr>
      </w:pPr>
      <w:r>
        <w:rPr>
          <w:rFonts w:ascii="Arial" w:cs="Arial" w:eastAsia="Arial" w:hAnsi="Arial"/>
          <w:sz w:val="15"/>
          <w:szCs w:val="15"/>
          <w:color w:val="auto"/>
        </w:rPr>
        <w:t>Options or other instruments, which provide the ability to purchase shares of our common stock that are antidilutive, are excluded from the computation of diluted earnings per share. There were fewer than 1 million antidilutive instruments outstanding during the three and six months ended June 30, 2022 and 2021.</w:t>
      </w:r>
    </w:p>
    <w:p>
      <w:pPr>
        <w:spacing w:after="0" w:line="6" w:lineRule="exact"/>
        <w:rPr>
          <w:sz w:val="20"/>
          <w:szCs w:val="20"/>
          <w:color w:val="auto"/>
        </w:rPr>
      </w:pPr>
    </w:p>
    <w:p>
      <w:pPr>
        <w:jc w:val="right"/>
        <w:ind w:right="8580"/>
        <w:spacing w:after="0"/>
        <w:rPr>
          <w:sz w:val="20"/>
          <w:szCs w:val="20"/>
          <w:color w:val="auto"/>
        </w:rPr>
      </w:pPr>
      <w:r>
        <w:rPr>
          <w:rFonts w:ascii="Arial" w:cs="Arial" w:eastAsia="Arial" w:hAnsi="Arial"/>
          <w:sz w:val="15"/>
          <w:szCs w:val="15"/>
          <w:b w:val="1"/>
          <w:bCs w:val="1"/>
          <w:i w:val="1"/>
          <w:iCs w:val="1"/>
          <w:color w:val="auto"/>
        </w:rPr>
        <w:t>Recent Accounting Pronouncements</w:t>
      </w:r>
    </w:p>
    <w:p>
      <w:pPr>
        <w:spacing w:after="0" w:line="143" w:lineRule="exact"/>
        <w:rPr>
          <w:sz w:val="20"/>
          <w:szCs w:val="20"/>
          <w:color w:val="auto"/>
        </w:rPr>
      </w:pPr>
    </w:p>
    <w:p>
      <w:pPr>
        <w:jc w:val="right"/>
        <w:ind w:right="8560"/>
        <w:spacing w:after="0"/>
        <w:rPr>
          <w:sz w:val="20"/>
          <w:szCs w:val="20"/>
          <w:color w:val="auto"/>
        </w:rPr>
      </w:pPr>
      <w:r>
        <w:rPr>
          <w:rFonts w:ascii="Arial" w:cs="Arial" w:eastAsia="Arial" w:hAnsi="Arial"/>
          <w:sz w:val="16"/>
          <w:szCs w:val="16"/>
          <w:i w:val="1"/>
          <w:iCs w:val="1"/>
          <w:color w:val="auto"/>
        </w:rPr>
        <w:t>Pronouncements Not Yet Adopted</w:t>
      </w:r>
    </w:p>
    <w:p>
      <w:pPr>
        <w:spacing w:after="0" w:line="38" w:lineRule="exact"/>
        <w:rPr>
          <w:sz w:val="20"/>
          <w:szCs w:val="20"/>
          <w:color w:val="auto"/>
        </w:rPr>
      </w:pPr>
    </w:p>
    <w:p>
      <w:pPr>
        <w:jc w:val="both"/>
        <w:ind w:firstLine="316"/>
        <w:spacing w:after="0" w:line="277" w:lineRule="auto"/>
        <w:rPr>
          <w:sz w:val="20"/>
          <w:szCs w:val="20"/>
          <w:color w:val="auto"/>
        </w:rPr>
      </w:pPr>
      <w:r>
        <w:rPr>
          <w:rFonts w:ascii="Arial" w:cs="Arial" w:eastAsia="Arial" w:hAnsi="Arial"/>
          <w:sz w:val="16"/>
          <w:szCs w:val="16"/>
          <w:color w:val="auto"/>
        </w:rPr>
        <w:t>In August 2018, the FASB issued ASU 2018-12, Financial Services-Insurance (Topic 944), Targeted Improvements to the Accounting for Long-Duration Contracts, as clarified and amended by ASU 2019-09, Financial Services-Insurance: Effective Date and ASU 2020-11, Financial Services-Insurance: Effective Date and Early Application, effective for fiscal years beginning after December 15, 2022 including interim periods within those fiscal years. This update introduced the following requirements: assumptions used to measure cash flows for traditional and limited-payment contracts must be reviewed at least annually with the effect of changes in those assumptions being recognized in the statement of operations; the discount rate applied to measure the liability for future policy benefits and limited-payment contracts must be updated at each reporting date with the effect of changes in the rate being recognized in other comprehensive income; market risk benefits associated with deposit contracts must be measured at fair value, with the effect of the change in the fair value attributable to a change in the instrument-specific credit risk being recognized in other comprehensive income; deferred acquisition costs are no longer required to be amortized in proportion to premiums, gross profits, or gross margins; instead, those balances must be amortized on a constant level basis over the expected term of the related contracts; deferred acquisition costs must be written off for unexpected contract terminations; and disaggregated rollforwards of beginning to ending balances of the liability for future policy benefits, policyholder account balances, market risk benefits, separate account liabilities and deferred acquisition costs, as well as information about significant inputs, judgments, assumptions, and methods used in measurement are required to be disclosed. The amendments in this ASU may be early adopted as of the beginning of an annual reporting period for which financial statements have not yet been issued, including interim financial statements.</w:t>
      </w:r>
    </w:p>
    <w:p>
      <w:pPr>
        <w:spacing w:after="0" w:line="42" w:lineRule="exact"/>
        <w:rPr>
          <w:sz w:val="20"/>
          <w:szCs w:val="20"/>
          <w:color w:val="auto"/>
        </w:rPr>
      </w:pPr>
    </w:p>
    <w:p>
      <w:pPr>
        <w:jc w:val="both"/>
        <w:ind w:firstLine="316"/>
        <w:spacing w:after="0" w:line="299" w:lineRule="auto"/>
        <w:rPr>
          <w:sz w:val="20"/>
          <w:szCs w:val="20"/>
          <w:color w:val="auto"/>
        </w:rPr>
      </w:pPr>
      <w:r>
        <w:rPr>
          <w:rFonts w:ascii="Arial" w:cs="Arial" w:eastAsia="Arial" w:hAnsi="Arial"/>
          <w:sz w:val="16"/>
          <w:szCs w:val="16"/>
          <w:color w:val="auto"/>
        </w:rPr>
        <w:t>We have identified specific areas that will be impacted by the new guidance. This guidance will bring significant changes to how we account for certain insurance and annuity products within our business and expand disclosures. As part of the implementation process, to date our progress includes, but is not limited to the following: identifying and documenting contracts and contract features in scope of the guidance; identifying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actuarial models, systems, and processes to be updated; building models; evaluating and finalizing key accounting policies; evaluating transition requirements; and establishing and documenting appropriate internal controls. We will not early adopt this standard and have selected the full retrospective transition method, which requires the new guidance be applied as of the beginning of the earliest period presented or January 1, 2021, referred to as the transition date. The impacts of this guidance to the consolidated financial statements are subject to market conditions, such as interest rate levels. We have begun to generate and review results for historical periods from our actuarial models which will allow us to quantify the impact to our consolidated financial statements.</w:t>
      </w:r>
    </w:p>
    <w:p>
      <w:pPr>
        <w:spacing w:after="0" w:line="58" w:lineRule="exact"/>
        <w:rPr>
          <w:sz w:val="20"/>
          <w:szCs w:val="20"/>
          <w:color w:val="auto"/>
        </w:rPr>
      </w:pPr>
    </w:p>
    <w:p>
      <w:pPr>
        <w:jc w:val="both"/>
        <w:ind w:firstLine="316"/>
        <w:spacing w:after="0" w:line="280" w:lineRule="auto"/>
        <w:rPr>
          <w:sz w:val="20"/>
          <w:szCs w:val="20"/>
          <w:color w:val="auto"/>
        </w:rPr>
      </w:pPr>
      <w:r>
        <w:rPr>
          <w:rFonts w:ascii="Arial" w:cs="Arial" w:eastAsia="Arial" w:hAnsi="Arial"/>
          <w:sz w:val="16"/>
          <w:szCs w:val="16"/>
          <w:color w:val="auto"/>
        </w:rPr>
        <w:t>In March 2022, the FASB issued ASU 2022-02, Financial Instruments-Credit Losses (Topic 326): Troubled Debt Restructurings and Vintage Disclosures. The amendments in this update eliminate the Troubled Debt Restructuring ("TDR") recognition and measurement guidance for creditors and, instead, require that an entity evaluate whether the modification represents a new loan or a continuation of an existing loan. The amendments also enhance existing disclosure requirements and introduce new requirements related to certain modifications of receivables made to borrowers experiencing financial difficulty. Additionally, these amendments require that an entity disclose current-period gross write-offs by year of origination for financing receivables and net investment in leases within the scope of Subtopic 326-20. The guidance is effective for entities that have adopted ASU 2016-13 Financial Instruments – Credit Losses: Measurement of Credit Losses on Financial Instruments (Topic 326) for fiscal years beginning after December 15, 2022, including interim periods within those fiscal years, though early adoption is permitted. We do not currently expect to early adopt this standard and are in the process of assessing this standard and its impact on our accounting and disclosures.</w:t>
      </w:r>
    </w:p>
    <w:p>
      <w:pPr>
        <w:spacing w:after="0" w:line="187" w:lineRule="exact"/>
        <w:rPr>
          <w:sz w:val="20"/>
          <w:szCs w:val="20"/>
          <w:color w:val="auto"/>
        </w:rPr>
      </w:pPr>
    </w:p>
    <w:p>
      <w:pPr>
        <w:jc w:val="both"/>
        <w:ind w:firstLine="316"/>
        <w:spacing w:after="0" w:line="244" w:lineRule="auto"/>
        <w:rPr>
          <w:sz w:val="20"/>
          <w:szCs w:val="20"/>
          <w:color w:val="auto"/>
        </w:rPr>
      </w:pPr>
      <w:r>
        <w:rPr>
          <w:rFonts w:ascii="Arial" w:cs="Arial" w:eastAsia="Arial" w:hAnsi="Arial"/>
          <w:sz w:val="16"/>
          <w:szCs w:val="16"/>
          <w:color w:val="auto"/>
        </w:rPr>
        <w:t>In June 2022, the FASB issued ASU 2022-03, Fair Value Measurement (Topic 820): Fair Value Measurement of Equity Securities Subject to Contractual Sale Restrictions. The amendments in this update affect all entities that have investments in equity securities measured at fair value that are subject to a contractual sale restriction and clarify that a contractual restriction on the sale of an equity security is not considered part of the unit of account of the equity security and, therefore, is not considered in measuring fair value. The amendments also clarify that an entity cannot, as a separate unit of account, recognize and measure a contractual sale restriction. Additionally, the amendments require the following disclosures for equity securities subject to contractual sale restrictions: the fair value of equity securities subject to contractual sale restrictions reflected in the balance sheet, the nature and remaining duration of the restriction(s), and the circumstances that could cause a lapse in the restriction(s). The amendments in this update do not change the principles of fair value measurement, rather, they clarify those principles when measuring the fair value of an equity security subject to a contractual sale restriction and improve current GAAP by reducing diversity in practice, reducing the cost and complexity in measuring fair value, and increasing comparability of financial information across reporting entities that hold those investments. The amendments in this update are effective for public business entities for fiscal years beginning after December 15, 2023, and interim periods within those fiscal years, though early adoption is permitted. We do not currently expect to early adopt this standard and are in the process of assessing this standard and its impact on our accounting and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Summary of Reserve for Title Claim Losses</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summary of the reserve for title claim losses follows: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58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7"/>
              </w:rPr>
              <w:t>Six months ended June 30,</w:t>
            </w:r>
          </w:p>
        </w:tc>
        <w:tc>
          <w:tcPr>
            <w:tcW w:w="1040" w:type="dxa"/>
            <w:vAlign w:val="bottom"/>
            <w:tcBorders>
              <w:bottom w:val="single" w:sz="8" w:color="auto"/>
            </w:tcBorders>
          </w:tcPr>
          <w:p>
            <w:pPr>
              <w:spacing w:after="0"/>
              <w:rPr>
                <w:sz w:val="16"/>
                <w:szCs w:val="16"/>
                <w:color w:val="auto"/>
              </w:rPr>
            </w:pPr>
          </w:p>
        </w:tc>
      </w:tr>
      <w:tr>
        <w:trPr>
          <w:trHeight w:val="182"/>
        </w:trPr>
        <w:tc>
          <w:tcPr>
            <w:tcW w:w="7580" w:type="dxa"/>
            <w:vAlign w:val="bottom"/>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w w:val="89"/>
              </w:rPr>
              <w:t>2021</w:t>
            </w:r>
          </w:p>
        </w:tc>
      </w:tr>
      <w:tr>
        <w:trPr>
          <w:trHeight w:val="177"/>
        </w:trPr>
        <w:tc>
          <w:tcPr>
            <w:tcW w:w="75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0" w:type="dxa"/>
            <w:vAlign w:val="bottom"/>
            <w:gridSpan w:val="3"/>
          </w:tcPr>
          <w:p>
            <w:pPr>
              <w:jc w:val="right"/>
              <w:ind w:right="112"/>
              <w:spacing w:after="0"/>
              <w:rPr>
                <w:sz w:val="20"/>
                <w:szCs w:val="20"/>
                <w:color w:val="auto"/>
              </w:rPr>
            </w:pPr>
            <w:r>
              <w:rPr>
                <w:rFonts w:ascii="Arial" w:cs="Arial" w:eastAsia="Arial" w:hAnsi="Arial"/>
                <w:sz w:val="14"/>
                <w:szCs w:val="14"/>
                <w:b w:val="1"/>
                <w:bCs w:val="1"/>
                <w:color w:val="auto"/>
              </w:rPr>
              <w:t>(Dollars in millions)</w:t>
            </w:r>
          </w:p>
        </w:tc>
        <w:tc>
          <w:tcPr>
            <w:tcW w:w="1040" w:type="dxa"/>
            <w:vAlign w:val="bottom"/>
          </w:tcPr>
          <w:p>
            <w:pPr>
              <w:spacing w:after="0"/>
              <w:rPr>
                <w:sz w:val="15"/>
                <w:szCs w:val="15"/>
                <w:color w:val="auto"/>
              </w:rPr>
            </w:pPr>
          </w:p>
        </w:tc>
      </w:tr>
      <w:tr>
        <w:trPr>
          <w:trHeight w:val="224"/>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020" w:type="dxa"/>
            <w:vAlign w:val="bottom"/>
            <w:shd w:val="clear" w:color="auto" w:fill="CCEEFF"/>
          </w:tcPr>
          <w:p>
            <w:pPr>
              <w:jc w:val="right"/>
              <w:ind w:right="838"/>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1,883</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1,623</w:t>
            </w:r>
          </w:p>
        </w:tc>
      </w:tr>
      <w:tr>
        <w:trPr>
          <w:trHeight w:val="223"/>
        </w:trPr>
        <w:tc>
          <w:tcPr>
            <w:tcW w:w="7580" w:type="dxa"/>
            <w:vAlign w:val="bottom"/>
          </w:tcPr>
          <w:p>
            <w:pPr>
              <w:ind w:left="20"/>
              <w:spacing w:after="0"/>
              <w:rPr>
                <w:sz w:val="20"/>
                <w:szCs w:val="20"/>
                <w:color w:val="auto"/>
              </w:rPr>
            </w:pPr>
            <w:r>
              <w:rPr>
                <w:rFonts w:ascii="Arial" w:cs="Arial" w:eastAsia="Arial" w:hAnsi="Arial"/>
                <w:sz w:val="18"/>
                <w:szCs w:val="18"/>
                <w:color w:val="auto"/>
              </w:rPr>
              <w:t>Change in insurance recoverable</w:t>
            </w:r>
          </w:p>
        </w:tc>
        <w:tc>
          <w:tcPr>
            <w:tcW w:w="1020" w:type="dxa"/>
            <w:vAlign w:val="bottom"/>
          </w:tcPr>
          <w:p>
            <w:pPr>
              <w:spacing w:after="0"/>
              <w:rPr>
                <w:sz w:val="19"/>
                <w:szCs w:val="19"/>
                <w:color w:val="auto"/>
              </w:rPr>
            </w:pPr>
          </w:p>
        </w:tc>
        <w:tc>
          <w:tcPr>
            <w:tcW w:w="740" w:type="dxa"/>
            <w:vAlign w:val="bottom"/>
          </w:tcPr>
          <w:p>
            <w:pPr>
              <w:jc w:val="right"/>
              <w:ind w:right="75"/>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(22)</w:t>
            </w:r>
          </w:p>
        </w:tc>
      </w:tr>
      <w:tr>
        <w:trPr>
          <w:trHeight w:val="224"/>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Claim loss provision related to:</w:t>
            </w:r>
          </w:p>
        </w:tc>
        <w:tc>
          <w:tcPr>
            <w:tcW w:w="10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3"/>
        </w:trPr>
        <w:tc>
          <w:tcPr>
            <w:tcW w:w="75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Current year</w:t>
            </w:r>
          </w:p>
        </w:tc>
        <w:tc>
          <w:tcPr>
            <w:tcW w:w="10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177</w:t>
            </w:r>
          </w:p>
        </w:tc>
        <w:tc>
          <w:tcPr>
            <w:tcW w:w="1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178</w:t>
            </w:r>
          </w:p>
        </w:tc>
      </w:tr>
      <w:tr>
        <w:trPr>
          <w:trHeight w:val="217"/>
        </w:trPr>
        <w:tc>
          <w:tcPr>
            <w:tcW w:w="75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title claim loss provision</w:t>
            </w:r>
          </w:p>
        </w:tc>
        <w:tc>
          <w:tcPr>
            <w:tcW w:w="10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177</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178</w:t>
            </w:r>
          </w:p>
        </w:tc>
      </w:tr>
      <w:tr>
        <w:trPr>
          <w:trHeight w:val="223"/>
        </w:trPr>
        <w:tc>
          <w:tcPr>
            <w:tcW w:w="7580" w:type="dxa"/>
            <w:vAlign w:val="bottom"/>
          </w:tcPr>
          <w:p>
            <w:pPr>
              <w:ind w:left="20"/>
              <w:spacing w:after="0"/>
              <w:rPr>
                <w:sz w:val="20"/>
                <w:szCs w:val="20"/>
                <w:color w:val="auto"/>
              </w:rPr>
            </w:pPr>
            <w:r>
              <w:rPr>
                <w:rFonts w:ascii="Arial" w:cs="Arial" w:eastAsia="Arial" w:hAnsi="Arial"/>
                <w:sz w:val="18"/>
                <w:szCs w:val="18"/>
                <w:color w:val="auto"/>
              </w:rPr>
              <w:t>Claims paid, net of recoupments related to:</w:t>
            </w:r>
          </w:p>
        </w:tc>
        <w:tc>
          <w:tcPr>
            <w:tcW w:w="10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4"/>
        </w:trPr>
        <w:tc>
          <w:tcPr>
            <w:tcW w:w="7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year</w:t>
            </w:r>
          </w:p>
        </w:tc>
        <w:tc>
          <w:tcPr>
            <w:tcW w:w="10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w:t>
            </w:r>
          </w:p>
        </w:tc>
      </w:tr>
      <w:tr>
        <w:trPr>
          <w:trHeight w:val="223"/>
        </w:trPr>
        <w:tc>
          <w:tcPr>
            <w:tcW w:w="75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Prior years</w:t>
            </w:r>
          </w:p>
        </w:tc>
        <w:tc>
          <w:tcPr>
            <w:tcW w:w="10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(100)</w:t>
            </w:r>
          </w:p>
        </w:tc>
      </w:tr>
      <w:tr>
        <w:trPr>
          <w:trHeight w:val="217"/>
        </w:trPr>
        <w:tc>
          <w:tcPr>
            <w:tcW w:w="75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title claims paid, net of recoupments</w:t>
            </w:r>
          </w:p>
        </w:tc>
        <w:tc>
          <w:tcPr>
            <w:tcW w:w="10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(102)</w:t>
            </w:r>
          </w:p>
        </w:tc>
      </w:tr>
      <w:tr>
        <w:trPr>
          <w:trHeight w:val="217"/>
        </w:trPr>
        <w:tc>
          <w:tcPr>
            <w:tcW w:w="7580" w:type="dxa"/>
            <w:vAlign w:val="bottom"/>
          </w:tcPr>
          <w:p>
            <w:pPr>
              <w:ind w:left="20"/>
              <w:spacing w:after="0"/>
              <w:rPr>
                <w:sz w:val="20"/>
                <w:szCs w:val="20"/>
                <w:color w:val="auto"/>
              </w:rPr>
            </w:pPr>
            <w:r>
              <w:rPr>
                <w:rFonts w:ascii="Arial" w:cs="Arial" w:eastAsia="Arial" w:hAnsi="Arial"/>
                <w:sz w:val="18"/>
                <w:szCs w:val="18"/>
                <w:color w:val="auto"/>
              </w:rPr>
              <w:t>Ending balance of claim loss reserve for title insurance</w:t>
            </w:r>
          </w:p>
        </w:tc>
        <w:tc>
          <w:tcPr>
            <w:tcW w:w="1020" w:type="dxa"/>
            <w:vAlign w:val="bottom"/>
            <w:tcBorders>
              <w:bottom w:val="single" w:sz="8" w:color="auto"/>
            </w:tcBorders>
          </w:tcPr>
          <w:p>
            <w:pPr>
              <w:jc w:val="right"/>
              <w:ind w:right="838"/>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1,843</w:t>
            </w:r>
          </w:p>
        </w:tc>
        <w:tc>
          <w:tcPr>
            <w:tcW w:w="120" w:type="dxa"/>
            <w:vAlign w:val="bottom"/>
          </w:tcPr>
          <w:p>
            <w:pPr>
              <w:spacing w:after="0"/>
              <w:rPr>
                <w:sz w:val="18"/>
                <w:szCs w:val="18"/>
                <w:color w:val="auto"/>
              </w:rPr>
            </w:pPr>
          </w:p>
        </w:tc>
        <w:tc>
          <w:tcPr>
            <w:tcW w:w="74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1,677</w:t>
            </w: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1"/>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title insurance claim losses as a percentage of title insurance premiums</w:t>
            </w:r>
          </w:p>
        </w:tc>
        <w:tc>
          <w:tcPr>
            <w:tcW w:w="10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4.5 %</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Several lawsuits have been filed by various parties against Chicago Title Company and Chicago Title Insurance Company as its principal (collectively, the “Named Companies”). Generally, plaintiffs claim they are investors who were solicited by Gina Champion-Cain through her former company, ANI Development LLC (“ANI”), or other affiliates to provide funds that purportedly were to be used for high-interest, short-term loans to parties seeking to acquire California alcoholic beverage licenses. Plaintiffs contend they were told that under California state law, alcoholic beverage license applicants are required to deposit into escrow an amount equal to the license purchase price while their applications remain pending with the State. Plaintiffs further alleged that employees of Chicago Title Company participated with Ms. Champion-Cain and her entities in a fraud scheme involving an escrow account maintained by Chicago Title Company into which some of the plaintiffs’ funds were deposited.</w:t>
      </w:r>
    </w:p>
    <w:p>
      <w:pPr>
        <w:spacing w:after="0" w:line="196"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 xml:space="preserve">In connection with the alcoholic beverage license scheme, a lawsuit styled, </w:t>
      </w:r>
      <w:r>
        <w:rPr>
          <w:rFonts w:ascii="Arial" w:cs="Arial" w:eastAsia="Arial" w:hAnsi="Arial"/>
          <w:sz w:val="16"/>
          <w:szCs w:val="16"/>
          <w:i w:val="1"/>
          <w:iCs w:val="1"/>
          <w:color w:val="auto"/>
        </w:rPr>
        <w:t>Securities and Exchange Commission v. Gina Champion-Cain and ANI</w:t>
      </w:r>
      <w:r>
        <w:rPr>
          <w:rFonts w:ascii="Arial" w:cs="Arial" w:eastAsia="Arial" w:hAnsi="Arial"/>
          <w:sz w:val="16"/>
          <w:szCs w:val="16"/>
          <w:color w:val="auto"/>
        </w:rPr>
        <w:t xml:space="preserve"> </w:t>
      </w:r>
      <w:r>
        <w:rPr>
          <w:rFonts w:ascii="Arial" w:cs="Arial" w:eastAsia="Arial" w:hAnsi="Arial"/>
          <w:sz w:val="16"/>
          <w:szCs w:val="16"/>
          <w:i w:val="1"/>
          <w:iCs w:val="1"/>
          <w:color w:val="auto"/>
        </w:rPr>
        <w:t>Development, LLC</w:t>
      </w:r>
      <w:r>
        <w:rPr>
          <w:rFonts w:ascii="Arial" w:cs="Arial" w:eastAsia="Arial" w:hAnsi="Arial"/>
          <w:sz w:val="16"/>
          <w:szCs w:val="16"/>
          <w:color w:val="auto"/>
        </w:rPr>
        <w:t>, was filed in the United States District Court for the Southern District of California asserting claims for securities fraud against Ms.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Champion-Cain and certain of her affiliated entities. A receiver was appointed by the court to preserve the assets of the defendant affiliated entities (the “receivership entities”), pay their debts, operate the businesses and pursue any claims they may have against third-parties. Pursuant to the authority granted to her by the federal court, on January 7, 2022, a lawsuit styled, </w:t>
      </w:r>
      <w:r>
        <w:rPr>
          <w:rFonts w:ascii="Arial" w:cs="Arial" w:eastAsia="Arial" w:hAnsi="Arial"/>
          <w:sz w:val="16"/>
          <w:szCs w:val="16"/>
          <w:i w:val="1"/>
          <w:iCs w:val="1"/>
          <w:color w:val="auto"/>
        </w:rPr>
        <w:t>Krista Freitag v. Chicago Title Co. and Chicago Title Ins. Co.</w:t>
      </w:r>
      <w:r>
        <w:rPr>
          <w:rFonts w:ascii="Arial" w:cs="Arial" w:eastAsia="Arial" w:hAnsi="Arial"/>
          <w:sz w:val="16"/>
          <w:szCs w:val="16"/>
          <w:color w:val="auto"/>
        </w:rPr>
        <w:t>, was filed in San Diego County Superior Court by the receiver on behalf of the receivership entities against the Named Companies. The receiver seeks compensatory, incidental, consequential, and punitive damages, and seeks the recovery of attorneys’ fees. In turn, the Named Companies petitioned the Federal Court to sue ANI, via the receiver, to pursue indemnity and other claims against the receivership entities as joint tortfeasors, which was granted. On April 26, 2022, the Named Companies reached a conditional settlement with the receiver and several other investor claimants, which if approved by the federal court, will bar any future claims against the Named Companies related to the alcoholic beverage license scheme. The Named Companies and the receiver agreed to stay the action pending the hearing to approve the settlement which is scheduled for August 29, 2022.</w:t>
      </w:r>
    </w:p>
    <w:p>
      <w:pPr>
        <w:spacing w:after="0" w:line="197" w:lineRule="exact"/>
        <w:rPr>
          <w:sz w:val="20"/>
          <w:szCs w:val="20"/>
          <w:color w:val="auto"/>
        </w:rPr>
      </w:pPr>
    </w:p>
    <w:p>
      <w:pPr>
        <w:jc w:val="both"/>
        <w:ind w:firstLine="316"/>
        <w:spacing w:after="0" w:line="256" w:lineRule="auto"/>
        <w:rPr>
          <w:sz w:val="20"/>
          <w:szCs w:val="20"/>
          <w:color w:val="auto"/>
        </w:rPr>
      </w:pPr>
      <w:r>
        <w:rPr>
          <w:rFonts w:ascii="Arial" w:cs="Arial" w:eastAsia="Arial" w:hAnsi="Arial"/>
          <w:sz w:val="16"/>
          <w:szCs w:val="16"/>
          <w:color w:val="auto"/>
        </w:rPr>
        <w:t>The following lawsuits remain pending in the Superior Court of San Diego County for the State of California, most of which involve claimants who have objected to the Named Companies’ settlement with the receiver. Discovery is ongoing, and the cases were initially set for jury trial on December 2, 2022. The trial date has been continued, and it is expected to be reset for a date in March or April 2023. While they have not been consolidated into one action, they have been deemed by the court to be related and are assigned to the same judge for purposes of judicial economy.</w:t>
      </w:r>
    </w:p>
    <w:p>
      <w:pPr>
        <w:spacing w:after="0" w:line="189" w:lineRule="exact"/>
        <w:rPr>
          <w:sz w:val="20"/>
          <w:szCs w:val="20"/>
          <w:color w:val="auto"/>
        </w:rPr>
      </w:pPr>
    </w:p>
    <w:p>
      <w:pPr>
        <w:jc w:val="both"/>
        <w:ind w:left="320" w:firstLine="316"/>
        <w:spacing w:after="0" w:line="265" w:lineRule="auto"/>
        <w:rPr>
          <w:sz w:val="20"/>
          <w:szCs w:val="20"/>
          <w:color w:val="auto"/>
        </w:rPr>
      </w:pPr>
      <w:r>
        <w:rPr>
          <w:rFonts w:ascii="Arial" w:cs="Arial" w:eastAsia="Arial" w:hAnsi="Arial"/>
          <w:sz w:val="16"/>
          <w:szCs w:val="16"/>
          <w:color w:val="auto"/>
        </w:rPr>
        <w:t xml:space="preserve">On December 13, 2019, a lawsuit styled, </w:t>
      </w:r>
      <w:r>
        <w:rPr>
          <w:rFonts w:ascii="Arial" w:cs="Arial" w:eastAsia="Arial" w:hAnsi="Arial"/>
          <w:sz w:val="16"/>
          <w:szCs w:val="16"/>
          <w:i w:val="1"/>
          <w:iCs w:val="1"/>
          <w:color w:val="auto"/>
        </w:rPr>
        <w:t>Kim Funding, LLC, Kim H. Peterson, Joseph J. Cohen, ABC Funding Strategies, LLC, Payson R. Stevens;</w:t>
      </w:r>
      <w:r>
        <w:rPr>
          <w:rFonts w:ascii="Arial" w:cs="Arial" w:eastAsia="Arial" w:hAnsi="Arial"/>
          <w:sz w:val="16"/>
          <w:szCs w:val="16"/>
          <w:color w:val="auto"/>
        </w:rPr>
        <w:t xml:space="preserve"> </w:t>
      </w:r>
      <w:r>
        <w:rPr>
          <w:rFonts w:ascii="Arial" w:cs="Arial" w:eastAsia="Arial" w:hAnsi="Arial"/>
          <w:sz w:val="16"/>
          <w:szCs w:val="16"/>
          <w:i w:val="1"/>
          <w:iCs w:val="1"/>
          <w:color w:val="auto"/>
        </w:rPr>
        <w:t>Kamaljit K. Kapur and The Payson R. Stevens &amp; Kamaljit Kaur Kapur Trust Dated March 28, 2014 v. Chicago Title Co., Chicago Title Ins. Co., Thomas Schwiebert, Adelle Ducharme, and Betty Elixman</w:t>
      </w:r>
      <w:r>
        <w:rPr>
          <w:rFonts w:ascii="Arial" w:cs="Arial" w:eastAsia="Arial" w:hAnsi="Arial"/>
          <w:sz w:val="16"/>
          <w:szCs w:val="16"/>
          <w:color w:val="auto"/>
        </w:rPr>
        <w:t>, was filed in San Diego County Superior Court. Plaintiffs claim losses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left="320"/>
        <w:spacing w:after="0" w:line="224" w:lineRule="auto"/>
        <w:rPr>
          <w:sz w:val="20"/>
          <w:szCs w:val="20"/>
          <w:color w:val="auto"/>
        </w:rPr>
      </w:pPr>
      <w:r>
        <w:rPr>
          <w:rFonts w:ascii="Arial" w:cs="Arial" w:eastAsia="Arial" w:hAnsi="Arial"/>
          <w:sz w:val="18"/>
          <w:szCs w:val="18"/>
          <w:color w:val="auto"/>
        </w:rPr>
        <w:t>of more than $250 million as a result of the alleged fraud scheme, and also seek statutory, treble, and punitive damages, as well as the recovery of attorneys' fees. The Named Companies have filed a cross-complaint against Ms. Champion-Cain, and others. The Named Companies have reached a conditional settlement with members of ABC Funding Strategies, LLC plaintiffs under confidential terms.</w:t>
      </w:r>
    </w:p>
    <w:p>
      <w:pPr>
        <w:jc w:val="both"/>
        <w:ind w:left="320" w:firstLine="316"/>
        <w:spacing w:after="0" w:line="268" w:lineRule="auto"/>
        <w:rPr>
          <w:sz w:val="20"/>
          <w:szCs w:val="20"/>
          <w:color w:val="auto"/>
        </w:rPr>
      </w:pPr>
      <w:r>
        <w:rPr>
          <w:rFonts w:ascii="Arial" w:cs="Arial" w:eastAsia="Arial" w:hAnsi="Arial"/>
          <w:sz w:val="16"/>
          <w:szCs w:val="16"/>
          <w:color w:val="auto"/>
        </w:rPr>
        <w:t xml:space="preserve">On March 6, 2020, a lawsuit styled, </w:t>
      </w:r>
      <w:r>
        <w:rPr>
          <w:rFonts w:ascii="Arial" w:cs="Arial" w:eastAsia="Arial" w:hAnsi="Arial"/>
          <w:sz w:val="16"/>
          <w:szCs w:val="16"/>
          <w:i w:val="1"/>
          <w:iCs w:val="1"/>
          <w:color w:val="auto"/>
        </w:rPr>
        <w:t>Wakefield Capital, LLC, Wakefield Investments, LLC, 2Budz Holding, LLC, Doug and Kristine Heidrich, and Jeff</w:t>
      </w:r>
      <w:r>
        <w:rPr>
          <w:rFonts w:ascii="Arial" w:cs="Arial" w:eastAsia="Arial" w:hAnsi="Arial"/>
          <w:sz w:val="16"/>
          <w:szCs w:val="16"/>
          <w:color w:val="auto"/>
        </w:rPr>
        <w:t xml:space="preserve"> </w:t>
      </w:r>
      <w:r>
        <w:rPr>
          <w:rFonts w:ascii="Arial" w:cs="Arial" w:eastAsia="Arial" w:hAnsi="Arial"/>
          <w:sz w:val="16"/>
          <w:szCs w:val="16"/>
          <w:i w:val="1"/>
          <w:iCs w:val="1"/>
          <w:color w:val="auto"/>
        </w:rPr>
        <w:t>and Heidi Orr v. Chicago Title Co. and Chicago Title Ins. Co.</w:t>
      </w:r>
      <w:r>
        <w:rPr>
          <w:rFonts w:ascii="Arial" w:cs="Arial" w:eastAsia="Arial" w:hAnsi="Arial"/>
          <w:sz w:val="16"/>
          <w:szCs w:val="16"/>
          <w:color w:val="auto"/>
        </w:rPr>
        <w:t>, was filed in San Diego County Superior Court. Plaintiffs claim losses in excess of</w:t>
      </w:r>
      <w:r>
        <w:rPr>
          <w:rFonts w:ascii="Arial" w:cs="Arial" w:eastAsia="Arial" w:hAnsi="Arial"/>
          <w:sz w:val="16"/>
          <w:szCs w:val="16"/>
          <w:i w:val="1"/>
          <w:iCs w:val="1"/>
          <w:color w:val="auto"/>
        </w:rPr>
        <w:t xml:space="preserve"> </w:t>
      </w:r>
      <w:r>
        <w:rPr>
          <w:rFonts w:ascii="Arial" w:cs="Arial" w:eastAsia="Arial" w:hAnsi="Arial"/>
          <w:sz w:val="16"/>
          <w:szCs w:val="16"/>
          <w:color w:val="auto"/>
        </w:rPr>
        <w:t>$7 million as a result of the alleged fraud scheme, and also seek punitive damages, recovery of attorneys’ fees, and disgorgement.</w:t>
      </w:r>
    </w:p>
    <w:p>
      <w:pPr>
        <w:spacing w:after="0" w:line="2" w:lineRule="exact"/>
        <w:rPr>
          <w:sz w:val="20"/>
          <w:szCs w:val="20"/>
          <w:color w:val="auto"/>
        </w:rPr>
      </w:pPr>
    </w:p>
    <w:p>
      <w:pPr>
        <w:jc w:val="both"/>
        <w:ind w:left="320" w:firstLine="316"/>
        <w:spacing w:after="0"/>
        <w:rPr>
          <w:sz w:val="20"/>
          <w:szCs w:val="20"/>
          <w:color w:val="auto"/>
        </w:rPr>
      </w:pPr>
      <w:r>
        <w:rPr>
          <w:rFonts w:ascii="Arial" w:cs="Arial" w:eastAsia="Arial" w:hAnsi="Arial"/>
          <w:sz w:val="16"/>
          <w:szCs w:val="16"/>
          <w:color w:val="auto"/>
        </w:rPr>
        <w:t xml:space="preserve">On June 29, 2020, a lawsuit styled, </w:t>
      </w:r>
      <w:r>
        <w:rPr>
          <w:rFonts w:ascii="Arial" w:cs="Arial" w:eastAsia="Arial" w:hAnsi="Arial"/>
          <w:sz w:val="16"/>
          <w:szCs w:val="16"/>
          <w:i w:val="1"/>
          <w:iCs w:val="1"/>
          <w:color w:val="auto"/>
        </w:rPr>
        <w:t>Susan Heller Fenley Separate Property Trust, DTD 03/04/2010, Susan Heller Fenley Inherited Roth IRA, Shelley</w:t>
      </w:r>
      <w:r>
        <w:rPr>
          <w:rFonts w:ascii="Arial" w:cs="Arial" w:eastAsia="Arial" w:hAnsi="Arial"/>
          <w:sz w:val="16"/>
          <w:szCs w:val="16"/>
          <w:color w:val="auto"/>
        </w:rPr>
        <w:t xml:space="preserve"> </w:t>
      </w:r>
      <w:r>
        <w:rPr>
          <w:rFonts w:ascii="Arial" w:cs="Arial" w:eastAsia="Arial" w:hAnsi="Arial"/>
          <w:sz w:val="16"/>
          <w:szCs w:val="16"/>
          <w:i w:val="1"/>
          <w:iCs w:val="1"/>
          <w:color w:val="auto"/>
        </w:rPr>
        <w:t>Lynn Tarditi Trust and ROJ, LLC v. Chicago Title Co., Chicago Title Ins. Co., Thomas Schwiebert, Adelle Ducharme, and Betty Elixman</w:t>
      </w:r>
      <w:r>
        <w:rPr>
          <w:rFonts w:ascii="Arial" w:cs="Arial" w:eastAsia="Arial" w:hAnsi="Arial"/>
          <w:sz w:val="16"/>
          <w:szCs w:val="16"/>
          <w:color w:val="auto"/>
        </w:rPr>
        <w:t>, was filed in San</w:t>
      </w:r>
      <w:r>
        <w:rPr>
          <w:rFonts w:ascii="Arial" w:cs="Arial" w:eastAsia="Arial" w:hAnsi="Arial"/>
          <w:sz w:val="16"/>
          <w:szCs w:val="16"/>
          <w:i w:val="1"/>
          <w:iCs w:val="1"/>
          <w:color w:val="auto"/>
        </w:rPr>
        <w:t xml:space="preserve"> </w:t>
      </w:r>
      <w:r>
        <w:rPr>
          <w:rFonts w:ascii="Arial" w:cs="Arial" w:eastAsia="Arial" w:hAnsi="Arial"/>
          <w:sz w:val="16"/>
          <w:szCs w:val="16"/>
          <w:color w:val="auto"/>
        </w:rPr>
        <w:t>Diego County Superior Court. Plaintiffs claim losses in excess of $6 million as a result of the alleged fraud scheme, and also seek statutory, treble, and punitive damages. The Named Companies have filed a cross-complaint against Ms. Champion-Cain, and others.</w:t>
      </w:r>
    </w:p>
    <w:p>
      <w:pPr>
        <w:spacing w:after="0" w:line="1" w:lineRule="exact"/>
        <w:rPr>
          <w:sz w:val="20"/>
          <w:szCs w:val="20"/>
          <w:color w:val="auto"/>
        </w:rPr>
      </w:pPr>
    </w:p>
    <w:p>
      <w:pPr>
        <w:jc w:val="both"/>
        <w:ind w:left="320" w:firstLine="316"/>
        <w:spacing w:after="0" w:line="213" w:lineRule="auto"/>
        <w:rPr>
          <w:sz w:val="20"/>
          <w:szCs w:val="20"/>
          <w:color w:val="auto"/>
        </w:rPr>
      </w:pPr>
      <w:r>
        <w:rPr>
          <w:rFonts w:ascii="Arial" w:cs="Arial" w:eastAsia="Arial" w:hAnsi="Arial"/>
          <w:sz w:val="18"/>
          <w:szCs w:val="18"/>
          <w:color w:val="auto"/>
        </w:rPr>
        <w:t xml:space="preserve">On July 7, 2020, a cross-claim styled, </w:t>
      </w:r>
      <w:r>
        <w:rPr>
          <w:rFonts w:ascii="Arial" w:cs="Arial" w:eastAsia="Arial" w:hAnsi="Arial"/>
          <w:sz w:val="18"/>
          <w:szCs w:val="18"/>
          <w:i w:val="1"/>
          <w:iCs w:val="1"/>
          <w:color w:val="auto"/>
        </w:rPr>
        <w:t>Laurie Peterson v. Chicago Title Co., Chicago Title Ins. Co., Thomas Schwiebert, Adelle Ducharme, and Betty</w:t>
      </w:r>
      <w:r>
        <w:rPr>
          <w:rFonts w:ascii="Arial" w:cs="Arial" w:eastAsia="Arial" w:hAnsi="Arial"/>
          <w:sz w:val="18"/>
          <w:szCs w:val="18"/>
          <w:color w:val="auto"/>
        </w:rPr>
        <w:t xml:space="preserve"> </w:t>
      </w:r>
      <w:r>
        <w:rPr>
          <w:rFonts w:ascii="Arial" w:cs="Arial" w:eastAsia="Arial" w:hAnsi="Arial"/>
          <w:sz w:val="18"/>
          <w:szCs w:val="18"/>
          <w:i w:val="1"/>
          <w:iCs w:val="1"/>
          <w:color w:val="auto"/>
        </w:rPr>
        <w:t>Elixman</w:t>
      </w:r>
      <w:r>
        <w:rPr>
          <w:rFonts w:ascii="Arial" w:cs="Arial" w:eastAsia="Arial" w:hAnsi="Arial"/>
          <w:sz w:val="18"/>
          <w:szCs w:val="18"/>
          <w:color w:val="auto"/>
        </w:rPr>
        <w:t>, was filed in an existing lawsuit styled,</w:t>
      </w:r>
      <w:r>
        <w:rPr>
          <w:rFonts w:ascii="Arial" w:cs="Arial" w:eastAsia="Arial" w:hAnsi="Arial"/>
          <w:sz w:val="18"/>
          <w:szCs w:val="18"/>
          <w:i w:val="1"/>
          <w:iCs w:val="1"/>
          <w:color w:val="auto"/>
        </w:rPr>
        <w:t xml:space="preserve"> Banc of California, National Association v. Laurie Peterson</w:t>
      </w:r>
      <w:r>
        <w:rPr>
          <w:rFonts w:ascii="Arial" w:cs="Arial" w:eastAsia="Arial" w:hAnsi="Arial"/>
          <w:sz w:val="18"/>
          <w:szCs w:val="18"/>
          <w:color w:val="auto"/>
        </w:rPr>
        <w:t>, which is pending in San Diego County</w:t>
      </w:r>
      <w:r>
        <w:rPr>
          <w:rFonts w:ascii="Arial" w:cs="Arial" w:eastAsia="Arial" w:hAnsi="Arial"/>
          <w:sz w:val="18"/>
          <w:szCs w:val="18"/>
          <w:i w:val="1"/>
          <w:iCs w:val="1"/>
          <w:color w:val="auto"/>
        </w:rPr>
        <w:t xml:space="preserve"> </w:t>
      </w:r>
      <w:r>
        <w:rPr>
          <w:rFonts w:ascii="Arial" w:cs="Arial" w:eastAsia="Arial" w:hAnsi="Arial"/>
          <w:sz w:val="18"/>
          <w:szCs w:val="18"/>
          <w:color w:val="auto"/>
        </w:rPr>
        <w:t>Superior Court. Cross-complaint plaintiff was sued by a bank to recover in excess of $35 million that she allegedly guaranteed to repay for certain investments made by the Banc of California in the alcoholic beverage license scheme. Cross-complaint plaintiff has, in turn, sued the Named Companies in that action seeking in excess of $250 million in monetary losses as well as exemplary damages and attorneys’ fees. The Named Companies have filed a cross-complaint against Ms. Champion-Cain and others, and the Named Companies have been substituted in as the Plaintiff following a settlement with the bank.</w:t>
      </w:r>
    </w:p>
    <w:p>
      <w:pPr>
        <w:spacing w:after="0" w:line="4" w:lineRule="exact"/>
        <w:rPr>
          <w:sz w:val="20"/>
          <w:szCs w:val="20"/>
          <w:color w:val="auto"/>
        </w:rPr>
      </w:pPr>
    </w:p>
    <w:p>
      <w:pPr>
        <w:jc w:val="both"/>
        <w:ind w:left="320" w:firstLine="316"/>
        <w:spacing w:after="0" w:line="246" w:lineRule="auto"/>
        <w:rPr>
          <w:sz w:val="20"/>
          <w:szCs w:val="20"/>
          <w:color w:val="auto"/>
        </w:rPr>
      </w:pPr>
      <w:r>
        <w:rPr>
          <w:rFonts w:ascii="Arial" w:cs="Arial" w:eastAsia="Arial" w:hAnsi="Arial"/>
          <w:sz w:val="16"/>
          <w:szCs w:val="16"/>
          <w:color w:val="auto"/>
        </w:rPr>
        <w:t xml:space="preserve">On September 3, 2020, a cross-claim styled, </w:t>
      </w:r>
      <w:r>
        <w:rPr>
          <w:rFonts w:ascii="Arial" w:cs="Arial" w:eastAsia="Arial" w:hAnsi="Arial"/>
          <w:sz w:val="16"/>
          <w:szCs w:val="16"/>
          <w:i w:val="1"/>
          <w:iCs w:val="1"/>
          <w:color w:val="auto"/>
        </w:rPr>
        <w:t>Kim H. Peterson Trustee of the Peterson Family Trust dated April 14 1992 v. Chicago Title Co., Chicago</w:t>
      </w:r>
      <w:r>
        <w:rPr>
          <w:rFonts w:ascii="Arial" w:cs="Arial" w:eastAsia="Arial" w:hAnsi="Arial"/>
          <w:sz w:val="16"/>
          <w:szCs w:val="16"/>
          <w:color w:val="auto"/>
        </w:rPr>
        <w:t xml:space="preserve"> </w:t>
      </w:r>
      <w:r>
        <w:rPr>
          <w:rFonts w:ascii="Arial" w:cs="Arial" w:eastAsia="Arial" w:hAnsi="Arial"/>
          <w:sz w:val="16"/>
          <w:szCs w:val="16"/>
          <w:i w:val="1"/>
          <w:iCs w:val="1"/>
          <w:color w:val="auto"/>
        </w:rPr>
        <w:t>Title Ins. Co., Thomas Schwiebert, Adelle Ducharme, and Betty Elixman</w:t>
      </w:r>
      <w:r>
        <w:rPr>
          <w:rFonts w:ascii="Arial" w:cs="Arial" w:eastAsia="Arial" w:hAnsi="Arial"/>
          <w:sz w:val="16"/>
          <w:szCs w:val="16"/>
          <w:color w:val="auto"/>
        </w:rPr>
        <w:t>, was filed in an existing lawsuit styled,</w:t>
      </w:r>
      <w:r>
        <w:rPr>
          <w:rFonts w:ascii="Arial" w:cs="Arial" w:eastAsia="Arial" w:hAnsi="Arial"/>
          <w:sz w:val="16"/>
          <w:szCs w:val="16"/>
          <w:i w:val="1"/>
          <w:iCs w:val="1"/>
          <w:color w:val="auto"/>
        </w:rPr>
        <w:t xml:space="preserve"> CalPrivate Bank v. Kim H. Peterson Trustee of the Peterson Family Trust dated April 14 1992</w:t>
      </w:r>
      <w:r>
        <w:rPr>
          <w:rFonts w:ascii="Arial" w:cs="Arial" w:eastAsia="Arial" w:hAnsi="Arial"/>
          <w:sz w:val="16"/>
          <w:szCs w:val="16"/>
          <w:color w:val="auto"/>
        </w:rPr>
        <w:t>, which is pending in Superior Court of San Diego County for the State of California. Cross-complaint plaintiff was sued by a bank to recover in excess of $12 million that the trustee allegedly guaranteed to repay for certain investments made by CalPrivate Bank in the alcoholic beverage license scheme. Cross-complaint plaintiff has, in turn, sued the Named Companies in that action seeking in excess of $250 million in monetary losses as well as exemplary damages and attorneys’ fees.</w:t>
      </w:r>
    </w:p>
    <w:p>
      <w:pPr>
        <w:spacing w:after="0" w:line="197" w:lineRule="exact"/>
        <w:rPr>
          <w:sz w:val="20"/>
          <w:szCs w:val="20"/>
          <w:color w:val="auto"/>
        </w:rPr>
      </w:pPr>
    </w:p>
    <w:p>
      <w:pPr>
        <w:jc w:val="both"/>
        <w:ind w:left="320" w:firstLine="316"/>
        <w:spacing w:after="0" w:line="217" w:lineRule="auto"/>
        <w:rPr>
          <w:sz w:val="20"/>
          <w:szCs w:val="20"/>
          <w:color w:val="auto"/>
        </w:rPr>
      </w:pPr>
      <w:r>
        <w:rPr>
          <w:rFonts w:ascii="Arial" w:cs="Arial" w:eastAsia="Arial" w:hAnsi="Arial"/>
          <w:sz w:val="18"/>
          <w:szCs w:val="18"/>
          <w:color w:val="auto"/>
        </w:rPr>
        <w:t xml:space="preserve">On November 2, 2020, a lawsuit styled, </w:t>
      </w:r>
      <w:r>
        <w:rPr>
          <w:rFonts w:ascii="Arial" w:cs="Arial" w:eastAsia="Arial" w:hAnsi="Arial"/>
          <w:sz w:val="18"/>
          <w:szCs w:val="18"/>
          <w:i w:val="1"/>
          <w:iCs w:val="1"/>
          <w:color w:val="auto"/>
        </w:rPr>
        <w:t>CalPrivate Bank v. Chicago Title Co. and Chicago Title Ins. Co.,</w:t>
      </w:r>
      <w:r>
        <w:rPr>
          <w:rFonts w:ascii="Arial" w:cs="Arial" w:eastAsia="Arial" w:hAnsi="Arial"/>
          <w:sz w:val="18"/>
          <w:szCs w:val="18"/>
          <w:color w:val="auto"/>
        </w:rPr>
        <w:t xml:space="preserve"> was also filed in the Superior Court of San Diego County for the State of California. Plaintiff claims losses in excess of $12 million based upon business loan advances made in the alcoholic beverage license scheme and seeks punitive damages and the recovery of attorneys’ fees. The Named Companies have filed a cross-complaint against Ms. Champion-Cain, and others.</w:t>
      </w:r>
    </w:p>
    <w:p>
      <w:pPr>
        <w:spacing w:after="0" w:line="2" w:lineRule="exact"/>
        <w:rPr>
          <w:sz w:val="20"/>
          <w:szCs w:val="20"/>
          <w:color w:val="auto"/>
        </w:rPr>
      </w:pPr>
    </w:p>
    <w:p>
      <w:pPr>
        <w:jc w:val="both"/>
        <w:spacing w:after="0" w:line="220" w:lineRule="auto"/>
        <w:rPr>
          <w:sz w:val="20"/>
          <w:szCs w:val="20"/>
          <w:color w:val="auto"/>
        </w:rPr>
      </w:pPr>
      <w:r>
        <w:rPr>
          <w:rFonts w:ascii="Arial" w:cs="Arial" w:eastAsia="Arial" w:hAnsi="Arial"/>
          <w:sz w:val="18"/>
          <w:szCs w:val="18"/>
          <w:color w:val="auto"/>
        </w:rPr>
        <w:t>Chicago Title Company has also resolved a number of other pre-suit claims and previously-disclosed lawsuits from both individual and groups of alleged investors under confidential terms. Based on the facts and circumstances of the remaining claims, including the settlements already reached, we have recorded reserves included in our reserve for title claim losses, which we believe are adequate to cover losses related to this matter, and believe that our reserves for title claim losses are adequate.</w:t>
      </w:r>
    </w:p>
    <w:p>
      <w:pPr>
        <w:spacing w:after="0" w:line="214" w:lineRule="exact"/>
        <w:rPr>
          <w:sz w:val="20"/>
          <w:szCs w:val="20"/>
          <w:color w:val="auto"/>
        </w:rPr>
      </w:pPr>
    </w:p>
    <w:p>
      <w:pPr>
        <w:jc w:val="both"/>
        <w:ind w:firstLine="316"/>
        <w:spacing w:after="0" w:line="299" w:lineRule="auto"/>
        <w:rPr>
          <w:sz w:val="20"/>
          <w:szCs w:val="20"/>
          <w:color w:val="auto"/>
        </w:rPr>
      </w:pPr>
      <w:r>
        <w:rPr>
          <w:rFonts w:ascii="Arial" w:cs="Arial" w:eastAsia="Arial" w:hAnsi="Arial"/>
          <w:sz w:val="16"/>
          <w:szCs w:val="16"/>
          <w:color w:val="auto"/>
        </w:rPr>
        <w:t>We continually update loss reserve estimates as new information becomes known, new loss patterns emerge or as other contributing factors are considered and incorporated into the analysis of reserve for claim losses. Estimating future title loss payments is difficult because of the complex nature of title claims, the long periods of time over which claims are paid, significantly varying dollar amounts of individual claims and other factors.</w:t>
      </w:r>
    </w:p>
    <w:p>
      <w:pPr>
        <w:spacing w:after="0" w:line="36" w:lineRule="exact"/>
        <w:rPr>
          <w:sz w:val="20"/>
          <w:szCs w:val="20"/>
          <w:color w:val="auto"/>
        </w:rPr>
      </w:pPr>
    </w:p>
    <w:p>
      <w:pPr>
        <w:jc w:val="both"/>
        <w:ind w:firstLine="316"/>
        <w:spacing w:after="0" w:line="299" w:lineRule="auto"/>
        <w:rPr>
          <w:sz w:val="20"/>
          <w:szCs w:val="20"/>
          <w:color w:val="auto"/>
        </w:rPr>
      </w:pPr>
      <w:r>
        <w:rPr>
          <w:rFonts w:ascii="Arial" w:cs="Arial" w:eastAsia="Arial" w:hAnsi="Arial"/>
          <w:sz w:val="16"/>
          <w:szCs w:val="16"/>
          <w:color w:val="auto"/>
        </w:rPr>
        <w:t>Due to the uncertainty inherent in the process and to the judgment used by management, the ultimate liability may be greater or less than our current reserves. If actual claims loss development varies from what is currently expected and is not offset by other factors, it is possible that additional reserve adjustments may be required in future periods in order to maintain our recorded reserve within a reasonable range of our actuary's central estimate.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Fair Value of Financial Instruments</w:t>
      </w:r>
    </w:p>
    <w:p>
      <w:pPr>
        <w:spacing w:after="0" w:line="167"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Our measurement of fair value is based on assumptions used by market participants in pricing the asset or liability, which may include inherent risk, restrictions on the sale or use of an asset, or non-performance risk, which may include our own credit risk. We estimate an exchange price is the price in an orderly transaction between market participants to sell the asset or transfer the liability (“exit price”) in the principal market, or the most advantageous market for that asset or liability in the absence of a principal market as opposed to the price that would be paid to acquire the asset or assume a liability (“entry price”). We categorize financial instruments carried at fair value into a three-level fair value hierarchy, based on the priority of inputs to the respective valuation technique. The three-level hierarchy for fair value measurement is defined as follows:</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Values are unadjusted quoted prices for identical assets and liabilities in active markets accessible at the measurement date.</w:t>
      </w:r>
    </w:p>
    <w:p>
      <w:pPr>
        <w:spacing w:after="0" w:line="83" w:lineRule="exact"/>
        <w:rPr>
          <w:sz w:val="20"/>
          <w:szCs w:val="20"/>
          <w:color w:val="auto"/>
        </w:rPr>
      </w:pPr>
    </w:p>
    <w:p>
      <w:pPr>
        <w:jc w:val="both"/>
        <w:ind w:left="440"/>
        <w:spacing w:after="0" w:line="252"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Inputs include quoted prices for similar assets or liabilities in active markets, quoted prices from those willing to trade in markets that are not</w:t>
      </w:r>
      <w:r>
        <w:rPr>
          <w:rFonts w:ascii="Arial" w:cs="Arial" w:eastAsia="Arial" w:hAnsi="Arial"/>
          <w:sz w:val="18"/>
          <w:szCs w:val="18"/>
          <w:i w:val="1"/>
          <w:iCs w:val="1"/>
          <w:color w:val="auto"/>
        </w:rPr>
        <w:t xml:space="preserve"> </w:t>
      </w:r>
      <w:r>
        <w:rPr>
          <w:rFonts w:ascii="Arial" w:cs="Arial" w:eastAsia="Arial" w:hAnsi="Arial"/>
          <w:sz w:val="18"/>
          <w:szCs w:val="18"/>
          <w:color w:val="auto"/>
        </w:rPr>
        <w:t>active, or other inputs that are observable or can be corroborated by market data for the term of the instrument. Such inputs include market interest rates and volatilities, spreads, and yield curves.</w:t>
      </w:r>
    </w:p>
    <w:p>
      <w:pPr>
        <w:spacing w:after="0" w:line="59" w:lineRule="exact"/>
        <w:rPr>
          <w:sz w:val="20"/>
          <w:szCs w:val="20"/>
          <w:color w:val="auto"/>
        </w:rPr>
      </w:pPr>
    </w:p>
    <w:p>
      <w:pPr>
        <w:jc w:val="both"/>
        <w:ind w:left="440"/>
        <w:spacing w:after="0" w:line="252"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Certain inputs are unobservable (supported by little or no market activity) and significant to the fair value measurement. Unobservable inputs</w:t>
      </w:r>
      <w:r>
        <w:rPr>
          <w:rFonts w:ascii="Arial" w:cs="Arial" w:eastAsia="Arial" w:hAnsi="Arial"/>
          <w:sz w:val="18"/>
          <w:szCs w:val="18"/>
          <w:i w:val="1"/>
          <w:iCs w:val="1"/>
          <w:color w:val="auto"/>
        </w:rPr>
        <w:t xml:space="preserve"> </w:t>
      </w:r>
      <w:r>
        <w:rPr>
          <w:rFonts w:ascii="Arial" w:cs="Arial" w:eastAsia="Arial" w:hAnsi="Arial"/>
          <w:sz w:val="18"/>
          <w:szCs w:val="18"/>
          <w:color w:val="auto"/>
        </w:rPr>
        <w:t>reflect the Company’s best estimate of what hypothetical market participants would use to determine a transaction price for the asset or liability at the reporting date based on the best information available in the circumstances.</w:t>
      </w:r>
    </w:p>
    <w:p>
      <w:pPr>
        <w:spacing w:after="0" w:line="111" w:lineRule="exact"/>
        <w:rPr>
          <w:sz w:val="20"/>
          <w:szCs w:val="20"/>
          <w:color w:val="auto"/>
        </w:rPr>
      </w:pPr>
    </w:p>
    <w:p>
      <w:pPr>
        <w:jc w:val="both"/>
        <w:ind w:firstLine="434"/>
        <w:spacing w:after="0" w:line="299" w:lineRule="auto"/>
        <w:rPr>
          <w:sz w:val="20"/>
          <w:szCs w:val="20"/>
          <w:color w:val="auto"/>
        </w:rPr>
      </w:pPr>
      <w:r>
        <w:rPr>
          <w:rFonts w:ascii="Arial" w:cs="Arial" w:eastAsia="Arial" w:hAnsi="Arial"/>
          <w:sz w:val="16"/>
          <w:szCs w:val="16"/>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Our assessment of the significance of a particular input to the fair value measurement in its entirety requires judgment and considers factors specific to the investment.</w:t>
      </w:r>
    </w:p>
    <w:p>
      <w:pPr>
        <w:spacing w:after="0" w:line="62" w:lineRule="exact"/>
        <w:rPr>
          <w:sz w:val="20"/>
          <w:szCs w:val="20"/>
          <w:color w:val="auto"/>
        </w:rPr>
      </w:pPr>
    </w:p>
    <w:p>
      <w:pPr>
        <w:jc w:val="both"/>
        <w:ind w:firstLine="434"/>
        <w:spacing w:after="0" w:line="291" w:lineRule="auto"/>
        <w:rPr>
          <w:sz w:val="20"/>
          <w:szCs w:val="20"/>
          <w:color w:val="auto"/>
        </w:rPr>
      </w:pPr>
      <w:r>
        <w:rPr>
          <w:rFonts w:ascii="Arial" w:cs="Arial" w:eastAsia="Arial" w:hAnsi="Arial"/>
          <w:sz w:val="16"/>
          <w:szCs w:val="16"/>
          <w:color w:val="auto"/>
        </w:rPr>
        <w:t>When a determination is made to classify an asset or liability within Level 3 of the fair value hierarchy, the determination is based upon the significance of the unobservable inputs to the overall fair value measurement. Because certain securities trade in less liquid or illiquid markets with limited or no pricing information, the determination of fair value for these securities is inherently more difficult. In addition to the unobservable inputs, Level 3 fair value investments may include observable components, which are components that are actively quoted or can be validated to market-based sources.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434"/>
        <w:spacing w:after="0" w:line="299" w:lineRule="auto"/>
        <w:rPr>
          <w:sz w:val="20"/>
          <w:szCs w:val="20"/>
          <w:color w:val="auto"/>
        </w:rPr>
      </w:pPr>
      <w:r>
        <w:rPr>
          <w:rFonts w:ascii="Arial" w:cs="Arial" w:eastAsia="Arial" w:hAnsi="Arial"/>
          <w:sz w:val="16"/>
          <w:szCs w:val="16"/>
          <w:color w:val="auto"/>
        </w:rPr>
        <w:t>The carrying amounts and estimated fair values of our financial instruments for which the disclosure of fair values is required, including financial assets and liabilities measured and carried at fair value on a recurring basis, with the exception of investment contracts, portions of other long-term investments and debt, which are disclosed later within this footnote, was summarized according to the hierarchy previously described, as follows (in millions):</w:t>
      </w:r>
    </w:p>
    <w:p>
      <w:pPr>
        <w:spacing w:after="0" w:line="65" w:lineRule="exact"/>
        <w:rPr>
          <w:sz w:val="20"/>
          <w:szCs w:val="20"/>
          <w:color w:val="auto"/>
        </w:rPr>
      </w:pPr>
    </w:p>
    <w:tbl>
      <w:tblPr>
        <w:tblLayout w:type="fixed"/>
        <w:tblInd w:w="160" w:type="dxa"/>
        <w:tblCellMar>
          <w:top w:w="0" w:type="dxa"/>
          <w:left w:w="0" w:type="dxa"/>
          <w:bottom w:w="0" w:type="dxa"/>
          <w:right w:w="0" w:type="dxa"/>
        </w:tblCellMar>
      </w:tblPr>
      <w:tr>
        <w:trPr>
          <w:trHeight w:val="188"/>
        </w:trPr>
        <w:tc>
          <w:tcPr>
            <w:tcW w:w="48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0"/>
              </w:rPr>
              <w:t>June 30, 2022</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r>
      <w:tr>
        <w:trPr>
          <w:trHeight w:val="182"/>
        </w:trPr>
        <w:tc>
          <w:tcPr>
            <w:tcW w:w="4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5"/>
                <w:szCs w:val="15"/>
                <w:color w:val="auto"/>
              </w:rPr>
            </w:pPr>
          </w:p>
        </w:tc>
        <w:tc>
          <w:tcPr>
            <w:tcW w:w="102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Level 3</w:t>
            </w:r>
          </w:p>
        </w:tc>
        <w:tc>
          <w:tcPr>
            <w:tcW w:w="180" w:type="dxa"/>
            <w:vAlign w:val="bottom"/>
          </w:tcPr>
          <w:p>
            <w:pPr>
              <w:spacing w:after="0"/>
              <w:rPr>
                <w:sz w:val="15"/>
                <w:szCs w:val="15"/>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Carrying Amount</w:t>
            </w:r>
          </w:p>
        </w:tc>
      </w:tr>
      <w:tr>
        <w:trPr>
          <w:trHeight w:val="165"/>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r>
      <w:tr>
        <w:trPr>
          <w:trHeight w:val="182"/>
        </w:trPr>
        <w:tc>
          <w:tcPr>
            <w:tcW w:w="484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2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2,426</w:t>
            </w:r>
          </w:p>
        </w:tc>
        <w:tc>
          <w:tcPr>
            <w:tcW w:w="100" w:type="dxa"/>
            <w:vAlign w:val="bottom"/>
          </w:tcPr>
          <w:p>
            <w:pPr>
              <w:spacing w:after="0"/>
              <w:rPr>
                <w:sz w:val="15"/>
                <w:szCs w:val="15"/>
                <w:color w:val="auto"/>
              </w:rPr>
            </w:pPr>
          </w:p>
        </w:tc>
        <w:tc>
          <w:tcPr>
            <w:tcW w:w="2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2,426</w:t>
            </w:r>
          </w:p>
        </w:tc>
        <w:tc>
          <w:tcPr>
            <w:tcW w:w="100" w:type="dxa"/>
            <w:vAlign w:val="bottom"/>
          </w:tcPr>
          <w:p>
            <w:pPr>
              <w:spacing w:after="0"/>
              <w:rPr>
                <w:sz w:val="15"/>
                <w:szCs w:val="15"/>
                <w:color w:val="auto"/>
              </w:rPr>
            </w:pPr>
          </w:p>
        </w:tc>
        <w:tc>
          <w:tcPr>
            <w:tcW w:w="400" w:type="dxa"/>
            <w:vAlign w:val="bottom"/>
          </w:tcPr>
          <w:p>
            <w:pPr>
              <w:ind w:left="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2,426</w:t>
            </w:r>
          </w:p>
        </w:tc>
      </w:tr>
      <w:tr>
        <w:trPr>
          <w:trHeight w:val="187"/>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Fixed maturity securities, available-for-sale:</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182"/>
        </w:trPr>
        <w:tc>
          <w:tcPr>
            <w:tcW w:w="4840" w:type="dxa"/>
            <w:vAlign w:val="bottom"/>
          </w:tcPr>
          <w:p>
            <w:pPr>
              <w:ind w:left="220"/>
              <w:spacing w:after="0"/>
              <w:rPr>
                <w:sz w:val="20"/>
                <w:szCs w:val="20"/>
                <w:color w:val="auto"/>
              </w:rPr>
            </w:pPr>
            <w:r>
              <w:rPr>
                <w:rFonts w:ascii="Arial" w:cs="Arial" w:eastAsia="Arial" w:hAnsi="Arial"/>
                <w:sz w:val="14"/>
                <w:szCs w:val="14"/>
                <w:color w:val="auto"/>
              </w:rPr>
              <w:t>Asset-backed securities</w:t>
            </w:r>
          </w:p>
        </w:tc>
        <w:tc>
          <w:tcPr>
            <w:tcW w:w="22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4,771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4,677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9,448</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9,448</w:t>
            </w:r>
          </w:p>
        </w:tc>
      </w:tr>
      <w:tr>
        <w:trPr>
          <w:trHeight w:val="187"/>
        </w:trPr>
        <w:tc>
          <w:tcPr>
            <w:tcW w:w="48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Commercial mortgage-backed securities</w:t>
            </w: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3,053</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3,053</w:t>
            </w:r>
          </w:p>
        </w:tc>
      </w:tr>
      <w:tr>
        <w:trPr>
          <w:trHeight w:val="182"/>
        </w:trPr>
        <w:tc>
          <w:tcPr>
            <w:tcW w:w="4840" w:type="dxa"/>
            <w:vAlign w:val="bottom"/>
          </w:tcPr>
          <w:p>
            <w:pPr>
              <w:ind w:left="220"/>
              <w:spacing w:after="0"/>
              <w:rPr>
                <w:sz w:val="20"/>
                <w:szCs w:val="20"/>
                <w:color w:val="auto"/>
              </w:rPr>
            </w:pPr>
            <w:r>
              <w:rPr>
                <w:rFonts w:ascii="Arial" w:cs="Arial" w:eastAsia="Arial" w:hAnsi="Arial"/>
                <w:sz w:val="14"/>
                <w:szCs w:val="14"/>
                <w:color w:val="auto"/>
              </w:rPr>
              <w:t>Corporates</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12,770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1,374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14,184</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14,184</w:t>
            </w:r>
          </w:p>
        </w:tc>
      </w:tr>
      <w:tr>
        <w:trPr>
          <w:trHeight w:val="187"/>
        </w:trPr>
        <w:tc>
          <w:tcPr>
            <w:tcW w:w="48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Hybrids</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769</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769</w:t>
            </w:r>
          </w:p>
        </w:tc>
      </w:tr>
      <w:tr>
        <w:trPr>
          <w:trHeight w:val="182"/>
        </w:trPr>
        <w:tc>
          <w:tcPr>
            <w:tcW w:w="4840" w:type="dxa"/>
            <w:vAlign w:val="bottom"/>
          </w:tcPr>
          <w:p>
            <w:pPr>
              <w:ind w:left="220"/>
              <w:spacing w:after="0"/>
              <w:rPr>
                <w:sz w:val="20"/>
                <w:szCs w:val="20"/>
                <w:color w:val="auto"/>
              </w:rPr>
            </w:pPr>
            <w:r>
              <w:rPr>
                <w:rFonts w:ascii="Arial" w:cs="Arial" w:eastAsia="Arial" w:hAnsi="Arial"/>
                <w:sz w:val="14"/>
                <w:szCs w:val="14"/>
                <w:color w:val="auto"/>
              </w:rPr>
              <w:t>Municipals</w:t>
            </w:r>
          </w:p>
        </w:tc>
        <w:tc>
          <w:tcPr>
            <w:tcW w:w="22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1,278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1,311</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1,311</w:t>
            </w:r>
          </w:p>
        </w:tc>
      </w:tr>
      <w:tr>
        <w:trPr>
          <w:trHeight w:val="187"/>
        </w:trPr>
        <w:tc>
          <w:tcPr>
            <w:tcW w:w="48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Residential mortgage-backed securities</w:t>
            </w: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902</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902</w:t>
            </w:r>
          </w:p>
        </w:tc>
      </w:tr>
      <w:tr>
        <w:trPr>
          <w:trHeight w:val="182"/>
        </w:trPr>
        <w:tc>
          <w:tcPr>
            <w:tcW w:w="4840" w:type="dxa"/>
            <w:vAlign w:val="bottom"/>
          </w:tcPr>
          <w:p>
            <w:pPr>
              <w:ind w:left="220"/>
              <w:spacing w:after="0"/>
              <w:rPr>
                <w:sz w:val="20"/>
                <w:szCs w:val="20"/>
                <w:color w:val="auto"/>
              </w:rPr>
            </w:pPr>
            <w:r>
              <w:rPr>
                <w:rFonts w:ascii="Arial" w:cs="Arial" w:eastAsia="Arial" w:hAnsi="Arial"/>
                <w:sz w:val="14"/>
                <w:szCs w:val="14"/>
                <w:color w:val="auto"/>
              </w:rPr>
              <w:t>U.S. Government</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530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530</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530</w:t>
            </w:r>
          </w:p>
        </w:tc>
      </w:tr>
      <w:tr>
        <w:trPr>
          <w:trHeight w:val="187"/>
        </w:trPr>
        <w:tc>
          <w:tcPr>
            <w:tcW w:w="48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Foreign Governments</w:t>
            </w: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w:t>
            </w:r>
          </w:p>
        </w:tc>
      </w:tr>
      <w:tr>
        <w:trPr>
          <w:trHeight w:val="182"/>
        </w:trPr>
        <w:tc>
          <w:tcPr>
            <w:tcW w:w="4840" w:type="dxa"/>
            <w:vAlign w:val="bottom"/>
          </w:tcPr>
          <w:p>
            <w:pPr>
              <w:ind w:left="20"/>
              <w:spacing w:after="0"/>
              <w:rPr>
                <w:sz w:val="20"/>
                <w:szCs w:val="20"/>
                <w:color w:val="auto"/>
              </w:rPr>
            </w:pPr>
            <w:r>
              <w:rPr>
                <w:rFonts w:ascii="Arial" w:cs="Arial" w:eastAsia="Arial" w:hAnsi="Arial"/>
                <w:sz w:val="14"/>
                <w:szCs w:val="14"/>
                <w:color w:val="auto"/>
              </w:rPr>
              <w:t>Short term investments</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1,814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774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2,588</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2,588</w:t>
            </w:r>
          </w:p>
        </w:tc>
      </w:tr>
      <w:tr>
        <w:trPr>
          <w:trHeight w:val="187"/>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Preferred securities</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1,153</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1,153</w:t>
            </w:r>
          </w:p>
        </w:tc>
      </w:tr>
      <w:tr>
        <w:trPr>
          <w:trHeight w:val="182"/>
        </w:trPr>
        <w:tc>
          <w:tcPr>
            <w:tcW w:w="4840" w:type="dxa"/>
            <w:vAlign w:val="bottom"/>
          </w:tcPr>
          <w:p>
            <w:pPr>
              <w:ind w:left="20"/>
              <w:spacing w:after="0"/>
              <w:rPr>
                <w:sz w:val="20"/>
                <w:szCs w:val="20"/>
                <w:color w:val="auto"/>
              </w:rPr>
            </w:pPr>
            <w:r>
              <w:rPr>
                <w:rFonts w:ascii="Arial" w:cs="Arial" w:eastAsia="Arial" w:hAnsi="Arial"/>
                <w:sz w:val="14"/>
                <w:szCs w:val="14"/>
                <w:color w:val="auto"/>
              </w:rPr>
              <w:t>Equity securities</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701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711</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711</w:t>
            </w:r>
          </w:p>
        </w:tc>
      </w:tr>
      <w:tr>
        <w:trPr>
          <w:trHeight w:val="187"/>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Derivative investments</w:t>
            </w: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w:t>
            </w:r>
          </w:p>
        </w:tc>
      </w:tr>
      <w:tr>
        <w:trPr>
          <w:trHeight w:val="182"/>
        </w:trPr>
        <w:tc>
          <w:tcPr>
            <w:tcW w:w="4840" w:type="dxa"/>
            <w:vAlign w:val="bottom"/>
          </w:tcPr>
          <w:p>
            <w:pPr>
              <w:ind w:left="20"/>
              <w:spacing w:after="0"/>
              <w:rPr>
                <w:sz w:val="20"/>
                <w:szCs w:val="20"/>
                <w:color w:val="auto"/>
              </w:rPr>
            </w:pPr>
            <w:r>
              <w:rPr>
                <w:rFonts w:ascii="Arial" w:cs="Arial" w:eastAsia="Arial" w:hAnsi="Arial"/>
                <w:sz w:val="14"/>
                <w:szCs w:val="14"/>
                <w:color w:val="auto"/>
              </w:rPr>
              <w:t>Reinsurance related embedded derivative, included in other assets</w:t>
            </w:r>
          </w:p>
        </w:tc>
        <w:tc>
          <w:tcPr>
            <w:tcW w:w="22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191</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191</w:t>
            </w:r>
          </w:p>
        </w:tc>
      </w:tr>
      <w:tr>
        <w:trPr>
          <w:trHeight w:val="184"/>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long-term investments</w:t>
            </w: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r>
      <w:tr>
        <w:trPr>
          <w:trHeight w:val="180"/>
        </w:trPr>
        <w:tc>
          <w:tcPr>
            <w:tcW w:w="4840" w:type="dxa"/>
            <w:vAlign w:val="bottom"/>
          </w:tcPr>
          <w:p>
            <w:pPr>
              <w:ind w:left="460"/>
              <w:spacing w:after="0"/>
              <w:rPr>
                <w:sz w:val="20"/>
                <w:szCs w:val="20"/>
                <w:color w:val="auto"/>
              </w:rPr>
            </w:pPr>
            <w:r>
              <w:rPr>
                <w:rFonts w:ascii="Arial" w:cs="Arial" w:eastAsia="Arial" w:hAnsi="Arial"/>
                <w:sz w:val="14"/>
                <w:szCs w:val="14"/>
                <w:color w:val="auto"/>
              </w:rPr>
              <w:t>Total financial assets at fair value</w:t>
            </w:r>
          </w:p>
        </w:tc>
        <w:tc>
          <w:tcPr>
            <w:tcW w:w="2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6,040</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25,449</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6,229</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37,718</w:t>
            </w:r>
          </w:p>
        </w:tc>
        <w:tc>
          <w:tcPr>
            <w:tcW w:w="100" w:type="dxa"/>
            <w:vAlign w:val="bottom"/>
          </w:tcPr>
          <w:p>
            <w:pPr>
              <w:spacing w:after="0"/>
              <w:rPr>
                <w:sz w:val="15"/>
                <w:szCs w:val="15"/>
                <w:color w:val="auto"/>
              </w:rPr>
            </w:pPr>
          </w:p>
        </w:tc>
        <w:tc>
          <w:tcPr>
            <w:tcW w:w="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37,718</w:t>
            </w:r>
          </w:p>
        </w:tc>
      </w:tr>
      <w:tr>
        <w:trPr>
          <w:trHeight w:val="20"/>
        </w:trPr>
        <w:tc>
          <w:tcPr>
            <w:tcW w:w="48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51"/>
        </w:trPr>
        <w:tc>
          <w:tcPr>
            <w:tcW w:w="4840" w:type="dxa"/>
            <w:vAlign w:val="bottom"/>
            <w:shd w:val="clear" w:color="auto" w:fill="CCEEFF"/>
          </w:tcPr>
          <w:p>
            <w:pPr>
              <w:ind w:left="20"/>
              <w:spacing w:after="0" w:line="151" w:lineRule="exact"/>
              <w:rPr>
                <w:sz w:val="20"/>
                <w:szCs w:val="20"/>
                <w:color w:val="auto"/>
              </w:rPr>
            </w:pPr>
            <w:r>
              <w:rPr>
                <w:rFonts w:ascii="Arial" w:cs="Arial" w:eastAsia="Arial" w:hAnsi="Arial"/>
                <w:sz w:val="14"/>
                <w:szCs w:val="14"/>
                <w:b w:val="1"/>
                <w:bCs w:val="1"/>
                <w:color w:val="auto"/>
              </w:rPr>
              <w:t>Liabilities</w:t>
            </w: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r>
      <w:tr>
        <w:trPr>
          <w:trHeight w:val="182"/>
        </w:trPr>
        <w:tc>
          <w:tcPr>
            <w:tcW w:w="4840" w:type="dxa"/>
            <w:vAlign w:val="bottom"/>
          </w:tcPr>
          <w:p>
            <w:pPr>
              <w:ind w:left="20"/>
              <w:spacing w:after="0"/>
              <w:rPr>
                <w:sz w:val="20"/>
                <w:szCs w:val="20"/>
                <w:color w:val="auto"/>
              </w:rPr>
            </w:pPr>
            <w:r>
              <w:rPr>
                <w:rFonts w:ascii="Arial" w:cs="Arial" w:eastAsia="Arial" w:hAnsi="Arial"/>
                <w:sz w:val="14"/>
                <w:szCs w:val="14"/>
                <w:color w:val="auto"/>
              </w:rPr>
              <w:t>Derivatives:</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7"/>
        </w:trPr>
        <w:tc>
          <w:tcPr>
            <w:tcW w:w="48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FIA/ IUL embedded derivatives, included in contractholder funds</w:t>
            </w: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2,941</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2,941</w:t>
            </w:r>
          </w:p>
        </w:tc>
      </w:tr>
      <w:tr>
        <w:trPr>
          <w:trHeight w:val="177"/>
        </w:trPr>
        <w:tc>
          <w:tcPr>
            <w:tcW w:w="4840" w:type="dxa"/>
            <w:vAlign w:val="bottom"/>
          </w:tcPr>
          <w:p>
            <w:pPr>
              <w:ind w:left="460"/>
              <w:spacing w:after="0"/>
              <w:rPr>
                <w:sz w:val="20"/>
                <w:szCs w:val="20"/>
                <w:color w:val="auto"/>
              </w:rPr>
            </w:pPr>
            <w:r>
              <w:rPr>
                <w:rFonts w:ascii="Arial" w:cs="Arial" w:eastAsia="Arial" w:hAnsi="Arial"/>
                <w:sz w:val="14"/>
                <w:szCs w:val="14"/>
                <w:color w:val="auto"/>
              </w:rPr>
              <w:t>Total financial liabilities at fair value</w:t>
            </w:r>
          </w:p>
        </w:tc>
        <w:tc>
          <w:tcPr>
            <w:tcW w:w="2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2,941</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2,941</w:t>
            </w:r>
          </w:p>
        </w:tc>
        <w:tc>
          <w:tcPr>
            <w:tcW w:w="100" w:type="dxa"/>
            <w:vAlign w:val="bottom"/>
          </w:tcPr>
          <w:p>
            <w:pPr>
              <w:spacing w:after="0"/>
              <w:rPr>
                <w:sz w:val="15"/>
                <w:szCs w:val="15"/>
                <w:color w:val="auto"/>
              </w:rPr>
            </w:pPr>
          </w:p>
        </w:tc>
        <w:tc>
          <w:tcPr>
            <w:tcW w:w="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2,941</w:t>
            </w:r>
          </w:p>
        </w:tc>
      </w:tr>
      <w:tr>
        <w:trPr>
          <w:trHeight w:val="20"/>
        </w:trPr>
        <w:tc>
          <w:tcPr>
            <w:tcW w:w="4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5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December 31, 2021</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5"/>
                <w:szCs w:val="15"/>
                <w:color w:val="auto"/>
              </w:rPr>
            </w:pPr>
          </w:p>
        </w:tc>
        <w:tc>
          <w:tcPr>
            <w:tcW w:w="920" w:type="dxa"/>
            <w:vAlign w:val="bottom"/>
          </w:tcPr>
          <w:p>
            <w:pPr>
              <w:jc w:val="right"/>
              <w:ind w:right="290"/>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Level 3</w:t>
            </w:r>
          </w:p>
        </w:tc>
        <w:tc>
          <w:tcPr>
            <w:tcW w:w="180" w:type="dxa"/>
            <w:vAlign w:val="bottom"/>
          </w:tcPr>
          <w:p>
            <w:pPr>
              <w:spacing w:after="0"/>
              <w:rPr>
                <w:sz w:val="15"/>
                <w:szCs w:val="15"/>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Carrying Amount</w:t>
            </w:r>
          </w:p>
        </w:tc>
        <w:tc>
          <w:tcPr>
            <w:tcW w:w="0" w:type="dxa"/>
            <w:vAlign w:val="bottom"/>
          </w:tcPr>
          <w:p>
            <w:pPr>
              <w:spacing w:after="0"/>
              <w:rPr>
                <w:sz w:val="1"/>
                <w:szCs w:val="1"/>
                <w:color w:val="auto"/>
              </w:rPr>
            </w:pPr>
          </w:p>
        </w:tc>
      </w:tr>
      <w:tr>
        <w:trPr>
          <w:trHeight w:val="165"/>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10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200" w:type="dxa"/>
            <w:vAlign w:val="bottom"/>
          </w:tcPr>
          <w:p>
            <w:pPr>
              <w:jc w:val="right"/>
              <w:ind w:right="50"/>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4,360</w:t>
            </w:r>
          </w:p>
        </w:tc>
        <w:tc>
          <w:tcPr>
            <w:tcW w:w="120" w:type="dxa"/>
            <w:vAlign w:val="bottom"/>
          </w:tcPr>
          <w:p>
            <w:pPr>
              <w:spacing w:after="0"/>
              <w:rPr>
                <w:sz w:val="15"/>
                <w:szCs w:val="15"/>
                <w:color w:val="auto"/>
              </w:rPr>
            </w:pPr>
          </w:p>
        </w:tc>
        <w:tc>
          <w:tcPr>
            <w:tcW w:w="200" w:type="dxa"/>
            <w:vAlign w:val="bottom"/>
          </w:tcPr>
          <w:p>
            <w:pPr>
              <w:jc w:val="right"/>
              <w:ind w:right="50"/>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5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30"/>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4,360</w:t>
            </w:r>
          </w:p>
        </w:tc>
        <w:tc>
          <w:tcPr>
            <w:tcW w:w="100" w:type="dxa"/>
            <w:vAlign w:val="bottom"/>
          </w:tcPr>
          <w:p>
            <w:pPr>
              <w:spacing w:after="0"/>
              <w:rPr>
                <w:sz w:val="15"/>
                <w:szCs w:val="15"/>
                <w:color w:val="auto"/>
              </w:rPr>
            </w:pPr>
          </w:p>
        </w:tc>
        <w:tc>
          <w:tcPr>
            <w:tcW w:w="380" w:type="dxa"/>
            <w:vAlign w:val="bottom"/>
          </w:tcPr>
          <w:p>
            <w:pPr>
              <w:ind w:left="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4,360</w:t>
            </w:r>
          </w:p>
        </w:tc>
        <w:tc>
          <w:tcPr>
            <w:tcW w:w="0" w:type="dxa"/>
            <w:vAlign w:val="bottom"/>
          </w:tcPr>
          <w:p>
            <w:pPr>
              <w:spacing w:after="0"/>
              <w:rPr>
                <w:sz w:val="1"/>
                <w:szCs w:val="1"/>
                <w:color w:val="auto"/>
              </w:rPr>
            </w:pPr>
          </w:p>
        </w:tc>
      </w:tr>
      <w:tr>
        <w:trPr>
          <w:trHeight w:val="187"/>
        </w:trPr>
        <w:tc>
          <w:tcPr>
            <w:tcW w:w="5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Fixed maturity securities, available-for-sale:</w:t>
            </w: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100" w:type="dxa"/>
            <w:vAlign w:val="bottom"/>
          </w:tcPr>
          <w:p>
            <w:pPr>
              <w:ind w:left="220"/>
              <w:spacing w:after="0"/>
              <w:rPr>
                <w:sz w:val="20"/>
                <w:szCs w:val="20"/>
                <w:color w:val="auto"/>
              </w:rPr>
            </w:pPr>
            <w:r>
              <w:rPr>
                <w:rFonts w:ascii="Arial" w:cs="Arial" w:eastAsia="Arial" w:hAnsi="Arial"/>
                <w:sz w:val="14"/>
                <w:szCs w:val="14"/>
                <w:color w:val="auto"/>
              </w:rPr>
              <w:t>Asset-backed securities</w:t>
            </w:r>
          </w:p>
        </w:tc>
        <w:tc>
          <w:tcPr>
            <w:tcW w:w="20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4,736</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3,959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8,695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8,695</w:t>
            </w:r>
          </w:p>
        </w:tc>
        <w:tc>
          <w:tcPr>
            <w:tcW w:w="0" w:type="dxa"/>
            <w:vAlign w:val="bottom"/>
          </w:tcPr>
          <w:p>
            <w:pPr>
              <w:spacing w:after="0"/>
              <w:rPr>
                <w:sz w:val="1"/>
                <w:szCs w:val="1"/>
                <w:color w:val="auto"/>
              </w:rPr>
            </w:pPr>
          </w:p>
        </w:tc>
      </w:tr>
      <w:tr>
        <w:trPr>
          <w:trHeight w:val="187"/>
        </w:trPr>
        <w:tc>
          <w:tcPr>
            <w:tcW w:w="51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Commercial mortgage-backed securities</w:t>
            </w: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2,944</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2,979</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2,979</w:t>
            </w:r>
          </w:p>
        </w:tc>
        <w:tc>
          <w:tcPr>
            <w:tcW w:w="0" w:type="dxa"/>
            <w:vAlign w:val="bottom"/>
          </w:tcPr>
          <w:p>
            <w:pPr>
              <w:spacing w:after="0"/>
              <w:rPr>
                <w:sz w:val="1"/>
                <w:szCs w:val="1"/>
                <w:color w:val="auto"/>
              </w:rPr>
            </w:pPr>
          </w:p>
        </w:tc>
      </w:tr>
      <w:tr>
        <w:trPr>
          <w:trHeight w:val="182"/>
        </w:trPr>
        <w:tc>
          <w:tcPr>
            <w:tcW w:w="5100" w:type="dxa"/>
            <w:vAlign w:val="bottom"/>
          </w:tcPr>
          <w:p>
            <w:pPr>
              <w:ind w:left="220"/>
              <w:spacing w:after="0"/>
              <w:rPr>
                <w:sz w:val="20"/>
                <w:szCs w:val="20"/>
                <w:color w:val="auto"/>
              </w:rPr>
            </w:pPr>
            <w:r>
              <w:rPr>
                <w:rFonts w:ascii="Arial" w:cs="Arial" w:eastAsia="Arial" w:hAnsi="Arial"/>
                <w:sz w:val="14"/>
                <w:szCs w:val="14"/>
                <w:color w:val="auto"/>
              </w:rPr>
              <w:t>Corporates</w:t>
            </w: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15,322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1,135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16,494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16,494</w:t>
            </w:r>
          </w:p>
        </w:tc>
        <w:tc>
          <w:tcPr>
            <w:tcW w:w="0" w:type="dxa"/>
            <w:vAlign w:val="bottom"/>
          </w:tcPr>
          <w:p>
            <w:pPr>
              <w:spacing w:after="0"/>
              <w:rPr>
                <w:sz w:val="1"/>
                <w:szCs w:val="1"/>
                <w:color w:val="auto"/>
              </w:rPr>
            </w:pPr>
          </w:p>
        </w:tc>
      </w:tr>
      <w:tr>
        <w:trPr>
          <w:trHeight w:val="187"/>
        </w:trPr>
        <w:tc>
          <w:tcPr>
            <w:tcW w:w="51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Hybrids</w:t>
            </w: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780</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912</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912</w:t>
            </w:r>
          </w:p>
        </w:tc>
        <w:tc>
          <w:tcPr>
            <w:tcW w:w="0" w:type="dxa"/>
            <w:vAlign w:val="bottom"/>
          </w:tcPr>
          <w:p>
            <w:pPr>
              <w:spacing w:after="0"/>
              <w:rPr>
                <w:sz w:val="1"/>
                <w:szCs w:val="1"/>
                <w:color w:val="auto"/>
              </w:rPr>
            </w:pPr>
          </w:p>
        </w:tc>
      </w:tr>
      <w:tr>
        <w:trPr>
          <w:trHeight w:val="182"/>
        </w:trPr>
        <w:tc>
          <w:tcPr>
            <w:tcW w:w="5100" w:type="dxa"/>
            <w:vAlign w:val="bottom"/>
          </w:tcPr>
          <w:p>
            <w:pPr>
              <w:ind w:left="220"/>
              <w:spacing w:after="0"/>
              <w:rPr>
                <w:sz w:val="20"/>
                <w:szCs w:val="20"/>
                <w:color w:val="auto"/>
              </w:rPr>
            </w:pPr>
            <w:r>
              <w:rPr>
                <w:rFonts w:ascii="Arial" w:cs="Arial" w:eastAsia="Arial" w:hAnsi="Arial"/>
                <w:sz w:val="14"/>
                <w:szCs w:val="14"/>
                <w:color w:val="auto"/>
              </w:rPr>
              <w:t>Municipals</w:t>
            </w:r>
          </w:p>
        </w:tc>
        <w:tc>
          <w:tcPr>
            <w:tcW w:w="20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1,458</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1,501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1,501</w:t>
            </w:r>
          </w:p>
        </w:tc>
        <w:tc>
          <w:tcPr>
            <w:tcW w:w="0" w:type="dxa"/>
            <w:vAlign w:val="bottom"/>
          </w:tcPr>
          <w:p>
            <w:pPr>
              <w:spacing w:after="0"/>
              <w:rPr>
                <w:sz w:val="1"/>
                <w:szCs w:val="1"/>
                <w:color w:val="auto"/>
              </w:rPr>
            </w:pPr>
          </w:p>
        </w:tc>
      </w:tr>
      <w:tr>
        <w:trPr>
          <w:trHeight w:val="187"/>
        </w:trPr>
        <w:tc>
          <w:tcPr>
            <w:tcW w:w="51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Residential mortgage-backed securities</w:t>
            </w: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731</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731</w:t>
            </w:r>
          </w:p>
        </w:tc>
        <w:tc>
          <w:tcPr>
            <w:tcW w:w="0" w:type="dxa"/>
            <w:vAlign w:val="bottom"/>
          </w:tcPr>
          <w:p>
            <w:pPr>
              <w:spacing w:after="0"/>
              <w:rPr>
                <w:sz w:val="1"/>
                <w:szCs w:val="1"/>
                <w:color w:val="auto"/>
              </w:rPr>
            </w:pPr>
          </w:p>
        </w:tc>
      </w:tr>
      <w:tr>
        <w:trPr>
          <w:trHeight w:val="182"/>
        </w:trPr>
        <w:tc>
          <w:tcPr>
            <w:tcW w:w="5100" w:type="dxa"/>
            <w:vAlign w:val="bottom"/>
          </w:tcPr>
          <w:p>
            <w:pPr>
              <w:ind w:left="220"/>
              <w:spacing w:after="0"/>
              <w:rPr>
                <w:sz w:val="20"/>
                <w:szCs w:val="20"/>
                <w:color w:val="auto"/>
              </w:rPr>
            </w:pPr>
            <w:r>
              <w:rPr>
                <w:rFonts w:ascii="Arial" w:cs="Arial" w:eastAsia="Arial" w:hAnsi="Arial"/>
                <w:sz w:val="14"/>
                <w:szCs w:val="14"/>
                <w:color w:val="auto"/>
              </w:rPr>
              <w:t>U.S. Government</w:t>
            </w: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394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394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394</w:t>
            </w:r>
          </w:p>
        </w:tc>
        <w:tc>
          <w:tcPr>
            <w:tcW w:w="0" w:type="dxa"/>
            <w:vAlign w:val="bottom"/>
          </w:tcPr>
          <w:p>
            <w:pPr>
              <w:spacing w:after="0"/>
              <w:rPr>
                <w:sz w:val="1"/>
                <w:szCs w:val="1"/>
                <w:color w:val="auto"/>
              </w:rPr>
            </w:pPr>
          </w:p>
        </w:tc>
      </w:tr>
      <w:tr>
        <w:trPr>
          <w:trHeight w:val="187"/>
        </w:trPr>
        <w:tc>
          <w:tcPr>
            <w:tcW w:w="51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Foreign Governments</w:t>
            </w: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284</w:t>
            </w:r>
          </w:p>
        </w:tc>
        <w:tc>
          <w:tcPr>
            <w:tcW w:w="0" w:type="dxa"/>
            <w:vAlign w:val="bottom"/>
          </w:tcPr>
          <w:p>
            <w:pPr>
              <w:spacing w:after="0"/>
              <w:rPr>
                <w:sz w:val="1"/>
                <w:szCs w:val="1"/>
                <w:color w:val="auto"/>
              </w:rPr>
            </w:pPr>
          </w:p>
        </w:tc>
      </w:tr>
      <w:tr>
        <w:trPr>
          <w:trHeight w:val="182"/>
        </w:trPr>
        <w:tc>
          <w:tcPr>
            <w:tcW w:w="5100" w:type="dxa"/>
            <w:vAlign w:val="bottom"/>
          </w:tcPr>
          <w:p>
            <w:pPr>
              <w:ind w:left="20"/>
              <w:spacing w:after="0"/>
              <w:rPr>
                <w:sz w:val="20"/>
                <w:szCs w:val="20"/>
                <w:color w:val="auto"/>
              </w:rPr>
            </w:pPr>
            <w:r>
              <w:rPr>
                <w:rFonts w:ascii="Arial" w:cs="Arial" w:eastAsia="Arial" w:hAnsi="Arial"/>
                <w:sz w:val="14"/>
                <w:szCs w:val="14"/>
                <w:color w:val="auto"/>
              </w:rPr>
              <w:t>Short term investments</w:t>
            </w: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168</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321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491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491</w:t>
            </w:r>
          </w:p>
        </w:tc>
        <w:tc>
          <w:tcPr>
            <w:tcW w:w="0" w:type="dxa"/>
            <w:vAlign w:val="bottom"/>
          </w:tcPr>
          <w:p>
            <w:pPr>
              <w:spacing w:after="0"/>
              <w:rPr>
                <w:sz w:val="1"/>
                <w:szCs w:val="1"/>
                <w:color w:val="auto"/>
              </w:rPr>
            </w:pPr>
          </w:p>
        </w:tc>
      </w:tr>
      <w:tr>
        <w:trPr>
          <w:trHeight w:val="187"/>
        </w:trPr>
        <w:tc>
          <w:tcPr>
            <w:tcW w:w="5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Preferred securities</w:t>
            </w: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506</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1,401</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1,401</w:t>
            </w:r>
          </w:p>
        </w:tc>
        <w:tc>
          <w:tcPr>
            <w:tcW w:w="0" w:type="dxa"/>
            <w:vAlign w:val="bottom"/>
          </w:tcPr>
          <w:p>
            <w:pPr>
              <w:spacing w:after="0"/>
              <w:rPr>
                <w:sz w:val="1"/>
                <w:szCs w:val="1"/>
                <w:color w:val="auto"/>
              </w:rPr>
            </w:pPr>
          </w:p>
        </w:tc>
      </w:tr>
      <w:tr>
        <w:trPr>
          <w:trHeight w:val="182"/>
        </w:trPr>
        <w:tc>
          <w:tcPr>
            <w:tcW w:w="5100" w:type="dxa"/>
            <w:vAlign w:val="bottom"/>
          </w:tcPr>
          <w:p>
            <w:pPr>
              <w:ind w:left="20"/>
              <w:spacing w:after="0"/>
              <w:rPr>
                <w:sz w:val="20"/>
                <w:szCs w:val="20"/>
                <w:color w:val="auto"/>
              </w:rPr>
            </w:pPr>
            <w:r>
              <w:rPr>
                <w:rFonts w:ascii="Arial" w:cs="Arial" w:eastAsia="Arial" w:hAnsi="Arial"/>
                <w:sz w:val="14"/>
                <w:szCs w:val="14"/>
                <w:color w:val="auto"/>
              </w:rPr>
              <w:t>Equity securities</w:t>
            </w: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1,206</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1,215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1,215</w:t>
            </w:r>
          </w:p>
        </w:tc>
        <w:tc>
          <w:tcPr>
            <w:tcW w:w="0" w:type="dxa"/>
            <w:vAlign w:val="bottom"/>
          </w:tcPr>
          <w:p>
            <w:pPr>
              <w:spacing w:after="0"/>
              <w:rPr>
                <w:sz w:val="1"/>
                <w:szCs w:val="1"/>
                <w:color w:val="auto"/>
              </w:rPr>
            </w:pPr>
          </w:p>
        </w:tc>
      </w:tr>
      <w:tr>
        <w:trPr>
          <w:trHeight w:val="187"/>
        </w:trPr>
        <w:tc>
          <w:tcPr>
            <w:tcW w:w="5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Derivative investments</w:t>
            </w: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816</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816</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816</w:t>
            </w:r>
          </w:p>
        </w:tc>
        <w:tc>
          <w:tcPr>
            <w:tcW w:w="0" w:type="dxa"/>
            <w:vAlign w:val="bottom"/>
          </w:tcPr>
          <w:p>
            <w:pPr>
              <w:spacing w:after="0"/>
              <w:rPr>
                <w:sz w:val="1"/>
                <w:szCs w:val="1"/>
                <w:color w:val="auto"/>
              </w:rPr>
            </w:pPr>
          </w:p>
        </w:tc>
      </w:tr>
      <w:tr>
        <w:trPr>
          <w:trHeight w:val="182"/>
        </w:trPr>
        <w:tc>
          <w:tcPr>
            <w:tcW w:w="5100" w:type="dxa"/>
            <w:vAlign w:val="bottom"/>
          </w:tcPr>
          <w:p>
            <w:pPr>
              <w:ind w:left="20"/>
              <w:spacing w:after="0"/>
              <w:rPr>
                <w:sz w:val="20"/>
                <w:szCs w:val="20"/>
                <w:color w:val="auto"/>
              </w:rPr>
            </w:pPr>
            <w:r>
              <w:rPr>
                <w:rFonts w:ascii="Arial" w:cs="Arial" w:eastAsia="Arial" w:hAnsi="Arial"/>
                <w:sz w:val="14"/>
                <w:szCs w:val="14"/>
                <w:color w:val="auto"/>
              </w:rPr>
              <w:t>Other long-term investments</w:t>
            </w:r>
          </w:p>
        </w:tc>
        <w:tc>
          <w:tcPr>
            <w:tcW w:w="20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205"/>
        </w:trPr>
        <w:tc>
          <w:tcPr>
            <w:tcW w:w="510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Total financial assets at fair value</w:t>
            </w: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6,803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27,948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5,600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40,351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40,351</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Liabilities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51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1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Derivatives:</w:t>
            </w: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100" w:type="dxa"/>
            <w:vAlign w:val="bottom"/>
          </w:tcPr>
          <w:p>
            <w:pPr>
              <w:ind w:left="220"/>
              <w:spacing w:after="0"/>
              <w:rPr>
                <w:sz w:val="20"/>
                <w:szCs w:val="20"/>
                <w:color w:val="auto"/>
              </w:rPr>
            </w:pPr>
            <w:r>
              <w:rPr>
                <w:rFonts w:ascii="Arial" w:cs="Arial" w:eastAsia="Arial" w:hAnsi="Arial"/>
                <w:sz w:val="14"/>
                <w:szCs w:val="14"/>
                <w:color w:val="auto"/>
              </w:rPr>
              <w:t>FIA/ IUL embedded derivatives, included in contractholder funds</w:t>
            </w:r>
          </w:p>
        </w:tc>
        <w:tc>
          <w:tcPr>
            <w:tcW w:w="20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3,883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3,883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3,883</w:t>
            </w:r>
          </w:p>
        </w:tc>
        <w:tc>
          <w:tcPr>
            <w:tcW w:w="0" w:type="dxa"/>
            <w:vAlign w:val="bottom"/>
          </w:tcPr>
          <w:p>
            <w:pPr>
              <w:spacing w:after="0"/>
              <w:rPr>
                <w:sz w:val="1"/>
                <w:szCs w:val="1"/>
                <w:color w:val="auto"/>
              </w:rPr>
            </w:pPr>
          </w:p>
        </w:tc>
      </w:tr>
      <w:tr>
        <w:trPr>
          <w:trHeight w:val="134"/>
        </w:trPr>
        <w:tc>
          <w:tcPr>
            <w:tcW w:w="5100" w:type="dxa"/>
            <w:vAlign w:val="bottom"/>
            <w:shd w:val="clear" w:color="auto" w:fill="CCEEFF"/>
          </w:tcPr>
          <w:p>
            <w:pPr>
              <w:ind w:left="220"/>
              <w:spacing w:after="0" w:line="135" w:lineRule="exact"/>
              <w:rPr>
                <w:sz w:val="20"/>
                <w:szCs w:val="20"/>
                <w:color w:val="auto"/>
              </w:rPr>
            </w:pPr>
            <w:r>
              <w:rPr>
                <w:rFonts w:ascii="Arial" w:cs="Arial" w:eastAsia="Arial" w:hAnsi="Arial"/>
                <w:sz w:val="14"/>
                <w:szCs w:val="14"/>
                <w:color w:val="auto"/>
                <w:w w:val="90"/>
              </w:rPr>
              <w:t>Reinsurance related embedded derivatives, included in accounts payable and accrued</w:t>
            </w:r>
          </w:p>
        </w:tc>
        <w:tc>
          <w:tcPr>
            <w:tcW w:w="20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84"/>
        </w:trPr>
        <w:tc>
          <w:tcPr>
            <w:tcW w:w="51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liabilities</w:t>
            </w:r>
          </w:p>
        </w:tc>
        <w:tc>
          <w:tcPr>
            <w:tcW w:w="20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5100" w:type="dxa"/>
            <w:vAlign w:val="bottom"/>
          </w:tcPr>
          <w:p>
            <w:pPr>
              <w:ind w:left="440"/>
              <w:spacing w:after="0"/>
              <w:rPr>
                <w:sz w:val="20"/>
                <w:szCs w:val="20"/>
                <w:color w:val="auto"/>
              </w:rPr>
            </w:pPr>
            <w:r>
              <w:rPr>
                <w:rFonts w:ascii="Arial" w:cs="Arial" w:eastAsia="Arial" w:hAnsi="Arial"/>
                <w:sz w:val="14"/>
                <w:szCs w:val="14"/>
                <w:color w:val="auto"/>
              </w:rPr>
              <w:t>Total financial liabilities at fair value</w:t>
            </w: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73</w:t>
            </w:r>
          </w:p>
        </w:tc>
        <w:tc>
          <w:tcPr>
            <w:tcW w:w="12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3,883</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3,956</w:t>
            </w:r>
          </w:p>
        </w:tc>
        <w:tc>
          <w:tcPr>
            <w:tcW w:w="100" w:type="dxa"/>
            <w:vAlign w:val="bottom"/>
          </w:tcPr>
          <w:p>
            <w:pPr>
              <w:spacing w:after="0"/>
              <w:rPr>
                <w:sz w:val="15"/>
                <w:szCs w:val="15"/>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3,956</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Methodologies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6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carrying amounts reported in the unaudited Condensed Consolidated Balance Sheets for these instruments approximate fair value.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 Maturity Preferred and Equity Securities</w:t>
      </w:r>
    </w:p>
    <w:p>
      <w:pPr>
        <w:spacing w:after="0" w:line="135" w:lineRule="exact"/>
        <w:rPr>
          <w:sz w:val="20"/>
          <w:szCs w:val="20"/>
          <w:color w:val="auto"/>
        </w:rPr>
      </w:pPr>
    </w:p>
    <w:p>
      <w:pPr>
        <w:jc w:val="both"/>
        <w:ind w:firstLine="395"/>
        <w:spacing w:after="0" w:line="281" w:lineRule="auto"/>
        <w:rPr>
          <w:sz w:val="20"/>
          <w:szCs w:val="20"/>
          <w:color w:val="auto"/>
        </w:rPr>
      </w:pPr>
      <w:r>
        <w:rPr>
          <w:rFonts w:ascii="Arial" w:cs="Arial" w:eastAsia="Arial" w:hAnsi="Arial"/>
          <w:sz w:val="16"/>
          <w:szCs w:val="16"/>
          <w:color w:val="auto"/>
        </w:rPr>
        <w:t>We measure the fair value of our securities based on assumptions used by market participants in pricing the security. The most appropriate valuation methodology is selected based on the specific characteristics of the fixed maturity, preferred or equity security, and we will then consistently apply the valuation methodology to measure the security’s fair value. Our fair value measurement is based on a market approach, which utilizes prices and other relevant information generated by market transactions involving identical or comparable securities. Sources of inputs to the market approach include third-party pricing services, independent broker quotations, or pricing matrices. We use observable and unobservable inputs in our valuation methodologies. Observable inputs include benchmark yields, reported trades, broker-dealer quotes, issuer spreads, two-sided markets, benchmark securities, bids, offers, and reference data including market research publications. In addition, market indicators and industry and economic events are monitored and further market data will be acquired when certain thresholds are met.</w:t>
      </w:r>
    </w:p>
    <w:p>
      <w:pPr>
        <w:spacing w:after="0" w:line="79"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For certain security types, additional inputs may be used, or some of the inputs described above may not be applicable. The significant input used in the fair value measurement of equity securities for which the market approach valuation technique is employed is yield for comparable securities. Increases or decreases in the yields would result in lower or higher, respectively, fair value measurements. For broker-quoted only securities, quotes from market makers or broker-dealers are obtained from sources recognized to be market participants. We believe the broker quotes are prices at which trades could be executed based on historical trades executed at broker-quoted or slightly higher prices.</w:t>
      </w:r>
    </w:p>
    <w:p>
      <w:pPr>
        <w:spacing w:after="0" w:line="71"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We analyze the third-party valuation methodologies and related inputs to perform assessments to determine the appropriate level within the fair value hierarchy. However, we did not adjust prices received from third parties as of June 30, 2022 or December 31, 2021.</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Certain equity investments are measured using NAV as a practical expedient in determining fair value.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135"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The fair value of call options is based upon valuation pricing models, which represents what we would expect to receive or pay at the balance sheet date if we canceled the options, entered into offsetting positions, or exercised the options. Fair values for these instruments are determined internally, based on industry accepted valuation pricing models, which use market-observable inputs, including interest rates, yield curve volatilities, and other factors.</w:t>
      </w:r>
    </w:p>
    <w:p>
      <w:pPr>
        <w:spacing w:after="0" w:line="62"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The fair value of futures contracts (specifically for FIA contracts) represents the cumulative unsettled variation margin (open trade equity, net of cash settlements), which represents what we would expect to receive or pay at the balance sheet date if we canceled the contracts or entered into offsetting positions. These contracts are classified as Level 1.</w:t>
      </w:r>
    </w:p>
    <w:p>
      <w:pPr>
        <w:spacing w:after="0" w:line="98" w:lineRule="exact"/>
        <w:rPr>
          <w:sz w:val="20"/>
          <w:szCs w:val="20"/>
          <w:color w:val="auto"/>
        </w:rPr>
      </w:pPr>
    </w:p>
    <w:p>
      <w:pPr>
        <w:jc w:val="both"/>
        <w:ind w:firstLine="395"/>
        <w:spacing w:after="0" w:line="281" w:lineRule="auto"/>
        <w:rPr>
          <w:sz w:val="20"/>
          <w:szCs w:val="20"/>
          <w:color w:val="auto"/>
        </w:rPr>
      </w:pPr>
      <w:r>
        <w:rPr>
          <w:rFonts w:ascii="Arial" w:cs="Arial" w:eastAsia="Arial" w:hAnsi="Arial"/>
          <w:sz w:val="16"/>
          <w:szCs w:val="16"/>
          <w:color w:val="auto"/>
        </w:rPr>
        <w:t>The fair value measurement of the FIA/IUL embedded derivatives included in contractholder funds is determined through a combination of market observable information and significant unobservable inputs using the option budget method. The market observable inputs are the market value of option and treasury rates. The significant unobservable inputs are the budgeted option cost (i.e., the expected cost to purchase call options in future periods to fund the equity indexed linked feature), surrender rates, mortality multiplier and non-performance spread. The mortality multiplier at June 30, 2022 was applied to the 2012 Individual Annuity mortality tables. Increases or decreases in the market value of an option in isolation would result in a higher or lower, respectively, fair value measurement. Increases or decreases in treasury rates, mortality multiplier, surrender rates, or non-performance spread in isolation would result in a lower or higher fair value measurement, respectively. Generally, a change in any one unobservable input would not directly result in a change in any other unobservable input.</w:t>
      </w:r>
    </w:p>
    <w:p>
      <w:pPr>
        <w:spacing w:after="0" w:line="93"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 xml:space="preserve">The fair value of the reinsurance-related embedded derivatives in the funds withheld reinsurance agreements with Kubera Insurance (SAC) Ltd. ("Kubera") (effective October 31, 2021, this agreement was novated from Kubera to Somerset Reinsurance Ltd. ("Somerset"), a certified third party reinsurer) and ASPIDA Life Re Ltd ("Aspida Re") are estimated based upon the fair value of the assets supporting the funds withheld from reinsurance liabilities. The fair value of the assets is based on a quoted market price of similar assets (Level 2), and therefore the fair value of the embedded derivative is based on market-observable inputs and classified as Level 2. See Note L </w:t>
      </w:r>
      <w:r>
        <w:rPr>
          <w:rFonts w:ascii="Arial" w:cs="Arial" w:eastAsia="Arial" w:hAnsi="Arial"/>
          <w:sz w:val="16"/>
          <w:szCs w:val="16"/>
          <w:i w:val="1"/>
          <w:iCs w:val="1"/>
          <w:color w:val="auto"/>
        </w:rPr>
        <w:t>F&amp;G Reinsurance</w:t>
      </w:r>
      <w:r>
        <w:rPr>
          <w:rFonts w:ascii="Arial" w:cs="Arial" w:eastAsia="Arial" w:hAnsi="Arial"/>
          <w:sz w:val="16"/>
          <w:szCs w:val="16"/>
          <w:color w:val="auto"/>
        </w:rPr>
        <w:t xml:space="preserve"> for further discussion on F&amp;G reinsurance agreements.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long-term investments</w:t>
      </w:r>
    </w:p>
    <w:p>
      <w:pPr>
        <w:spacing w:after="0" w:line="122"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color w:val="auto"/>
        </w:rPr>
        <w:t xml:space="preserve">We hold a fund-linked note, which provides for an additional payment at maturity based on the value of an embedded derivative based on the actual return of a dedicated return fund. Fair value of the embedded derivative is based on an unobservable input, the net asset value of the fund at the balance sheet date. The embedded derivative is similar to a call option on the net asset value of the fund with a strike price of zero since F&amp;G will not be required to make any additional payments at maturity of the fund-linked note in order to receive the net asset value of the fund on the maturity date. A Black-Scholes model determines the net asset value of the fund as the fair value of the call option regardless of the values used for the other inputs to the option pricing model. The net asset value of the fund is provided by the fund manager at the end of each calendar month and represents the value an investor would receive if it withdrew its investment on the balance sheet date. Therefore, the key unobservable input used in the Black-Scholes model is the value of the fund. As the value of the fund increases or decreases, the fair value of the embedded derivative will increase or decrease. See further discussion on the available-for-sale embedded derivative in Note E </w:t>
      </w:r>
      <w:r>
        <w:rPr>
          <w:rFonts w:ascii="Arial" w:cs="Arial" w:eastAsia="Arial" w:hAnsi="Arial"/>
          <w:sz w:val="16"/>
          <w:szCs w:val="16"/>
          <w:i w:val="1"/>
          <w:iCs w:val="1"/>
          <w:color w:val="auto"/>
        </w:rPr>
        <w:t>Derivative Financial Instruments</w:t>
      </w:r>
      <w:r>
        <w:rPr>
          <w:rFonts w:ascii="Arial" w:cs="Arial" w:eastAsia="Arial" w:hAnsi="Arial"/>
          <w:sz w:val="16"/>
          <w:szCs w:val="16"/>
          <w:color w:val="auto"/>
        </w:rPr>
        <w:t>.</w:t>
      </w:r>
    </w:p>
    <w:p>
      <w:pPr>
        <w:spacing w:after="0" w:line="81"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The fair value of the credit-linked note is based on a weighted average of a broker quote and a discounted cash flow analysis. The discounted cash flow approach is based on the expected portfolio cash flows and amortization schedule reflecting investment expectations, adjusted for assumptions on the portfolio's default and recovery rates, and the note's discount rate. The fair value of the note is provided by the fund manager at the end of each quarter.</w:t>
      </w:r>
    </w:p>
    <w:p>
      <w:pPr>
        <w:spacing w:after="0" w:line="312" w:lineRule="exact"/>
        <w:rPr>
          <w:sz w:val="20"/>
          <w:szCs w:val="20"/>
          <w:color w:val="auto"/>
        </w:rPr>
      </w:pPr>
    </w:p>
    <w:p>
      <w:pPr>
        <w:jc w:val="both"/>
        <w:ind w:firstLine="316"/>
        <w:spacing w:after="0" w:line="261" w:lineRule="auto"/>
        <w:rPr>
          <w:sz w:val="20"/>
          <w:szCs w:val="20"/>
          <w:color w:val="auto"/>
        </w:rPr>
      </w:pPr>
      <w:r>
        <w:rPr>
          <w:rFonts w:ascii="Arial" w:cs="Arial" w:eastAsia="Arial" w:hAnsi="Arial"/>
          <w:sz w:val="18"/>
          <w:szCs w:val="18"/>
          <w:color w:val="auto"/>
        </w:rPr>
        <w:t>Quantitative information regarding significant unobservable inputs used for recurring Level 3 fair value measurements of financial instruments carried at fair value as of June 30, 2022 and December 31, 2021 are as follows: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10" w:type="dxa"/>
        <w:tblCellMar>
          <w:top w:w="0" w:type="dxa"/>
          <w:left w:w="0" w:type="dxa"/>
          <w:bottom w:w="0" w:type="dxa"/>
          <w:right w:w="0" w:type="dxa"/>
        </w:tblCellMar>
      </w:tblPr>
      <w:tr>
        <w:trPr>
          <w:trHeight w:val="205"/>
        </w:trPr>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center"/>
              <w:ind w:right="161"/>
              <w:spacing w:after="0"/>
              <w:rPr>
                <w:sz w:val="20"/>
                <w:szCs w:val="20"/>
                <w:color w:val="auto"/>
              </w:rPr>
            </w:pPr>
            <w:r>
              <w:rPr>
                <w:rFonts w:ascii="Arial" w:cs="Arial" w:eastAsia="Arial" w:hAnsi="Arial"/>
                <w:sz w:val="16"/>
                <w:szCs w:val="16"/>
                <w:b w:val="1"/>
                <w:bCs w:val="1"/>
                <w:color w:val="auto"/>
                <w:w w:val="92"/>
              </w:rPr>
              <w:t>Fair Value at</w:t>
            </w: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center"/>
              <w:ind w:right="161"/>
              <w:spacing w:after="0"/>
              <w:rPr>
                <w:sz w:val="20"/>
                <w:szCs w:val="20"/>
                <w:color w:val="auto"/>
              </w:rPr>
            </w:pPr>
            <w:r>
              <w:rPr>
                <w:rFonts w:ascii="Arial" w:cs="Arial" w:eastAsia="Arial" w:hAnsi="Arial"/>
                <w:sz w:val="16"/>
                <w:szCs w:val="16"/>
                <w:b w:val="1"/>
                <w:bCs w:val="1"/>
                <w:color w:val="auto"/>
                <w:w w:val="88"/>
              </w:rPr>
              <w:t>June 30, 2022</w:t>
            </w: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vMerge w:val="restart"/>
          </w:tcPr>
          <w:p>
            <w:pPr>
              <w:ind w:left="80"/>
              <w:spacing w:after="0"/>
              <w:rPr>
                <w:sz w:val="20"/>
                <w:szCs w:val="20"/>
                <w:color w:val="auto"/>
              </w:rPr>
            </w:pPr>
            <w:r>
              <w:rPr>
                <w:rFonts w:ascii="Arial" w:cs="Arial" w:eastAsia="Arial" w:hAnsi="Arial"/>
                <w:sz w:val="16"/>
                <w:szCs w:val="16"/>
                <w:b w:val="1"/>
                <w:bCs w:val="1"/>
                <w:color w:val="auto"/>
                <w:w w:val="91"/>
              </w:rPr>
              <w:t>Range (Weighted average)</w:t>
            </w:r>
          </w:p>
        </w:tc>
        <w:tc>
          <w:tcPr>
            <w:tcW w:w="0" w:type="dxa"/>
            <w:vAlign w:val="bottom"/>
          </w:tcPr>
          <w:p>
            <w:pPr>
              <w:spacing w:after="0"/>
              <w:rPr>
                <w:sz w:val="1"/>
                <w:szCs w:val="1"/>
                <w:color w:val="auto"/>
              </w:rPr>
            </w:pPr>
          </w:p>
        </w:tc>
      </w:tr>
      <w:tr>
        <w:trPr>
          <w:trHeight w:val="53"/>
        </w:trPr>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9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center"/>
              <w:ind w:right="141"/>
              <w:spacing w:after="0"/>
              <w:rPr>
                <w:sz w:val="20"/>
                <w:szCs w:val="20"/>
                <w:color w:val="auto"/>
              </w:rPr>
            </w:pPr>
            <w:r>
              <w:rPr>
                <w:rFonts w:ascii="Arial" w:cs="Arial" w:eastAsia="Arial" w:hAnsi="Arial"/>
                <w:sz w:val="16"/>
                <w:szCs w:val="16"/>
                <w:b w:val="1"/>
                <w:bCs w:val="1"/>
                <w:color w:val="auto"/>
                <w:w w:val="91"/>
              </w:rPr>
              <w:t>(in millions)</w:t>
            </w:r>
          </w:p>
        </w:tc>
        <w:tc>
          <w:tcPr>
            <w:tcW w:w="100" w:type="dxa"/>
            <w:vAlign w:val="bottom"/>
          </w:tcPr>
          <w:p>
            <w:pPr>
              <w:spacing w:after="0"/>
              <w:rPr>
                <w:sz w:val="18"/>
                <w:szCs w:val="18"/>
                <w:color w:val="auto"/>
              </w:rPr>
            </w:pPr>
          </w:p>
        </w:tc>
        <w:tc>
          <w:tcPr>
            <w:tcW w:w="2120" w:type="dxa"/>
            <w:vAlign w:val="bottom"/>
            <w:gridSpan w:val="2"/>
          </w:tcPr>
          <w:p>
            <w:pPr>
              <w:ind w:left="320"/>
              <w:spacing w:after="0"/>
              <w:rPr>
                <w:sz w:val="20"/>
                <w:szCs w:val="20"/>
                <w:color w:val="auto"/>
              </w:rPr>
            </w:pPr>
            <w:r>
              <w:rPr>
                <w:rFonts w:ascii="Arial" w:cs="Arial" w:eastAsia="Arial" w:hAnsi="Arial"/>
                <w:sz w:val="16"/>
                <w:szCs w:val="16"/>
                <w:b w:val="1"/>
                <w:bCs w:val="1"/>
                <w:color w:val="auto"/>
              </w:rPr>
              <w:t>Valuation Technique</w:t>
            </w:r>
          </w:p>
        </w:tc>
        <w:tc>
          <w:tcPr>
            <w:tcW w:w="1760" w:type="dxa"/>
            <w:vAlign w:val="bottom"/>
            <w:gridSpan w:val="2"/>
          </w:tcPr>
          <w:p>
            <w:pPr>
              <w:ind w:left="80"/>
              <w:spacing w:after="0"/>
              <w:rPr>
                <w:sz w:val="20"/>
                <w:szCs w:val="20"/>
                <w:color w:val="auto"/>
              </w:rPr>
            </w:pPr>
            <w:r>
              <w:rPr>
                <w:rFonts w:ascii="Arial" w:cs="Arial" w:eastAsia="Arial" w:hAnsi="Arial"/>
                <w:sz w:val="16"/>
                <w:szCs w:val="16"/>
                <w:b w:val="1"/>
                <w:bCs w:val="1"/>
                <w:color w:val="auto"/>
                <w:w w:val="98"/>
              </w:rPr>
              <w:t>Unobservable Input(s)</w:t>
            </w:r>
          </w:p>
        </w:tc>
        <w:tc>
          <w:tcPr>
            <w:tcW w:w="1940" w:type="dxa"/>
            <w:vAlign w:val="bottom"/>
          </w:tcPr>
          <w:p>
            <w:pPr>
              <w:ind w:left="520"/>
              <w:spacing w:after="0"/>
              <w:rPr>
                <w:sz w:val="20"/>
                <w:szCs w:val="20"/>
                <w:color w:val="auto"/>
              </w:rPr>
            </w:pPr>
            <w:r>
              <w:rPr>
                <w:rFonts w:ascii="Arial" w:cs="Arial" w:eastAsia="Arial" w:hAnsi="Arial"/>
                <w:sz w:val="16"/>
                <w:szCs w:val="16"/>
                <w:b w:val="1"/>
                <w:bCs w:val="1"/>
                <w:color w:val="auto"/>
              </w:rPr>
              <w:t>June 30, 2022</w:t>
            </w:r>
          </w:p>
        </w:tc>
        <w:tc>
          <w:tcPr>
            <w:tcW w:w="0" w:type="dxa"/>
            <w:vAlign w:val="bottom"/>
          </w:tcPr>
          <w:p>
            <w:pPr>
              <w:spacing w:after="0"/>
              <w:rPr>
                <w:sz w:val="1"/>
                <w:szCs w:val="1"/>
                <w:color w:val="auto"/>
              </w:rPr>
            </w:pPr>
          </w:p>
        </w:tc>
      </w:tr>
      <w:tr>
        <w:trPr>
          <w:trHeight w:val="154"/>
        </w:trPr>
        <w:tc>
          <w:tcPr>
            <w:tcW w:w="3680" w:type="dxa"/>
            <w:vAlign w:val="bottom"/>
            <w:tcBorders>
              <w:top w:val="single" w:sz="8" w:color="CCEEFF"/>
              <w:left w:val="single" w:sz="8" w:color="CCEEFF"/>
            </w:tcBorders>
            <w:gridSpan w:val="3"/>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rPr>
              <w:t>Assets</w:t>
            </w:r>
          </w:p>
        </w:tc>
        <w:tc>
          <w:tcPr>
            <w:tcW w:w="240" w:type="dxa"/>
            <w:vAlign w:val="bottom"/>
            <w:tcBorders>
              <w:top w:val="single" w:sz="8" w:color="auto"/>
            </w:tcBorders>
            <w:shd w:val="clear" w:color="auto" w:fill="CCEEFF"/>
          </w:tcPr>
          <w:p>
            <w:pPr>
              <w:spacing w:after="0"/>
              <w:rPr>
                <w:sz w:val="13"/>
                <w:szCs w:val="13"/>
                <w:color w:val="auto"/>
              </w:rPr>
            </w:pPr>
          </w:p>
        </w:tc>
        <w:tc>
          <w:tcPr>
            <w:tcW w:w="14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9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440" w:type="dxa"/>
            <w:vAlign w:val="bottom"/>
            <w:tcBorders>
              <w:left w:val="single" w:sz="8" w:color="CCEEFF"/>
            </w:tcBorders>
            <w:shd w:val="clear" w:color="auto" w:fill="000000"/>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9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9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7"/>
        </w:trPr>
        <w:tc>
          <w:tcPr>
            <w:tcW w:w="3680" w:type="dxa"/>
            <w:vAlign w:val="bottom"/>
            <w:gridSpan w:val="3"/>
          </w:tcPr>
          <w:p>
            <w:pPr>
              <w:ind w:left="20"/>
              <w:spacing w:after="0"/>
              <w:rPr>
                <w:sz w:val="20"/>
                <w:szCs w:val="20"/>
                <w:color w:val="auto"/>
              </w:rPr>
            </w:pPr>
            <w:r>
              <w:rPr>
                <w:rFonts w:ascii="Arial" w:cs="Arial" w:eastAsia="Arial" w:hAnsi="Arial"/>
                <w:sz w:val="16"/>
                <w:szCs w:val="16"/>
                <w:color w:val="auto"/>
              </w:rPr>
              <w:t>Asset-backed securities</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4,517</w:t>
            </w:r>
          </w:p>
        </w:tc>
        <w:tc>
          <w:tcPr>
            <w:tcW w:w="100" w:type="dxa"/>
            <w:vAlign w:val="bottom"/>
          </w:tcPr>
          <w:p>
            <w:pPr>
              <w:spacing w:after="0"/>
              <w:rPr>
                <w:sz w:val="18"/>
                <w:szCs w:val="18"/>
                <w:color w:val="auto"/>
              </w:rPr>
            </w:pPr>
          </w:p>
        </w:tc>
        <w:tc>
          <w:tcPr>
            <w:tcW w:w="2120" w:type="dxa"/>
            <w:vAlign w:val="bottom"/>
            <w:gridSpan w:val="2"/>
          </w:tcPr>
          <w:p>
            <w:pPr>
              <w:ind w:left="60"/>
              <w:spacing w:after="0"/>
              <w:rPr>
                <w:sz w:val="20"/>
                <w:szCs w:val="20"/>
                <w:color w:val="auto"/>
              </w:rPr>
            </w:pPr>
            <w:r>
              <w:rPr>
                <w:rFonts w:ascii="Arial" w:cs="Arial" w:eastAsia="Arial" w:hAnsi="Arial"/>
                <w:sz w:val="16"/>
                <w:szCs w:val="16"/>
                <w:color w:val="auto"/>
              </w:rPr>
              <w:t>Broker-quoted</w:t>
            </w:r>
          </w:p>
        </w:tc>
        <w:tc>
          <w:tcPr>
            <w:tcW w:w="1760" w:type="dxa"/>
            <w:vAlign w:val="bottom"/>
            <w:gridSpan w:val="2"/>
          </w:tcPr>
          <w:p>
            <w:pPr>
              <w:ind w:left="60"/>
              <w:spacing w:after="0"/>
              <w:rPr>
                <w:sz w:val="20"/>
                <w:szCs w:val="20"/>
                <w:color w:val="auto"/>
              </w:rPr>
            </w:pPr>
            <w:r>
              <w:rPr>
                <w:rFonts w:ascii="Arial" w:cs="Arial" w:eastAsia="Arial" w:hAnsi="Arial"/>
                <w:sz w:val="16"/>
                <w:szCs w:val="16"/>
                <w:color w:val="auto"/>
              </w:rPr>
              <w:t>Offered quotes</w:t>
            </w:r>
          </w:p>
        </w:tc>
        <w:tc>
          <w:tcPr>
            <w:tcW w:w="1940" w:type="dxa"/>
            <w:vAlign w:val="bottom"/>
          </w:tcPr>
          <w:p>
            <w:pPr>
              <w:ind w:left="20"/>
              <w:spacing w:after="0"/>
              <w:rPr>
                <w:sz w:val="20"/>
                <w:szCs w:val="20"/>
                <w:color w:val="auto"/>
              </w:rPr>
            </w:pPr>
            <w:r>
              <w:rPr>
                <w:rFonts w:ascii="Arial" w:cs="Arial" w:eastAsia="Arial" w:hAnsi="Arial"/>
                <w:sz w:val="16"/>
                <w:szCs w:val="16"/>
                <w:color w:val="auto"/>
                <w:w w:val="94"/>
              </w:rPr>
              <w:t>41.02% - 228.74% (92.19%)</w:t>
            </w:r>
          </w:p>
        </w:tc>
        <w:tc>
          <w:tcPr>
            <w:tcW w:w="0" w:type="dxa"/>
            <w:vAlign w:val="bottom"/>
          </w:tcPr>
          <w:p>
            <w:pPr>
              <w:spacing w:after="0"/>
              <w:rPr>
                <w:sz w:val="1"/>
                <w:szCs w:val="1"/>
                <w:color w:val="auto"/>
              </w:rPr>
            </w:pPr>
          </w:p>
        </w:tc>
      </w:tr>
      <w:tr>
        <w:trPr>
          <w:trHeight w:val="214"/>
        </w:trPr>
        <w:tc>
          <w:tcPr>
            <w:tcW w:w="3680" w:type="dxa"/>
            <w:vAlign w:val="bottom"/>
            <w:tcBorders>
              <w:left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Asset-backed securities</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0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Third-Party Valuation</w:t>
            </w:r>
          </w:p>
        </w:tc>
        <w:tc>
          <w:tcPr>
            <w:tcW w:w="17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Offered quotes</w:t>
            </w:r>
          </w:p>
        </w:tc>
        <w:tc>
          <w:tcPr>
            <w:tcW w:w="19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4"/>
              </w:rPr>
              <w:t>66.37% - 100.34% (98.38%)</w:t>
            </w:r>
          </w:p>
        </w:tc>
        <w:tc>
          <w:tcPr>
            <w:tcW w:w="0" w:type="dxa"/>
            <w:vAlign w:val="bottom"/>
          </w:tcPr>
          <w:p>
            <w:pPr>
              <w:spacing w:after="0"/>
              <w:rPr>
                <w:sz w:val="1"/>
                <w:szCs w:val="1"/>
                <w:color w:val="auto"/>
              </w:rPr>
            </w:pPr>
          </w:p>
        </w:tc>
      </w:tr>
      <w:tr>
        <w:trPr>
          <w:trHeight w:val="161"/>
        </w:trPr>
        <w:tc>
          <w:tcPr>
            <w:tcW w:w="3680" w:type="dxa"/>
            <w:vAlign w:val="bottom"/>
            <w:gridSpan w:val="3"/>
            <w:vMerge w:val="restart"/>
          </w:tcPr>
          <w:p>
            <w:pPr>
              <w:ind w:left="20"/>
              <w:spacing w:after="0"/>
              <w:rPr>
                <w:sz w:val="20"/>
                <w:szCs w:val="20"/>
                <w:color w:val="auto"/>
              </w:rPr>
            </w:pPr>
            <w:r>
              <w:rPr>
                <w:rFonts w:ascii="Arial" w:cs="Arial" w:eastAsia="Arial" w:hAnsi="Arial"/>
                <w:sz w:val="16"/>
                <w:szCs w:val="16"/>
                <w:color w:val="auto"/>
              </w:rPr>
              <w:t>Commercial mortgage-backed securities</w:t>
            </w:r>
          </w:p>
        </w:tc>
        <w:tc>
          <w:tcPr>
            <w:tcW w:w="24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4"/>
                <w:szCs w:val="14"/>
                <w:color w:val="auto"/>
              </w:rPr>
            </w:pPr>
          </w:p>
        </w:tc>
        <w:tc>
          <w:tcPr>
            <w:tcW w:w="2120" w:type="dxa"/>
            <w:vAlign w:val="bottom"/>
            <w:gridSpan w:val="2"/>
            <w:vMerge w:val="restart"/>
          </w:tcPr>
          <w:p>
            <w:pPr>
              <w:ind w:left="60"/>
              <w:spacing w:after="0"/>
              <w:rPr>
                <w:sz w:val="20"/>
                <w:szCs w:val="20"/>
                <w:color w:val="auto"/>
              </w:rPr>
            </w:pPr>
            <w:r>
              <w:rPr>
                <w:rFonts w:ascii="Arial" w:cs="Arial" w:eastAsia="Arial" w:hAnsi="Arial"/>
                <w:sz w:val="16"/>
                <w:szCs w:val="16"/>
                <w:color w:val="auto"/>
              </w:rPr>
              <w:t>Broker-quoted</w:t>
            </w:r>
          </w:p>
        </w:tc>
        <w:tc>
          <w:tcPr>
            <w:tcW w:w="1760" w:type="dxa"/>
            <w:vAlign w:val="bottom"/>
            <w:gridSpan w:val="2"/>
            <w:vMerge w:val="restart"/>
          </w:tcPr>
          <w:p>
            <w:pPr>
              <w:ind w:left="60"/>
              <w:spacing w:after="0"/>
              <w:rPr>
                <w:sz w:val="20"/>
                <w:szCs w:val="20"/>
                <w:color w:val="auto"/>
              </w:rPr>
            </w:pPr>
            <w:r>
              <w:rPr>
                <w:rFonts w:ascii="Arial" w:cs="Arial" w:eastAsia="Arial" w:hAnsi="Arial"/>
                <w:sz w:val="16"/>
                <w:szCs w:val="16"/>
                <w:color w:val="auto"/>
              </w:rPr>
              <w:t>Offered quotes</w:t>
            </w:r>
          </w:p>
        </w:tc>
        <w:tc>
          <w:tcPr>
            <w:tcW w:w="1940" w:type="dxa"/>
            <w:vAlign w:val="bottom"/>
          </w:tcPr>
          <w:p>
            <w:pPr>
              <w:ind w:left="20"/>
              <w:spacing w:after="0" w:line="161" w:lineRule="exact"/>
              <w:rPr>
                <w:sz w:val="20"/>
                <w:szCs w:val="20"/>
                <w:color w:val="auto"/>
              </w:rPr>
            </w:pPr>
            <w:r>
              <w:rPr>
                <w:rFonts w:ascii="Arial" w:cs="Arial" w:eastAsia="Arial" w:hAnsi="Arial"/>
                <w:sz w:val="16"/>
                <w:szCs w:val="16"/>
                <w:color w:val="auto"/>
              </w:rPr>
              <w:t>112.82% - 112.82%</w:t>
            </w:r>
          </w:p>
        </w:tc>
        <w:tc>
          <w:tcPr>
            <w:tcW w:w="0" w:type="dxa"/>
            <w:vAlign w:val="bottom"/>
          </w:tcPr>
          <w:p>
            <w:pPr>
              <w:spacing w:after="0"/>
              <w:rPr>
                <w:sz w:val="1"/>
                <w:szCs w:val="1"/>
                <w:color w:val="auto"/>
              </w:rPr>
            </w:pPr>
          </w:p>
        </w:tc>
      </w:tr>
      <w:tr>
        <w:trPr>
          <w:trHeight w:val="204"/>
        </w:trPr>
        <w:tc>
          <w:tcPr>
            <w:tcW w:w="3680" w:type="dxa"/>
            <w:vAlign w:val="bottom"/>
            <w:gridSpan w:val="3"/>
            <w:vMerge w:val="continue"/>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gridSpan w:val="2"/>
            <w:vMerge w:val="continue"/>
          </w:tcPr>
          <w:p>
            <w:pPr>
              <w:spacing w:after="0"/>
              <w:rPr>
                <w:sz w:val="17"/>
                <w:szCs w:val="17"/>
                <w:color w:val="auto"/>
              </w:rPr>
            </w:pPr>
          </w:p>
        </w:tc>
        <w:tc>
          <w:tcPr>
            <w:tcW w:w="1760" w:type="dxa"/>
            <w:vAlign w:val="bottom"/>
            <w:gridSpan w:val="2"/>
            <w:vMerge w:val="continue"/>
          </w:tcPr>
          <w:p>
            <w:pPr>
              <w:spacing w:after="0"/>
              <w:rPr>
                <w:sz w:val="17"/>
                <w:szCs w:val="17"/>
                <w:color w:val="auto"/>
              </w:rPr>
            </w:pPr>
          </w:p>
        </w:tc>
        <w:tc>
          <w:tcPr>
            <w:tcW w:w="1940" w:type="dxa"/>
            <w:vAlign w:val="bottom"/>
          </w:tcPr>
          <w:p>
            <w:pPr>
              <w:ind w:left="20"/>
              <w:spacing w:after="0"/>
              <w:rPr>
                <w:sz w:val="20"/>
                <w:szCs w:val="20"/>
                <w:color w:val="auto"/>
              </w:rPr>
            </w:pPr>
            <w:r>
              <w:rPr>
                <w:rFonts w:ascii="Arial" w:cs="Arial" w:eastAsia="Arial" w:hAnsi="Arial"/>
                <w:sz w:val="16"/>
                <w:szCs w:val="16"/>
                <w:color w:val="auto"/>
              </w:rPr>
              <w:t>(112.82%)</w:t>
            </w:r>
          </w:p>
        </w:tc>
        <w:tc>
          <w:tcPr>
            <w:tcW w:w="0" w:type="dxa"/>
            <w:vAlign w:val="bottom"/>
          </w:tcPr>
          <w:p>
            <w:pPr>
              <w:spacing w:after="0"/>
              <w:rPr>
                <w:sz w:val="1"/>
                <w:szCs w:val="1"/>
                <w:color w:val="auto"/>
              </w:rPr>
            </w:pPr>
          </w:p>
        </w:tc>
      </w:tr>
      <w:tr>
        <w:trPr>
          <w:trHeight w:val="164"/>
        </w:trPr>
        <w:tc>
          <w:tcPr>
            <w:tcW w:w="3680" w:type="dxa"/>
            <w:vAlign w:val="bottom"/>
            <w:tcBorders>
              <w:left w:val="single" w:sz="8" w:color="CCEEFF"/>
            </w:tcBorders>
            <w:gridSpan w:val="3"/>
            <w:vMerge w:val="restart"/>
            <w:shd w:val="clear" w:color="auto" w:fill="CCEEFF"/>
          </w:tcPr>
          <w:p>
            <w:pPr>
              <w:ind w:left="20"/>
              <w:spacing w:after="0"/>
              <w:rPr>
                <w:sz w:val="20"/>
                <w:szCs w:val="20"/>
                <w:color w:val="auto"/>
              </w:rPr>
            </w:pPr>
            <w:r>
              <w:rPr>
                <w:rFonts w:ascii="Arial" w:cs="Arial" w:eastAsia="Arial" w:hAnsi="Arial"/>
                <w:sz w:val="16"/>
                <w:szCs w:val="16"/>
                <w:color w:val="auto"/>
              </w:rPr>
              <w:t>Commercial mortgage-backed securities</w:t>
            </w:r>
          </w:p>
        </w:tc>
        <w:tc>
          <w:tcPr>
            <w:tcW w:w="24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4"/>
                <w:szCs w:val="14"/>
                <w:color w:val="auto"/>
              </w:rPr>
            </w:pPr>
          </w:p>
        </w:tc>
        <w:tc>
          <w:tcPr>
            <w:tcW w:w="2120" w:type="dxa"/>
            <w:vAlign w:val="bottom"/>
            <w:gridSpan w:val="2"/>
            <w:vMerge w:val="restart"/>
            <w:shd w:val="clear" w:color="auto" w:fill="CCEEFF"/>
          </w:tcPr>
          <w:p>
            <w:pPr>
              <w:ind w:left="60"/>
              <w:spacing w:after="0"/>
              <w:rPr>
                <w:sz w:val="20"/>
                <w:szCs w:val="20"/>
                <w:color w:val="auto"/>
              </w:rPr>
            </w:pPr>
            <w:r>
              <w:rPr>
                <w:rFonts w:ascii="Arial" w:cs="Arial" w:eastAsia="Arial" w:hAnsi="Arial"/>
                <w:sz w:val="16"/>
                <w:szCs w:val="16"/>
                <w:color w:val="auto"/>
              </w:rPr>
              <w:t>Third-Party Valuation</w:t>
            </w:r>
          </w:p>
        </w:tc>
        <w:tc>
          <w:tcPr>
            <w:tcW w:w="1760" w:type="dxa"/>
            <w:vAlign w:val="bottom"/>
            <w:gridSpan w:val="2"/>
            <w:vMerge w:val="restart"/>
            <w:shd w:val="clear" w:color="auto" w:fill="CCEEFF"/>
          </w:tcPr>
          <w:p>
            <w:pPr>
              <w:ind w:left="60"/>
              <w:spacing w:after="0"/>
              <w:rPr>
                <w:sz w:val="20"/>
                <w:szCs w:val="20"/>
                <w:color w:val="auto"/>
              </w:rPr>
            </w:pPr>
            <w:r>
              <w:rPr>
                <w:rFonts w:ascii="Arial" w:cs="Arial" w:eastAsia="Arial" w:hAnsi="Arial"/>
                <w:sz w:val="16"/>
                <w:szCs w:val="16"/>
                <w:color w:val="auto"/>
              </w:rPr>
              <w:t>Offered quotes</w:t>
            </w:r>
          </w:p>
        </w:tc>
        <w:tc>
          <w:tcPr>
            <w:tcW w:w="194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rPr>
              <w:t>71.25% - 88.63%</w:t>
            </w:r>
          </w:p>
        </w:tc>
        <w:tc>
          <w:tcPr>
            <w:tcW w:w="0" w:type="dxa"/>
            <w:vAlign w:val="bottom"/>
          </w:tcPr>
          <w:p>
            <w:pPr>
              <w:spacing w:after="0"/>
              <w:rPr>
                <w:sz w:val="1"/>
                <w:szCs w:val="1"/>
                <w:color w:val="auto"/>
              </w:rPr>
            </w:pPr>
          </w:p>
        </w:tc>
      </w:tr>
      <w:tr>
        <w:trPr>
          <w:trHeight w:val="207"/>
        </w:trPr>
        <w:tc>
          <w:tcPr>
            <w:tcW w:w="3680" w:type="dxa"/>
            <w:vAlign w:val="bottom"/>
            <w:tcBorders>
              <w:left w:val="single" w:sz="8" w:color="CCEEFF"/>
            </w:tcBorders>
            <w:gridSpan w:val="3"/>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20" w:type="dxa"/>
            <w:vAlign w:val="bottom"/>
            <w:gridSpan w:val="2"/>
            <w:vMerge w:val="continue"/>
            <w:shd w:val="clear" w:color="auto" w:fill="CCEEFF"/>
          </w:tcPr>
          <w:p>
            <w:pPr>
              <w:spacing w:after="0"/>
              <w:rPr>
                <w:sz w:val="18"/>
                <w:szCs w:val="18"/>
                <w:color w:val="auto"/>
              </w:rPr>
            </w:pPr>
          </w:p>
        </w:tc>
        <w:tc>
          <w:tcPr>
            <w:tcW w:w="1760" w:type="dxa"/>
            <w:vAlign w:val="bottom"/>
            <w:gridSpan w:val="2"/>
            <w:vMerge w:val="continue"/>
            <w:shd w:val="clear" w:color="auto" w:fill="CCEEFF"/>
          </w:tcPr>
          <w:p>
            <w:pPr>
              <w:spacing w:after="0"/>
              <w:rPr>
                <w:sz w:val="18"/>
                <w:szCs w:val="18"/>
                <w:color w:val="auto"/>
              </w:rPr>
            </w:pPr>
          </w:p>
        </w:tc>
        <w:tc>
          <w:tcPr>
            <w:tcW w:w="1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(81.41%)</w:t>
            </w:r>
          </w:p>
        </w:tc>
        <w:tc>
          <w:tcPr>
            <w:tcW w:w="0" w:type="dxa"/>
            <w:vAlign w:val="bottom"/>
          </w:tcPr>
          <w:p>
            <w:pPr>
              <w:spacing w:after="0"/>
              <w:rPr>
                <w:sz w:val="1"/>
                <w:szCs w:val="1"/>
                <w:color w:val="auto"/>
              </w:rPr>
            </w:pPr>
          </w:p>
        </w:tc>
      </w:tr>
      <w:tr>
        <w:trPr>
          <w:trHeight w:val="207"/>
        </w:trPr>
        <w:tc>
          <w:tcPr>
            <w:tcW w:w="3680" w:type="dxa"/>
            <w:vAlign w:val="bottom"/>
            <w:gridSpan w:val="3"/>
          </w:tcPr>
          <w:p>
            <w:pPr>
              <w:ind w:left="20"/>
              <w:spacing w:after="0"/>
              <w:rPr>
                <w:sz w:val="20"/>
                <w:szCs w:val="20"/>
                <w:color w:val="auto"/>
              </w:rPr>
            </w:pPr>
            <w:r>
              <w:rPr>
                <w:rFonts w:ascii="Arial" w:cs="Arial" w:eastAsia="Arial" w:hAnsi="Arial"/>
                <w:sz w:val="16"/>
                <w:szCs w:val="16"/>
                <w:color w:val="auto"/>
              </w:rPr>
              <w:t>Corporates</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602</w:t>
            </w:r>
          </w:p>
        </w:tc>
        <w:tc>
          <w:tcPr>
            <w:tcW w:w="100" w:type="dxa"/>
            <w:vAlign w:val="bottom"/>
          </w:tcPr>
          <w:p>
            <w:pPr>
              <w:spacing w:after="0"/>
              <w:rPr>
                <w:sz w:val="18"/>
                <w:szCs w:val="18"/>
                <w:color w:val="auto"/>
              </w:rPr>
            </w:pPr>
          </w:p>
        </w:tc>
        <w:tc>
          <w:tcPr>
            <w:tcW w:w="2120" w:type="dxa"/>
            <w:vAlign w:val="bottom"/>
            <w:gridSpan w:val="2"/>
          </w:tcPr>
          <w:p>
            <w:pPr>
              <w:ind w:left="60"/>
              <w:spacing w:after="0"/>
              <w:rPr>
                <w:sz w:val="20"/>
                <w:szCs w:val="20"/>
                <w:color w:val="auto"/>
              </w:rPr>
            </w:pPr>
            <w:r>
              <w:rPr>
                <w:rFonts w:ascii="Arial" w:cs="Arial" w:eastAsia="Arial" w:hAnsi="Arial"/>
                <w:sz w:val="16"/>
                <w:szCs w:val="16"/>
                <w:color w:val="auto"/>
              </w:rPr>
              <w:t>Broker-quoted</w:t>
            </w:r>
          </w:p>
        </w:tc>
        <w:tc>
          <w:tcPr>
            <w:tcW w:w="1760" w:type="dxa"/>
            <w:vAlign w:val="bottom"/>
            <w:gridSpan w:val="2"/>
          </w:tcPr>
          <w:p>
            <w:pPr>
              <w:ind w:left="60"/>
              <w:spacing w:after="0"/>
              <w:rPr>
                <w:sz w:val="20"/>
                <w:szCs w:val="20"/>
                <w:color w:val="auto"/>
              </w:rPr>
            </w:pPr>
            <w:r>
              <w:rPr>
                <w:rFonts w:ascii="Arial" w:cs="Arial" w:eastAsia="Arial" w:hAnsi="Arial"/>
                <w:sz w:val="16"/>
                <w:szCs w:val="16"/>
                <w:color w:val="auto"/>
              </w:rPr>
              <w:t>Offered quotes</w:t>
            </w:r>
          </w:p>
        </w:tc>
        <w:tc>
          <w:tcPr>
            <w:tcW w:w="1940" w:type="dxa"/>
            <w:vAlign w:val="bottom"/>
          </w:tcPr>
          <w:p>
            <w:pPr>
              <w:ind w:left="20"/>
              <w:spacing w:after="0"/>
              <w:rPr>
                <w:sz w:val="20"/>
                <w:szCs w:val="20"/>
                <w:color w:val="auto"/>
              </w:rPr>
            </w:pPr>
            <w:r>
              <w:rPr>
                <w:rFonts w:ascii="Arial" w:cs="Arial" w:eastAsia="Arial" w:hAnsi="Arial"/>
                <w:sz w:val="16"/>
                <w:szCs w:val="16"/>
                <w:color w:val="auto"/>
                <w:w w:val="98"/>
              </w:rPr>
              <w:t>0.00% - 108.46% (92.11%)</w:t>
            </w:r>
          </w:p>
        </w:tc>
        <w:tc>
          <w:tcPr>
            <w:tcW w:w="0" w:type="dxa"/>
            <w:vAlign w:val="bottom"/>
          </w:tcPr>
          <w:p>
            <w:pPr>
              <w:spacing w:after="0"/>
              <w:rPr>
                <w:sz w:val="1"/>
                <w:szCs w:val="1"/>
                <w:color w:val="auto"/>
              </w:rPr>
            </w:pPr>
          </w:p>
        </w:tc>
      </w:tr>
      <w:tr>
        <w:trPr>
          <w:trHeight w:val="214"/>
        </w:trPr>
        <w:tc>
          <w:tcPr>
            <w:tcW w:w="3680" w:type="dxa"/>
            <w:vAlign w:val="bottom"/>
            <w:tcBorders>
              <w:left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Corporates</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Discounted Cash Flow</w:t>
            </w: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Discount Rate</w:t>
            </w:r>
          </w:p>
        </w:tc>
        <w:tc>
          <w:tcPr>
            <w:tcW w:w="19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4"/>
              </w:rPr>
              <w:t>44.00% - 100.00% (77.00%)</w:t>
            </w:r>
          </w:p>
        </w:tc>
        <w:tc>
          <w:tcPr>
            <w:tcW w:w="0" w:type="dxa"/>
            <w:vAlign w:val="bottom"/>
          </w:tcPr>
          <w:p>
            <w:pPr>
              <w:spacing w:after="0"/>
              <w:rPr>
                <w:sz w:val="1"/>
                <w:szCs w:val="1"/>
                <w:color w:val="auto"/>
              </w:rPr>
            </w:pPr>
          </w:p>
        </w:tc>
      </w:tr>
      <w:tr>
        <w:trPr>
          <w:trHeight w:val="207"/>
        </w:trPr>
        <w:tc>
          <w:tcPr>
            <w:tcW w:w="3680" w:type="dxa"/>
            <w:vAlign w:val="bottom"/>
            <w:gridSpan w:val="3"/>
          </w:tcPr>
          <w:p>
            <w:pPr>
              <w:ind w:left="20"/>
              <w:spacing w:after="0"/>
              <w:rPr>
                <w:sz w:val="20"/>
                <w:szCs w:val="20"/>
                <w:color w:val="auto"/>
              </w:rPr>
            </w:pPr>
            <w:r>
              <w:rPr>
                <w:rFonts w:ascii="Arial" w:cs="Arial" w:eastAsia="Arial" w:hAnsi="Arial"/>
                <w:sz w:val="16"/>
                <w:szCs w:val="16"/>
                <w:color w:val="auto"/>
              </w:rPr>
              <w:t>Corporates</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755</w:t>
            </w:r>
          </w:p>
        </w:tc>
        <w:tc>
          <w:tcPr>
            <w:tcW w:w="100" w:type="dxa"/>
            <w:vAlign w:val="bottom"/>
          </w:tcPr>
          <w:p>
            <w:pPr>
              <w:spacing w:after="0"/>
              <w:rPr>
                <w:sz w:val="18"/>
                <w:szCs w:val="18"/>
                <w:color w:val="auto"/>
              </w:rPr>
            </w:pPr>
          </w:p>
        </w:tc>
        <w:tc>
          <w:tcPr>
            <w:tcW w:w="2120" w:type="dxa"/>
            <w:vAlign w:val="bottom"/>
            <w:gridSpan w:val="2"/>
          </w:tcPr>
          <w:p>
            <w:pPr>
              <w:ind w:left="60"/>
              <w:spacing w:after="0"/>
              <w:rPr>
                <w:sz w:val="20"/>
                <w:szCs w:val="20"/>
                <w:color w:val="auto"/>
              </w:rPr>
            </w:pPr>
            <w:r>
              <w:rPr>
                <w:rFonts w:ascii="Arial" w:cs="Arial" w:eastAsia="Arial" w:hAnsi="Arial"/>
                <w:sz w:val="16"/>
                <w:szCs w:val="16"/>
                <w:color w:val="auto"/>
              </w:rPr>
              <w:t>Third-Party Valuation</w:t>
            </w:r>
          </w:p>
        </w:tc>
        <w:tc>
          <w:tcPr>
            <w:tcW w:w="1760" w:type="dxa"/>
            <w:vAlign w:val="bottom"/>
            <w:gridSpan w:val="2"/>
          </w:tcPr>
          <w:p>
            <w:pPr>
              <w:ind w:left="60"/>
              <w:spacing w:after="0"/>
              <w:rPr>
                <w:sz w:val="20"/>
                <w:szCs w:val="20"/>
                <w:color w:val="auto"/>
              </w:rPr>
            </w:pPr>
            <w:r>
              <w:rPr>
                <w:rFonts w:ascii="Arial" w:cs="Arial" w:eastAsia="Arial" w:hAnsi="Arial"/>
                <w:sz w:val="16"/>
                <w:szCs w:val="16"/>
                <w:color w:val="auto"/>
              </w:rPr>
              <w:t>Offered quotes</w:t>
            </w:r>
          </w:p>
        </w:tc>
        <w:tc>
          <w:tcPr>
            <w:tcW w:w="1940" w:type="dxa"/>
            <w:vAlign w:val="bottom"/>
          </w:tcPr>
          <w:p>
            <w:pPr>
              <w:ind w:left="20"/>
              <w:spacing w:after="0"/>
              <w:rPr>
                <w:sz w:val="20"/>
                <w:szCs w:val="20"/>
                <w:color w:val="auto"/>
              </w:rPr>
            </w:pPr>
            <w:r>
              <w:rPr>
                <w:rFonts w:ascii="Arial" w:cs="Arial" w:eastAsia="Arial" w:hAnsi="Arial"/>
                <w:sz w:val="16"/>
                <w:szCs w:val="16"/>
                <w:color w:val="auto"/>
                <w:w w:val="94"/>
              </w:rPr>
              <w:t>75.42% - 124.99% (94.59%)</w:t>
            </w:r>
          </w:p>
        </w:tc>
        <w:tc>
          <w:tcPr>
            <w:tcW w:w="0" w:type="dxa"/>
            <w:vAlign w:val="bottom"/>
          </w:tcPr>
          <w:p>
            <w:pPr>
              <w:spacing w:after="0"/>
              <w:rPr>
                <w:sz w:val="1"/>
                <w:szCs w:val="1"/>
                <w:color w:val="auto"/>
              </w:rPr>
            </w:pPr>
          </w:p>
        </w:tc>
      </w:tr>
      <w:tr>
        <w:trPr>
          <w:trHeight w:val="164"/>
        </w:trPr>
        <w:tc>
          <w:tcPr>
            <w:tcW w:w="3680" w:type="dxa"/>
            <w:vAlign w:val="bottom"/>
            <w:tcBorders>
              <w:left w:val="single" w:sz="8" w:color="CCEEFF"/>
            </w:tcBorders>
            <w:gridSpan w:val="3"/>
            <w:vMerge w:val="restart"/>
            <w:shd w:val="clear" w:color="auto" w:fill="CCEEFF"/>
          </w:tcPr>
          <w:p>
            <w:pPr>
              <w:ind w:left="20"/>
              <w:spacing w:after="0"/>
              <w:rPr>
                <w:sz w:val="20"/>
                <w:szCs w:val="20"/>
                <w:color w:val="auto"/>
              </w:rPr>
            </w:pPr>
            <w:r>
              <w:rPr>
                <w:rFonts w:ascii="Arial" w:cs="Arial" w:eastAsia="Arial" w:hAnsi="Arial"/>
                <w:sz w:val="16"/>
                <w:szCs w:val="16"/>
                <w:color w:val="auto"/>
              </w:rPr>
              <w:t>Municipals</w:t>
            </w:r>
          </w:p>
        </w:tc>
        <w:tc>
          <w:tcPr>
            <w:tcW w:w="24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4"/>
                <w:szCs w:val="14"/>
                <w:color w:val="auto"/>
              </w:rPr>
            </w:pPr>
          </w:p>
        </w:tc>
        <w:tc>
          <w:tcPr>
            <w:tcW w:w="2120" w:type="dxa"/>
            <w:vAlign w:val="bottom"/>
            <w:gridSpan w:val="2"/>
            <w:vMerge w:val="restart"/>
            <w:shd w:val="clear" w:color="auto" w:fill="CCEEFF"/>
          </w:tcPr>
          <w:p>
            <w:pPr>
              <w:ind w:left="60"/>
              <w:spacing w:after="0"/>
              <w:rPr>
                <w:sz w:val="20"/>
                <w:szCs w:val="20"/>
                <w:color w:val="auto"/>
              </w:rPr>
            </w:pPr>
            <w:r>
              <w:rPr>
                <w:rFonts w:ascii="Arial" w:cs="Arial" w:eastAsia="Arial" w:hAnsi="Arial"/>
                <w:sz w:val="16"/>
                <w:szCs w:val="16"/>
                <w:color w:val="auto"/>
              </w:rPr>
              <w:t>Third-Party Valuation</w:t>
            </w:r>
          </w:p>
        </w:tc>
        <w:tc>
          <w:tcPr>
            <w:tcW w:w="1760" w:type="dxa"/>
            <w:vAlign w:val="bottom"/>
            <w:gridSpan w:val="2"/>
            <w:vMerge w:val="restart"/>
            <w:shd w:val="clear" w:color="auto" w:fill="CCEEFF"/>
          </w:tcPr>
          <w:p>
            <w:pPr>
              <w:ind w:left="60"/>
              <w:spacing w:after="0"/>
              <w:rPr>
                <w:sz w:val="20"/>
                <w:szCs w:val="20"/>
                <w:color w:val="auto"/>
              </w:rPr>
            </w:pPr>
            <w:r>
              <w:rPr>
                <w:rFonts w:ascii="Arial" w:cs="Arial" w:eastAsia="Arial" w:hAnsi="Arial"/>
                <w:sz w:val="16"/>
                <w:szCs w:val="16"/>
                <w:color w:val="auto"/>
              </w:rPr>
              <w:t>Offered quotes</w:t>
            </w:r>
          </w:p>
        </w:tc>
        <w:tc>
          <w:tcPr>
            <w:tcW w:w="194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rPr>
              <w:t>106.40% - 106.40%</w:t>
            </w:r>
          </w:p>
        </w:tc>
        <w:tc>
          <w:tcPr>
            <w:tcW w:w="0" w:type="dxa"/>
            <w:vAlign w:val="bottom"/>
          </w:tcPr>
          <w:p>
            <w:pPr>
              <w:spacing w:after="0"/>
              <w:rPr>
                <w:sz w:val="1"/>
                <w:szCs w:val="1"/>
                <w:color w:val="auto"/>
              </w:rPr>
            </w:pPr>
          </w:p>
        </w:tc>
      </w:tr>
      <w:tr>
        <w:trPr>
          <w:trHeight w:val="207"/>
        </w:trPr>
        <w:tc>
          <w:tcPr>
            <w:tcW w:w="3680" w:type="dxa"/>
            <w:vAlign w:val="bottom"/>
            <w:tcBorders>
              <w:left w:val="single" w:sz="8" w:color="CCEEFF"/>
            </w:tcBorders>
            <w:gridSpan w:val="3"/>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20" w:type="dxa"/>
            <w:vAlign w:val="bottom"/>
            <w:gridSpan w:val="2"/>
            <w:vMerge w:val="continue"/>
            <w:shd w:val="clear" w:color="auto" w:fill="CCEEFF"/>
          </w:tcPr>
          <w:p>
            <w:pPr>
              <w:spacing w:after="0"/>
              <w:rPr>
                <w:sz w:val="18"/>
                <w:szCs w:val="18"/>
                <w:color w:val="auto"/>
              </w:rPr>
            </w:pPr>
          </w:p>
        </w:tc>
        <w:tc>
          <w:tcPr>
            <w:tcW w:w="1760" w:type="dxa"/>
            <w:vAlign w:val="bottom"/>
            <w:gridSpan w:val="2"/>
            <w:vMerge w:val="continue"/>
            <w:shd w:val="clear" w:color="auto" w:fill="CCEEFF"/>
          </w:tcPr>
          <w:p>
            <w:pPr>
              <w:spacing w:after="0"/>
              <w:rPr>
                <w:sz w:val="18"/>
                <w:szCs w:val="18"/>
                <w:color w:val="auto"/>
              </w:rPr>
            </w:pPr>
          </w:p>
        </w:tc>
        <w:tc>
          <w:tcPr>
            <w:tcW w:w="1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(106.40%)</w:t>
            </w:r>
          </w:p>
        </w:tc>
        <w:tc>
          <w:tcPr>
            <w:tcW w:w="0" w:type="dxa"/>
            <w:vAlign w:val="bottom"/>
          </w:tcPr>
          <w:p>
            <w:pPr>
              <w:spacing w:after="0"/>
              <w:rPr>
                <w:sz w:val="1"/>
                <w:szCs w:val="1"/>
                <w:color w:val="auto"/>
              </w:rPr>
            </w:pPr>
          </w:p>
        </w:tc>
      </w:tr>
      <w:tr>
        <w:trPr>
          <w:trHeight w:val="207"/>
        </w:trPr>
        <w:tc>
          <w:tcPr>
            <w:tcW w:w="3680" w:type="dxa"/>
            <w:vAlign w:val="bottom"/>
            <w:gridSpan w:val="3"/>
          </w:tcPr>
          <w:p>
            <w:pPr>
              <w:ind w:left="20"/>
              <w:spacing w:after="0"/>
              <w:rPr>
                <w:sz w:val="20"/>
                <w:szCs w:val="20"/>
                <w:color w:val="auto"/>
              </w:rPr>
            </w:pPr>
            <w:r>
              <w:rPr>
                <w:rFonts w:ascii="Arial" w:cs="Arial" w:eastAsia="Arial" w:hAnsi="Arial"/>
                <w:sz w:val="16"/>
                <w:szCs w:val="16"/>
                <w:color w:val="auto"/>
              </w:rPr>
              <w:t>Residential mortgage-backed securities</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2120" w:type="dxa"/>
            <w:vAlign w:val="bottom"/>
            <w:gridSpan w:val="2"/>
          </w:tcPr>
          <w:p>
            <w:pPr>
              <w:ind w:left="60"/>
              <w:spacing w:after="0"/>
              <w:rPr>
                <w:sz w:val="20"/>
                <w:szCs w:val="20"/>
                <w:color w:val="auto"/>
              </w:rPr>
            </w:pPr>
            <w:r>
              <w:rPr>
                <w:rFonts w:ascii="Arial" w:cs="Arial" w:eastAsia="Arial" w:hAnsi="Arial"/>
                <w:sz w:val="16"/>
                <w:szCs w:val="16"/>
                <w:color w:val="auto"/>
              </w:rPr>
              <w:t>Broker-quoted</w:t>
            </w:r>
          </w:p>
        </w:tc>
        <w:tc>
          <w:tcPr>
            <w:tcW w:w="1760" w:type="dxa"/>
            <w:vAlign w:val="bottom"/>
            <w:gridSpan w:val="2"/>
          </w:tcPr>
          <w:p>
            <w:pPr>
              <w:ind w:left="60"/>
              <w:spacing w:after="0"/>
              <w:rPr>
                <w:sz w:val="20"/>
                <w:szCs w:val="20"/>
                <w:color w:val="auto"/>
              </w:rPr>
            </w:pPr>
            <w:r>
              <w:rPr>
                <w:rFonts w:ascii="Arial" w:cs="Arial" w:eastAsia="Arial" w:hAnsi="Arial"/>
                <w:sz w:val="16"/>
                <w:szCs w:val="16"/>
                <w:color w:val="auto"/>
              </w:rPr>
              <w:t>Offered quotes</w:t>
            </w:r>
          </w:p>
        </w:tc>
        <w:tc>
          <w:tcPr>
            <w:tcW w:w="1940" w:type="dxa"/>
            <w:vAlign w:val="bottom"/>
          </w:tcPr>
          <w:p>
            <w:pPr>
              <w:ind w:left="20"/>
              <w:spacing w:after="0"/>
              <w:rPr>
                <w:sz w:val="20"/>
                <w:szCs w:val="20"/>
                <w:color w:val="auto"/>
              </w:rPr>
            </w:pPr>
            <w:r>
              <w:rPr>
                <w:rFonts w:ascii="Arial" w:cs="Arial" w:eastAsia="Arial" w:hAnsi="Arial"/>
                <w:sz w:val="16"/>
                <w:szCs w:val="16"/>
                <w:color w:val="auto"/>
              </w:rPr>
              <w:t>0.00% - 93.02% (93.02%)</w:t>
            </w:r>
          </w:p>
        </w:tc>
        <w:tc>
          <w:tcPr>
            <w:tcW w:w="0" w:type="dxa"/>
            <w:vAlign w:val="bottom"/>
          </w:tcPr>
          <w:p>
            <w:pPr>
              <w:spacing w:after="0"/>
              <w:rPr>
                <w:sz w:val="1"/>
                <w:szCs w:val="1"/>
                <w:color w:val="auto"/>
              </w:rPr>
            </w:pPr>
          </w:p>
        </w:tc>
      </w:tr>
      <w:tr>
        <w:trPr>
          <w:trHeight w:val="214"/>
        </w:trPr>
        <w:tc>
          <w:tcPr>
            <w:tcW w:w="3680" w:type="dxa"/>
            <w:vAlign w:val="bottom"/>
            <w:tcBorders>
              <w:left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Foreign Governments</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Third-Party Valuation</w:t>
            </w:r>
          </w:p>
        </w:tc>
        <w:tc>
          <w:tcPr>
            <w:tcW w:w="17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Offered quotes</w:t>
            </w:r>
          </w:p>
        </w:tc>
        <w:tc>
          <w:tcPr>
            <w:tcW w:w="19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8"/>
              </w:rPr>
              <w:t>98.73% - 99.59% (99.32%)</w:t>
            </w:r>
          </w:p>
        </w:tc>
        <w:tc>
          <w:tcPr>
            <w:tcW w:w="0" w:type="dxa"/>
            <w:vAlign w:val="bottom"/>
          </w:tcPr>
          <w:p>
            <w:pPr>
              <w:spacing w:after="0"/>
              <w:rPr>
                <w:sz w:val="1"/>
                <w:szCs w:val="1"/>
                <w:color w:val="auto"/>
              </w:rPr>
            </w:pPr>
          </w:p>
        </w:tc>
      </w:tr>
      <w:tr>
        <w:trPr>
          <w:trHeight w:val="161"/>
        </w:trPr>
        <w:tc>
          <w:tcPr>
            <w:tcW w:w="3680" w:type="dxa"/>
            <w:vAlign w:val="bottom"/>
            <w:gridSpan w:val="3"/>
            <w:vMerge w:val="restart"/>
          </w:tcPr>
          <w:p>
            <w:pPr>
              <w:ind w:left="20"/>
              <w:spacing w:after="0"/>
              <w:rPr>
                <w:sz w:val="20"/>
                <w:szCs w:val="20"/>
                <w:color w:val="auto"/>
              </w:rPr>
            </w:pPr>
            <w:r>
              <w:rPr>
                <w:rFonts w:ascii="Arial" w:cs="Arial" w:eastAsia="Arial" w:hAnsi="Arial"/>
                <w:sz w:val="16"/>
                <w:szCs w:val="16"/>
                <w:color w:val="auto"/>
              </w:rPr>
              <w:t>Preferred securities</w:t>
            </w:r>
          </w:p>
        </w:tc>
        <w:tc>
          <w:tcPr>
            <w:tcW w:w="24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4"/>
                <w:szCs w:val="14"/>
                <w:color w:val="auto"/>
              </w:rPr>
            </w:pPr>
          </w:p>
        </w:tc>
        <w:tc>
          <w:tcPr>
            <w:tcW w:w="2120" w:type="dxa"/>
            <w:vAlign w:val="bottom"/>
            <w:gridSpan w:val="2"/>
            <w:vMerge w:val="restart"/>
          </w:tcPr>
          <w:p>
            <w:pPr>
              <w:ind w:left="20"/>
              <w:spacing w:after="0"/>
              <w:rPr>
                <w:sz w:val="20"/>
                <w:szCs w:val="20"/>
                <w:color w:val="auto"/>
              </w:rPr>
            </w:pPr>
            <w:r>
              <w:rPr>
                <w:rFonts w:ascii="Arial" w:cs="Arial" w:eastAsia="Arial" w:hAnsi="Arial"/>
                <w:sz w:val="16"/>
                <w:szCs w:val="16"/>
                <w:color w:val="auto"/>
              </w:rPr>
              <w:t>Discounted Cash Flow</w:t>
            </w:r>
          </w:p>
        </w:tc>
        <w:tc>
          <w:tcPr>
            <w:tcW w:w="1760" w:type="dxa"/>
            <w:vAlign w:val="bottom"/>
            <w:gridSpan w:val="2"/>
            <w:vMerge w:val="restart"/>
          </w:tcPr>
          <w:p>
            <w:pPr>
              <w:ind w:left="20"/>
              <w:spacing w:after="0"/>
              <w:rPr>
                <w:sz w:val="20"/>
                <w:szCs w:val="20"/>
                <w:color w:val="auto"/>
              </w:rPr>
            </w:pPr>
            <w:r>
              <w:rPr>
                <w:rFonts w:ascii="Arial" w:cs="Arial" w:eastAsia="Arial" w:hAnsi="Arial"/>
                <w:sz w:val="16"/>
                <w:szCs w:val="16"/>
                <w:color w:val="auto"/>
              </w:rPr>
              <w:t>Discount rate</w:t>
            </w:r>
          </w:p>
        </w:tc>
        <w:tc>
          <w:tcPr>
            <w:tcW w:w="1940" w:type="dxa"/>
            <w:vAlign w:val="bottom"/>
          </w:tcPr>
          <w:p>
            <w:pPr>
              <w:ind w:left="20"/>
              <w:spacing w:after="0" w:line="161" w:lineRule="exact"/>
              <w:rPr>
                <w:sz w:val="20"/>
                <w:szCs w:val="20"/>
                <w:color w:val="auto"/>
              </w:rPr>
            </w:pPr>
            <w:r>
              <w:rPr>
                <w:rFonts w:ascii="Arial" w:cs="Arial" w:eastAsia="Arial" w:hAnsi="Arial"/>
                <w:sz w:val="16"/>
                <w:szCs w:val="16"/>
                <w:color w:val="auto"/>
              </w:rPr>
              <w:t>100.00% - 100.00%</w:t>
            </w:r>
          </w:p>
        </w:tc>
        <w:tc>
          <w:tcPr>
            <w:tcW w:w="0" w:type="dxa"/>
            <w:vAlign w:val="bottom"/>
          </w:tcPr>
          <w:p>
            <w:pPr>
              <w:spacing w:after="0"/>
              <w:rPr>
                <w:sz w:val="1"/>
                <w:szCs w:val="1"/>
                <w:color w:val="auto"/>
              </w:rPr>
            </w:pPr>
          </w:p>
        </w:tc>
      </w:tr>
      <w:tr>
        <w:trPr>
          <w:trHeight w:val="204"/>
        </w:trPr>
        <w:tc>
          <w:tcPr>
            <w:tcW w:w="3680" w:type="dxa"/>
            <w:vAlign w:val="bottom"/>
            <w:gridSpan w:val="3"/>
            <w:vMerge w:val="continue"/>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gridSpan w:val="2"/>
            <w:vMerge w:val="continue"/>
          </w:tcPr>
          <w:p>
            <w:pPr>
              <w:spacing w:after="0"/>
              <w:rPr>
                <w:sz w:val="17"/>
                <w:szCs w:val="17"/>
                <w:color w:val="auto"/>
              </w:rPr>
            </w:pPr>
          </w:p>
        </w:tc>
        <w:tc>
          <w:tcPr>
            <w:tcW w:w="1760" w:type="dxa"/>
            <w:vAlign w:val="bottom"/>
            <w:gridSpan w:val="2"/>
            <w:vMerge w:val="continue"/>
          </w:tcPr>
          <w:p>
            <w:pPr>
              <w:spacing w:after="0"/>
              <w:rPr>
                <w:sz w:val="17"/>
                <w:szCs w:val="17"/>
                <w:color w:val="auto"/>
              </w:rPr>
            </w:pPr>
          </w:p>
        </w:tc>
        <w:tc>
          <w:tcPr>
            <w:tcW w:w="1940" w:type="dxa"/>
            <w:vAlign w:val="bottom"/>
          </w:tcPr>
          <w:p>
            <w:pPr>
              <w:ind w:left="20"/>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14"/>
        </w:trPr>
        <w:tc>
          <w:tcPr>
            <w:tcW w:w="3680" w:type="dxa"/>
            <w:vAlign w:val="bottom"/>
            <w:tcBorders>
              <w:left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Equity securities</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Broker Quoted</w:t>
            </w: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Offered quotes</w:t>
            </w:r>
          </w:p>
        </w:tc>
        <w:tc>
          <w:tcPr>
            <w:tcW w:w="1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$60.50 - $60.50 ($60.50)</w:t>
            </w:r>
          </w:p>
        </w:tc>
        <w:tc>
          <w:tcPr>
            <w:tcW w:w="0" w:type="dxa"/>
            <w:vAlign w:val="bottom"/>
          </w:tcPr>
          <w:p>
            <w:pPr>
              <w:spacing w:after="0"/>
              <w:rPr>
                <w:sz w:val="1"/>
                <w:szCs w:val="1"/>
                <w:color w:val="auto"/>
              </w:rPr>
            </w:pPr>
          </w:p>
        </w:tc>
      </w:tr>
      <w:tr>
        <w:trPr>
          <w:trHeight w:val="207"/>
        </w:trPr>
        <w:tc>
          <w:tcPr>
            <w:tcW w:w="3680" w:type="dxa"/>
            <w:vAlign w:val="bottom"/>
            <w:gridSpan w:val="3"/>
          </w:tcPr>
          <w:p>
            <w:pPr>
              <w:ind w:left="20"/>
              <w:spacing w:after="0"/>
              <w:rPr>
                <w:sz w:val="20"/>
                <w:szCs w:val="20"/>
                <w:color w:val="auto"/>
              </w:rPr>
            </w:pPr>
            <w:r>
              <w:rPr>
                <w:rFonts w:ascii="Arial" w:cs="Arial" w:eastAsia="Arial" w:hAnsi="Arial"/>
                <w:sz w:val="16"/>
                <w:szCs w:val="16"/>
                <w:color w:val="auto"/>
              </w:rPr>
              <w:t>Equity securities</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2120" w:type="dxa"/>
            <w:vAlign w:val="bottom"/>
            <w:gridSpan w:val="2"/>
          </w:tcPr>
          <w:p>
            <w:pPr>
              <w:ind w:left="20"/>
              <w:spacing w:after="0"/>
              <w:rPr>
                <w:sz w:val="20"/>
                <w:szCs w:val="20"/>
                <w:color w:val="auto"/>
              </w:rPr>
            </w:pPr>
            <w:r>
              <w:rPr>
                <w:rFonts w:ascii="Arial" w:cs="Arial" w:eastAsia="Arial" w:hAnsi="Arial"/>
                <w:sz w:val="16"/>
                <w:szCs w:val="16"/>
                <w:color w:val="auto"/>
              </w:rPr>
              <w:t>Discounted Cash Flow</w:t>
            </w:r>
          </w:p>
        </w:tc>
        <w:tc>
          <w:tcPr>
            <w:tcW w:w="1760" w:type="dxa"/>
            <w:vAlign w:val="bottom"/>
            <w:gridSpan w:val="2"/>
          </w:tcPr>
          <w:p>
            <w:pPr>
              <w:ind w:left="60"/>
              <w:spacing w:after="0"/>
              <w:rPr>
                <w:sz w:val="20"/>
                <w:szCs w:val="20"/>
                <w:color w:val="auto"/>
              </w:rPr>
            </w:pPr>
            <w:r>
              <w:rPr>
                <w:rFonts w:ascii="Arial" w:cs="Arial" w:eastAsia="Arial" w:hAnsi="Arial"/>
                <w:sz w:val="16"/>
                <w:szCs w:val="16"/>
                <w:color w:val="auto"/>
              </w:rPr>
              <w:t>Discount rate</w:t>
            </w:r>
          </w:p>
        </w:tc>
        <w:tc>
          <w:tcPr>
            <w:tcW w:w="1940" w:type="dxa"/>
            <w:vAlign w:val="bottom"/>
          </w:tcPr>
          <w:p>
            <w:pPr>
              <w:ind w:left="20"/>
              <w:spacing w:after="0"/>
              <w:rPr>
                <w:sz w:val="20"/>
                <w:szCs w:val="20"/>
                <w:color w:val="auto"/>
              </w:rPr>
            </w:pPr>
            <w:r>
              <w:rPr>
                <w:rFonts w:ascii="Arial" w:cs="Arial" w:eastAsia="Arial" w:hAnsi="Arial"/>
                <w:sz w:val="16"/>
                <w:szCs w:val="16"/>
                <w:color w:val="auto"/>
                <w:w w:val="98"/>
              </w:rPr>
              <w:t>11.10% - 11.10% (11.10%)</w:t>
            </w:r>
          </w:p>
        </w:tc>
        <w:tc>
          <w:tcPr>
            <w:tcW w:w="0" w:type="dxa"/>
            <w:vAlign w:val="bottom"/>
          </w:tcPr>
          <w:p>
            <w:pPr>
              <w:spacing w:after="0"/>
              <w:rPr>
                <w:sz w:val="1"/>
                <w:szCs w:val="1"/>
                <w:color w:val="auto"/>
              </w:rPr>
            </w:pPr>
          </w:p>
        </w:tc>
      </w:tr>
      <w:tr>
        <w:trPr>
          <w:trHeight w:val="164"/>
        </w:trPr>
        <w:tc>
          <w:tcPr>
            <w:tcW w:w="440" w:type="dxa"/>
            <w:vAlign w:val="bottom"/>
            <w:tcBorders>
              <w:left w:val="single" w:sz="8" w:color="CCEEFF"/>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9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120" w:type="dxa"/>
            <w:vAlign w:val="bottom"/>
            <w:gridSpan w:val="2"/>
            <w:shd w:val="clear" w:color="auto" w:fill="CCEEFF"/>
          </w:tcPr>
          <w:p>
            <w:pPr>
              <w:ind w:left="20"/>
              <w:spacing w:after="0" w:line="165" w:lineRule="exact"/>
              <w:rPr>
                <w:sz w:val="20"/>
                <w:szCs w:val="20"/>
                <w:color w:val="auto"/>
              </w:rPr>
            </w:pPr>
            <w:r>
              <w:rPr>
                <w:rFonts w:ascii="Arial" w:cs="Arial" w:eastAsia="Arial" w:hAnsi="Arial"/>
                <w:sz w:val="16"/>
                <w:szCs w:val="16"/>
                <w:color w:val="auto"/>
                <w:w w:val="97"/>
              </w:rPr>
              <w:t>Market Comparable Company</w:t>
            </w:r>
          </w:p>
        </w:tc>
        <w:tc>
          <w:tcPr>
            <w:tcW w:w="1760" w:type="dxa"/>
            <w:vAlign w:val="bottom"/>
            <w:gridSpan w:val="2"/>
            <w:vMerge w:val="restart"/>
            <w:shd w:val="clear" w:color="auto" w:fill="CCEEFF"/>
          </w:tcPr>
          <w:p>
            <w:pPr>
              <w:ind w:left="60"/>
              <w:spacing w:after="0"/>
              <w:rPr>
                <w:sz w:val="20"/>
                <w:szCs w:val="20"/>
                <w:color w:val="auto"/>
              </w:rPr>
            </w:pPr>
            <w:r>
              <w:rPr>
                <w:rFonts w:ascii="Arial" w:cs="Arial" w:eastAsia="Arial" w:hAnsi="Arial"/>
                <w:sz w:val="16"/>
                <w:szCs w:val="16"/>
                <w:color w:val="auto"/>
              </w:rPr>
              <w:t>EBITDA multiple</w:t>
            </w:r>
          </w:p>
        </w:tc>
        <w:tc>
          <w:tcPr>
            <w:tcW w:w="194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5.5x - 5.5x (5.5x)</w:t>
            </w:r>
          </w:p>
        </w:tc>
        <w:tc>
          <w:tcPr>
            <w:tcW w:w="0" w:type="dxa"/>
            <w:vAlign w:val="bottom"/>
          </w:tcPr>
          <w:p>
            <w:pPr>
              <w:spacing w:after="0"/>
              <w:rPr>
                <w:sz w:val="1"/>
                <w:szCs w:val="1"/>
                <w:color w:val="auto"/>
              </w:rPr>
            </w:pPr>
          </w:p>
        </w:tc>
      </w:tr>
      <w:tr>
        <w:trPr>
          <w:trHeight w:val="207"/>
        </w:trPr>
        <w:tc>
          <w:tcPr>
            <w:tcW w:w="44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Analysis</w:t>
            </w:r>
          </w:p>
        </w:tc>
        <w:tc>
          <w:tcPr>
            <w:tcW w:w="1760" w:type="dxa"/>
            <w:vAlign w:val="bottom"/>
            <w:gridSpan w:val="2"/>
            <w:vMerge w:val="continue"/>
            <w:shd w:val="clear" w:color="auto" w:fill="CCEEFF"/>
          </w:tcPr>
          <w:p>
            <w:pPr>
              <w:spacing w:after="0"/>
              <w:rPr>
                <w:sz w:val="18"/>
                <w:szCs w:val="18"/>
                <w:color w:val="auto"/>
              </w:rPr>
            </w:pPr>
          </w:p>
        </w:tc>
        <w:tc>
          <w:tcPr>
            <w:tcW w:w="1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680" w:type="dxa"/>
            <w:vAlign w:val="bottom"/>
            <w:gridSpan w:val="3"/>
          </w:tcPr>
          <w:p>
            <w:pPr>
              <w:ind w:left="20"/>
              <w:spacing w:after="0"/>
              <w:rPr>
                <w:sz w:val="20"/>
                <w:szCs w:val="20"/>
                <w:color w:val="auto"/>
              </w:rPr>
            </w:pPr>
            <w:r>
              <w:rPr>
                <w:rFonts w:ascii="Arial" w:cs="Arial" w:eastAsia="Arial" w:hAnsi="Arial"/>
                <w:sz w:val="16"/>
                <w:szCs w:val="16"/>
                <w:color w:val="auto"/>
              </w:rPr>
              <w:t>Other long-term investments:</w:t>
            </w: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680" w:type="dxa"/>
            <w:vAlign w:val="bottom"/>
            <w:tcBorders>
              <w:left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Available-for-sale embedded derivative</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Black Scholes model</w:t>
            </w: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Market value of fund</w:t>
            </w:r>
          </w:p>
        </w:tc>
        <w:tc>
          <w:tcPr>
            <w:tcW w:w="1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161"/>
        </w:trPr>
        <w:tc>
          <w:tcPr>
            <w:tcW w:w="3680" w:type="dxa"/>
            <w:vAlign w:val="bottom"/>
            <w:gridSpan w:val="3"/>
            <w:vMerge w:val="restart"/>
          </w:tcPr>
          <w:p>
            <w:pPr>
              <w:ind w:left="20"/>
              <w:spacing w:after="0"/>
              <w:rPr>
                <w:sz w:val="20"/>
                <w:szCs w:val="20"/>
                <w:color w:val="auto"/>
              </w:rPr>
            </w:pPr>
            <w:r>
              <w:rPr>
                <w:rFonts w:ascii="Arial" w:cs="Arial" w:eastAsia="Arial" w:hAnsi="Arial"/>
                <w:sz w:val="16"/>
                <w:szCs w:val="16"/>
                <w:color w:val="auto"/>
              </w:rPr>
              <w:t>Secured borrowing receivable</w:t>
            </w:r>
          </w:p>
        </w:tc>
        <w:tc>
          <w:tcPr>
            <w:tcW w:w="24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4"/>
                <w:szCs w:val="14"/>
                <w:color w:val="auto"/>
              </w:rPr>
            </w:pPr>
          </w:p>
        </w:tc>
        <w:tc>
          <w:tcPr>
            <w:tcW w:w="2120" w:type="dxa"/>
            <w:vAlign w:val="bottom"/>
            <w:gridSpan w:val="2"/>
            <w:vMerge w:val="restart"/>
          </w:tcPr>
          <w:p>
            <w:pPr>
              <w:ind w:left="60"/>
              <w:spacing w:after="0"/>
              <w:rPr>
                <w:sz w:val="20"/>
                <w:szCs w:val="20"/>
                <w:color w:val="auto"/>
              </w:rPr>
            </w:pPr>
            <w:r>
              <w:rPr>
                <w:rFonts w:ascii="Arial" w:cs="Arial" w:eastAsia="Arial" w:hAnsi="Arial"/>
                <w:sz w:val="16"/>
                <w:szCs w:val="16"/>
                <w:color w:val="auto"/>
              </w:rPr>
              <w:t>Broker-quoted</w:t>
            </w:r>
          </w:p>
        </w:tc>
        <w:tc>
          <w:tcPr>
            <w:tcW w:w="1760" w:type="dxa"/>
            <w:vAlign w:val="bottom"/>
            <w:gridSpan w:val="2"/>
            <w:vMerge w:val="restart"/>
          </w:tcPr>
          <w:p>
            <w:pPr>
              <w:ind w:left="60"/>
              <w:spacing w:after="0"/>
              <w:rPr>
                <w:sz w:val="20"/>
                <w:szCs w:val="20"/>
                <w:color w:val="auto"/>
              </w:rPr>
            </w:pPr>
            <w:r>
              <w:rPr>
                <w:rFonts w:ascii="Arial" w:cs="Arial" w:eastAsia="Arial" w:hAnsi="Arial"/>
                <w:sz w:val="16"/>
                <w:szCs w:val="16"/>
                <w:color w:val="auto"/>
              </w:rPr>
              <w:t>Offered quotes</w:t>
            </w:r>
          </w:p>
        </w:tc>
        <w:tc>
          <w:tcPr>
            <w:tcW w:w="1940" w:type="dxa"/>
            <w:vAlign w:val="bottom"/>
          </w:tcPr>
          <w:p>
            <w:pPr>
              <w:ind w:left="20"/>
              <w:spacing w:after="0" w:line="161" w:lineRule="exact"/>
              <w:rPr>
                <w:sz w:val="20"/>
                <w:szCs w:val="20"/>
                <w:color w:val="auto"/>
              </w:rPr>
            </w:pPr>
            <w:r>
              <w:rPr>
                <w:rFonts w:ascii="Arial" w:cs="Arial" w:eastAsia="Arial" w:hAnsi="Arial"/>
                <w:sz w:val="16"/>
                <w:szCs w:val="16"/>
                <w:color w:val="auto"/>
              </w:rPr>
              <w:t>100.00% - 100.00%</w:t>
            </w:r>
          </w:p>
        </w:tc>
        <w:tc>
          <w:tcPr>
            <w:tcW w:w="0" w:type="dxa"/>
            <w:vAlign w:val="bottom"/>
          </w:tcPr>
          <w:p>
            <w:pPr>
              <w:spacing w:after="0"/>
              <w:rPr>
                <w:sz w:val="1"/>
                <w:szCs w:val="1"/>
                <w:color w:val="auto"/>
              </w:rPr>
            </w:pPr>
          </w:p>
        </w:tc>
      </w:tr>
      <w:tr>
        <w:trPr>
          <w:trHeight w:val="204"/>
        </w:trPr>
        <w:tc>
          <w:tcPr>
            <w:tcW w:w="3680" w:type="dxa"/>
            <w:vAlign w:val="bottom"/>
            <w:gridSpan w:val="3"/>
            <w:vMerge w:val="continue"/>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gridSpan w:val="2"/>
            <w:vMerge w:val="continue"/>
          </w:tcPr>
          <w:p>
            <w:pPr>
              <w:spacing w:after="0"/>
              <w:rPr>
                <w:sz w:val="17"/>
                <w:szCs w:val="17"/>
                <w:color w:val="auto"/>
              </w:rPr>
            </w:pPr>
          </w:p>
        </w:tc>
        <w:tc>
          <w:tcPr>
            <w:tcW w:w="1760" w:type="dxa"/>
            <w:vAlign w:val="bottom"/>
            <w:gridSpan w:val="2"/>
            <w:vMerge w:val="continue"/>
          </w:tcPr>
          <w:p>
            <w:pPr>
              <w:spacing w:after="0"/>
              <w:rPr>
                <w:sz w:val="17"/>
                <w:szCs w:val="17"/>
                <w:color w:val="auto"/>
              </w:rPr>
            </w:pPr>
          </w:p>
        </w:tc>
        <w:tc>
          <w:tcPr>
            <w:tcW w:w="1940" w:type="dxa"/>
            <w:vAlign w:val="bottom"/>
          </w:tcPr>
          <w:p>
            <w:pPr>
              <w:ind w:left="20"/>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14"/>
        </w:trPr>
        <w:tc>
          <w:tcPr>
            <w:tcW w:w="3680" w:type="dxa"/>
            <w:vAlign w:val="bottom"/>
            <w:tcBorders>
              <w:left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Credit Linked Note</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Broker-quoted</w:t>
            </w:r>
          </w:p>
        </w:tc>
        <w:tc>
          <w:tcPr>
            <w:tcW w:w="17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Offered quotes</w:t>
            </w:r>
          </w:p>
        </w:tc>
        <w:tc>
          <w:tcPr>
            <w:tcW w:w="1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161"/>
        </w:trPr>
        <w:tc>
          <w:tcPr>
            <w:tcW w:w="3680" w:type="dxa"/>
            <w:vAlign w:val="bottom"/>
            <w:gridSpan w:val="3"/>
            <w:vMerge w:val="restart"/>
          </w:tcPr>
          <w:p>
            <w:pPr>
              <w:ind w:left="20"/>
              <w:spacing w:after="0"/>
              <w:rPr>
                <w:sz w:val="20"/>
                <w:szCs w:val="20"/>
                <w:color w:val="auto"/>
              </w:rPr>
            </w:pPr>
            <w:r>
              <w:rPr>
                <w:rFonts w:ascii="Arial" w:cs="Arial" w:eastAsia="Arial" w:hAnsi="Arial"/>
                <w:sz w:val="16"/>
                <w:szCs w:val="16"/>
                <w:color w:val="auto"/>
              </w:rPr>
              <w:t>Investment in affiliate</w:t>
            </w:r>
          </w:p>
        </w:tc>
        <w:tc>
          <w:tcPr>
            <w:tcW w:w="24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4"/>
                <w:szCs w:val="14"/>
                <w:color w:val="auto"/>
              </w:rPr>
            </w:pPr>
          </w:p>
        </w:tc>
        <w:tc>
          <w:tcPr>
            <w:tcW w:w="2120" w:type="dxa"/>
            <w:vAlign w:val="bottom"/>
            <w:gridSpan w:val="2"/>
          </w:tcPr>
          <w:p>
            <w:pPr>
              <w:ind w:left="20"/>
              <w:spacing w:after="0" w:line="161" w:lineRule="exact"/>
              <w:rPr>
                <w:sz w:val="20"/>
                <w:szCs w:val="20"/>
                <w:color w:val="auto"/>
              </w:rPr>
            </w:pPr>
            <w:r>
              <w:rPr>
                <w:rFonts w:ascii="Arial" w:cs="Arial" w:eastAsia="Arial" w:hAnsi="Arial"/>
                <w:sz w:val="16"/>
                <w:szCs w:val="16"/>
                <w:color w:val="auto"/>
                <w:w w:val="97"/>
              </w:rPr>
              <w:t>Market Comparable Company</w:t>
            </w:r>
          </w:p>
        </w:tc>
        <w:tc>
          <w:tcPr>
            <w:tcW w:w="1760" w:type="dxa"/>
            <w:vAlign w:val="bottom"/>
            <w:gridSpan w:val="2"/>
            <w:vMerge w:val="restart"/>
          </w:tcPr>
          <w:p>
            <w:pPr>
              <w:ind w:left="20"/>
              <w:spacing w:after="0"/>
              <w:rPr>
                <w:sz w:val="20"/>
                <w:szCs w:val="20"/>
                <w:color w:val="auto"/>
              </w:rPr>
            </w:pPr>
            <w:r>
              <w:rPr>
                <w:rFonts w:ascii="Arial" w:cs="Arial" w:eastAsia="Arial" w:hAnsi="Arial"/>
                <w:sz w:val="16"/>
                <w:szCs w:val="16"/>
                <w:color w:val="auto"/>
              </w:rPr>
              <w:t>EBITDA multiple</w:t>
            </w:r>
          </w:p>
        </w:tc>
        <w:tc>
          <w:tcPr>
            <w:tcW w:w="1940" w:type="dxa"/>
            <w:vAlign w:val="bottom"/>
            <w:vMerge w:val="restart"/>
          </w:tcPr>
          <w:p>
            <w:pPr>
              <w:ind w:left="20"/>
              <w:spacing w:after="0"/>
              <w:rPr>
                <w:sz w:val="20"/>
                <w:szCs w:val="20"/>
                <w:color w:val="auto"/>
              </w:rPr>
            </w:pPr>
            <w:r>
              <w:rPr>
                <w:rFonts w:ascii="Arial" w:cs="Arial" w:eastAsia="Arial" w:hAnsi="Arial"/>
                <w:sz w:val="16"/>
                <w:szCs w:val="16"/>
                <w:color w:val="auto"/>
              </w:rPr>
              <w:t>8x-8x</w:t>
            </w:r>
          </w:p>
        </w:tc>
        <w:tc>
          <w:tcPr>
            <w:tcW w:w="0" w:type="dxa"/>
            <w:vAlign w:val="bottom"/>
          </w:tcPr>
          <w:p>
            <w:pPr>
              <w:spacing w:after="0"/>
              <w:rPr>
                <w:sz w:val="1"/>
                <w:szCs w:val="1"/>
                <w:color w:val="auto"/>
              </w:rPr>
            </w:pPr>
          </w:p>
        </w:tc>
      </w:tr>
      <w:tr>
        <w:trPr>
          <w:trHeight w:val="204"/>
        </w:trPr>
        <w:tc>
          <w:tcPr>
            <w:tcW w:w="3680" w:type="dxa"/>
            <w:vAlign w:val="bottom"/>
            <w:gridSpan w:val="3"/>
            <w:vMerge w:val="continue"/>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gridSpan w:val="2"/>
          </w:tcPr>
          <w:p>
            <w:pPr>
              <w:ind w:left="20"/>
              <w:spacing w:after="0"/>
              <w:rPr>
                <w:sz w:val="20"/>
                <w:szCs w:val="20"/>
                <w:color w:val="auto"/>
              </w:rPr>
            </w:pPr>
            <w:r>
              <w:rPr>
                <w:rFonts w:ascii="Arial" w:cs="Arial" w:eastAsia="Arial" w:hAnsi="Arial"/>
                <w:sz w:val="16"/>
                <w:szCs w:val="16"/>
                <w:color w:val="auto"/>
              </w:rPr>
              <w:t>Analysis</w:t>
            </w:r>
          </w:p>
        </w:tc>
        <w:tc>
          <w:tcPr>
            <w:tcW w:w="1760" w:type="dxa"/>
            <w:vAlign w:val="bottom"/>
            <w:gridSpan w:val="2"/>
            <w:vMerge w:val="continue"/>
          </w:tcPr>
          <w:p>
            <w:pPr>
              <w:spacing w:after="0"/>
              <w:rPr>
                <w:sz w:val="17"/>
                <w:szCs w:val="17"/>
                <w:color w:val="auto"/>
              </w:rPr>
            </w:pPr>
          </w:p>
        </w:tc>
        <w:tc>
          <w:tcPr>
            <w:tcW w:w="1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440" w:type="dxa"/>
            <w:vAlign w:val="bottom"/>
            <w:tcBorders>
              <w:left w:val="single" w:sz="8" w:color="CCEEFF"/>
              <w:bottom w:val="single" w:sz="8" w:color="CCEEFF"/>
            </w:tcBorders>
            <w:shd w:val="clear" w:color="auto" w:fill="CCEEFF"/>
          </w:tcPr>
          <w:p>
            <w:pPr>
              <w:spacing w:after="0"/>
              <w:rPr>
                <w:sz w:val="20"/>
                <w:szCs w:val="20"/>
                <w:color w:val="auto"/>
              </w:rPr>
            </w:pPr>
          </w:p>
        </w:tc>
        <w:tc>
          <w:tcPr>
            <w:tcW w:w="3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financial assets at fair value</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6,229</w:t>
            </w:r>
          </w:p>
        </w:tc>
        <w:tc>
          <w:tcPr>
            <w:tcW w:w="10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00" w:type="dxa"/>
            <w:vAlign w:val="bottom"/>
            <w:tcBorders>
              <w:top w:val="single" w:sz="8" w:color="CCEEFF"/>
              <w:bottom w:val="single" w:sz="8" w:color="CCEEFF"/>
            </w:tcBorders>
            <w:gridSpan w:val="2"/>
            <w:vMerge w:val="restart"/>
          </w:tcPr>
          <w:p>
            <w:pPr>
              <w:ind w:left="20"/>
              <w:spacing w:after="0" w:line="158" w:lineRule="exact"/>
              <w:rPr>
                <w:sz w:val="20"/>
                <w:szCs w:val="20"/>
                <w:color w:val="auto"/>
              </w:rPr>
            </w:pPr>
            <w:r>
              <w:rPr>
                <w:rFonts w:ascii="Arial" w:cs="Arial" w:eastAsia="Arial" w:hAnsi="Arial"/>
                <w:sz w:val="16"/>
                <w:szCs w:val="16"/>
                <w:b w:val="1"/>
                <w:bCs w:val="1"/>
                <w:color w:val="auto"/>
                <w:w w:val="89"/>
              </w:rPr>
              <w:t>Liabilities</w:t>
            </w:r>
          </w:p>
        </w:tc>
        <w:tc>
          <w:tcPr>
            <w:tcW w:w="298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700" w:type="dxa"/>
            <w:vAlign w:val="bottom"/>
            <w:tcBorders>
              <w:bottom w:val="single" w:sz="8" w:color="auto"/>
            </w:tcBorders>
            <w:gridSpan w:val="2"/>
            <w:vMerge w:val="continue"/>
          </w:tcPr>
          <w:p>
            <w:pPr>
              <w:spacing w:after="0"/>
              <w:rPr>
                <w:sz w:val="11"/>
                <w:szCs w:val="11"/>
                <w:color w:val="auto"/>
              </w:rPr>
            </w:pPr>
          </w:p>
        </w:tc>
        <w:tc>
          <w:tcPr>
            <w:tcW w:w="298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3680" w:type="dxa"/>
            <w:vAlign w:val="bottom"/>
            <w:tcBorders>
              <w:left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Derivative investments: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3680" w:type="dxa"/>
            <w:vAlign w:val="bottom"/>
            <w:gridSpan w:val="3"/>
          </w:tcPr>
          <w:p>
            <w:pPr>
              <w:ind w:left="220"/>
              <w:spacing w:after="0" w:line="161" w:lineRule="exact"/>
              <w:rPr>
                <w:sz w:val="20"/>
                <w:szCs w:val="20"/>
                <w:color w:val="auto"/>
              </w:rPr>
            </w:pPr>
            <w:r>
              <w:rPr>
                <w:rFonts w:ascii="Arial" w:cs="Arial" w:eastAsia="Arial" w:hAnsi="Arial"/>
                <w:sz w:val="16"/>
                <w:szCs w:val="16"/>
                <w:color w:val="auto"/>
              </w:rPr>
              <w:t>FIA/ IUL embedded derivatives, included in</w:t>
            </w:r>
          </w:p>
        </w:tc>
        <w:tc>
          <w:tcPr>
            <w:tcW w:w="240" w:type="dxa"/>
            <w:vAlign w:val="bottom"/>
            <w:vMerge w:val="restart"/>
          </w:tcPr>
          <w:p>
            <w:pPr>
              <w:jc w:val="right"/>
              <w:ind w:right="61"/>
              <w:spacing w:after="0"/>
              <w:rPr>
                <w:sz w:val="20"/>
                <w:szCs w:val="20"/>
                <w:color w:val="auto"/>
              </w:rPr>
            </w:pPr>
            <w:r>
              <w:rPr>
                <w:rFonts w:ascii="Arial" w:cs="Arial" w:eastAsia="Arial" w:hAnsi="Arial"/>
                <w:sz w:val="16"/>
                <w:szCs w:val="16"/>
                <w:color w:val="auto"/>
                <w:w w:val="89"/>
              </w:rPr>
              <w:t>$</w:t>
            </w: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2,941</w:t>
            </w:r>
          </w:p>
        </w:tc>
        <w:tc>
          <w:tcPr>
            <w:tcW w:w="100" w:type="dxa"/>
            <w:vAlign w:val="bottom"/>
          </w:tcPr>
          <w:p>
            <w:pPr>
              <w:spacing w:after="0"/>
              <w:rPr>
                <w:sz w:val="14"/>
                <w:szCs w:val="14"/>
                <w:color w:val="auto"/>
              </w:rPr>
            </w:pPr>
          </w:p>
        </w:tc>
        <w:tc>
          <w:tcPr>
            <w:tcW w:w="2120" w:type="dxa"/>
            <w:vAlign w:val="bottom"/>
            <w:gridSpan w:val="2"/>
            <w:vMerge w:val="restart"/>
          </w:tcPr>
          <w:p>
            <w:pPr>
              <w:ind w:left="20"/>
              <w:spacing w:after="0"/>
              <w:rPr>
                <w:sz w:val="20"/>
                <w:szCs w:val="20"/>
                <w:color w:val="auto"/>
              </w:rPr>
            </w:pPr>
            <w:r>
              <w:rPr>
                <w:rFonts w:ascii="Arial" w:cs="Arial" w:eastAsia="Arial" w:hAnsi="Arial"/>
                <w:sz w:val="16"/>
                <w:szCs w:val="16"/>
                <w:color w:val="auto"/>
              </w:rPr>
              <w:t>Discounted cash flow</w:t>
            </w:r>
          </w:p>
        </w:tc>
        <w:tc>
          <w:tcPr>
            <w:tcW w:w="1760" w:type="dxa"/>
            <w:vAlign w:val="bottom"/>
            <w:gridSpan w:val="2"/>
            <w:vMerge w:val="restart"/>
          </w:tcPr>
          <w:p>
            <w:pPr>
              <w:ind w:left="20"/>
              <w:spacing w:after="0"/>
              <w:rPr>
                <w:sz w:val="20"/>
                <w:szCs w:val="20"/>
                <w:color w:val="auto"/>
              </w:rPr>
            </w:pPr>
            <w:r>
              <w:rPr>
                <w:rFonts w:ascii="Arial" w:cs="Arial" w:eastAsia="Arial" w:hAnsi="Arial"/>
                <w:sz w:val="16"/>
                <w:szCs w:val="16"/>
                <w:color w:val="auto"/>
              </w:rPr>
              <w:t>Market value of option</w:t>
            </w:r>
          </w:p>
        </w:tc>
        <w:tc>
          <w:tcPr>
            <w:tcW w:w="1940" w:type="dxa"/>
            <w:vAlign w:val="bottom"/>
            <w:vMerge w:val="restart"/>
          </w:tcPr>
          <w:p>
            <w:pPr>
              <w:ind w:left="20"/>
              <w:spacing w:after="0"/>
              <w:rPr>
                <w:sz w:val="20"/>
                <w:szCs w:val="20"/>
                <w:color w:val="auto"/>
              </w:rPr>
            </w:pPr>
            <w:r>
              <w:rPr>
                <w:rFonts w:ascii="Arial" w:cs="Arial" w:eastAsia="Arial" w:hAnsi="Arial"/>
                <w:sz w:val="16"/>
                <w:szCs w:val="16"/>
                <w:color w:val="auto"/>
              </w:rPr>
              <w:t>0.00% - 23.28% (0.48%)</w:t>
            </w:r>
          </w:p>
        </w:tc>
        <w:tc>
          <w:tcPr>
            <w:tcW w:w="0" w:type="dxa"/>
            <w:vAlign w:val="bottom"/>
          </w:tcPr>
          <w:p>
            <w:pPr>
              <w:spacing w:after="0"/>
              <w:rPr>
                <w:sz w:val="1"/>
                <w:szCs w:val="1"/>
                <w:color w:val="auto"/>
              </w:rPr>
            </w:pPr>
          </w:p>
        </w:tc>
      </w:tr>
      <w:tr>
        <w:trPr>
          <w:trHeight w:val="204"/>
        </w:trPr>
        <w:tc>
          <w:tcPr>
            <w:tcW w:w="3680" w:type="dxa"/>
            <w:vAlign w:val="bottom"/>
            <w:gridSpan w:val="3"/>
          </w:tcPr>
          <w:p>
            <w:pPr>
              <w:ind w:left="220"/>
              <w:spacing w:after="0"/>
              <w:rPr>
                <w:sz w:val="20"/>
                <w:szCs w:val="20"/>
                <w:color w:val="auto"/>
              </w:rPr>
            </w:pPr>
            <w:r>
              <w:rPr>
                <w:rFonts w:ascii="Arial" w:cs="Arial" w:eastAsia="Arial" w:hAnsi="Arial"/>
                <w:sz w:val="16"/>
                <w:szCs w:val="16"/>
                <w:color w:val="auto"/>
              </w:rPr>
              <w:t>contractholder funds</w:t>
            </w:r>
          </w:p>
        </w:tc>
        <w:tc>
          <w:tcPr>
            <w:tcW w:w="240" w:type="dxa"/>
            <w:vAlign w:val="bottom"/>
            <w:vMerge w:val="continue"/>
          </w:tcPr>
          <w:p>
            <w:pPr>
              <w:spacing w:after="0"/>
              <w:rPr>
                <w:sz w:val="17"/>
                <w:szCs w:val="17"/>
                <w:color w:val="auto"/>
              </w:rPr>
            </w:pPr>
          </w:p>
        </w:tc>
        <w:tc>
          <w:tcPr>
            <w:tcW w:w="14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gridSpan w:val="2"/>
            <w:vMerge w:val="continue"/>
          </w:tcPr>
          <w:p>
            <w:pPr>
              <w:spacing w:after="0"/>
              <w:rPr>
                <w:sz w:val="17"/>
                <w:szCs w:val="17"/>
                <w:color w:val="auto"/>
              </w:rPr>
            </w:pPr>
          </w:p>
        </w:tc>
        <w:tc>
          <w:tcPr>
            <w:tcW w:w="1760" w:type="dxa"/>
            <w:vAlign w:val="bottom"/>
            <w:gridSpan w:val="2"/>
            <w:vMerge w:val="continue"/>
          </w:tcPr>
          <w:p>
            <w:pPr>
              <w:spacing w:after="0"/>
              <w:rPr>
                <w:sz w:val="17"/>
                <w:szCs w:val="17"/>
                <w:color w:val="auto"/>
              </w:rPr>
            </w:pPr>
          </w:p>
        </w:tc>
        <w:tc>
          <w:tcPr>
            <w:tcW w:w="1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4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Swap rates</w:t>
            </w:r>
          </w:p>
        </w:tc>
        <w:tc>
          <w:tcPr>
            <w:tcW w:w="1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1.28% - 3.38% (2.33%)</w:t>
            </w:r>
          </w:p>
        </w:tc>
        <w:tc>
          <w:tcPr>
            <w:tcW w:w="0" w:type="dxa"/>
            <w:vAlign w:val="bottom"/>
          </w:tcPr>
          <w:p>
            <w:pPr>
              <w:spacing w:after="0"/>
              <w:rPr>
                <w:sz w:val="1"/>
                <w:szCs w:val="1"/>
                <w:color w:val="auto"/>
              </w:rPr>
            </w:pPr>
          </w:p>
        </w:tc>
      </w:tr>
      <w:tr>
        <w:trPr>
          <w:trHeight w:val="161"/>
        </w:trPr>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2"/>
            <w:vMerge w:val="restart"/>
          </w:tcPr>
          <w:p>
            <w:pPr>
              <w:ind w:left="20"/>
              <w:spacing w:after="0"/>
              <w:rPr>
                <w:sz w:val="20"/>
                <w:szCs w:val="20"/>
                <w:color w:val="auto"/>
              </w:rPr>
            </w:pPr>
            <w:r>
              <w:rPr>
                <w:rFonts w:ascii="Arial" w:cs="Arial" w:eastAsia="Arial" w:hAnsi="Arial"/>
                <w:sz w:val="16"/>
                <w:szCs w:val="16"/>
                <w:color w:val="auto"/>
              </w:rPr>
              <w:t>Mortality multiplier</w:t>
            </w:r>
          </w:p>
        </w:tc>
        <w:tc>
          <w:tcPr>
            <w:tcW w:w="1940" w:type="dxa"/>
            <w:vAlign w:val="bottom"/>
          </w:tcPr>
          <w:p>
            <w:pPr>
              <w:ind w:left="20"/>
              <w:spacing w:after="0" w:line="161" w:lineRule="exact"/>
              <w:rPr>
                <w:sz w:val="20"/>
                <w:szCs w:val="20"/>
                <w:color w:val="auto"/>
              </w:rPr>
            </w:pPr>
            <w:r>
              <w:rPr>
                <w:rFonts w:ascii="Arial" w:cs="Arial" w:eastAsia="Arial" w:hAnsi="Arial"/>
                <w:sz w:val="16"/>
                <w:szCs w:val="16"/>
                <w:color w:val="auto"/>
              </w:rPr>
              <w:t>100.00% - 100.00%</w:t>
            </w:r>
          </w:p>
        </w:tc>
        <w:tc>
          <w:tcPr>
            <w:tcW w:w="0" w:type="dxa"/>
            <w:vAlign w:val="bottom"/>
          </w:tcPr>
          <w:p>
            <w:pPr>
              <w:spacing w:after="0"/>
              <w:rPr>
                <w:sz w:val="1"/>
                <w:szCs w:val="1"/>
                <w:color w:val="auto"/>
              </w:rPr>
            </w:pPr>
          </w:p>
        </w:tc>
      </w:tr>
      <w:tr>
        <w:trPr>
          <w:trHeight w:val="204"/>
        </w:trPr>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gridSpan w:val="2"/>
            <w:vMerge w:val="continue"/>
          </w:tcPr>
          <w:p>
            <w:pPr>
              <w:spacing w:after="0"/>
              <w:rPr>
                <w:sz w:val="17"/>
                <w:szCs w:val="17"/>
                <w:color w:val="auto"/>
              </w:rPr>
            </w:pPr>
          </w:p>
        </w:tc>
        <w:tc>
          <w:tcPr>
            <w:tcW w:w="1940" w:type="dxa"/>
            <w:vAlign w:val="bottom"/>
          </w:tcPr>
          <w:p>
            <w:pPr>
              <w:ind w:left="20"/>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14"/>
        </w:trPr>
        <w:tc>
          <w:tcPr>
            <w:tcW w:w="44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Surrender rates</w:t>
            </w:r>
          </w:p>
        </w:tc>
        <w:tc>
          <w:tcPr>
            <w:tcW w:w="1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0.25% - 70.00% (6.38%)</w:t>
            </w:r>
          </w:p>
        </w:tc>
        <w:tc>
          <w:tcPr>
            <w:tcW w:w="0" w:type="dxa"/>
            <w:vAlign w:val="bottom"/>
          </w:tcPr>
          <w:p>
            <w:pPr>
              <w:spacing w:after="0"/>
              <w:rPr>
                <w:sz w:val="1"/>
                <w:szCs w:val="1"/>
                <w:color w:val="auto"/>
              </w:rPr>
            </w:pPr>
          </w:p>
        </w:tc>
      </w:tr>
      <w:tr>
        <w:trPr>
          <w:trHeight w:val="207"/>
        </w:trPr>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tcPr>
          <w:p>
            <w:pPr>
              <w:ind w:left="20"/>
              <w:spacing w:after="0"/>
              <w:rPr>
                <w:sz w:val="20"/>
                <w:szCs w:val="20"/>
                <w:color w:val="auto"/>
              </w:rPr>
            </w:pPr>
            <w:r>
              <w:rPr>
                <w:rFonts w:ascii="Arial" w:cs="Arial" w:eastAsia="Arial" w:hAnsi="Arial"/>
                <w:sz w:val="16"/>
                <w:szCs w:val="16"/>
                <w:color w:val="auto"/>
              </w:rPr>
              <w:t>Partial withdrawals</w:t>
            </w:r>
          </w:p>
        </w:tc>
        <w:tc>
          <w:tcPr>
            <w:tcW w:w="1940" w:type="dxa"/>
            <w:vAlign w:val="bottom"/>
          </w:tcPr>
          <w:p>
            <w:pPr>
              <w:ind w:left="20"/>
              <w:spacing w:after="0"/>
              <w:rPr>
                <w:sz w:val="20"/>
                <w:szCs w:val="20"/>
                <w:color w:val="auto"/>
              </w:rPr>
            </w:pPr>
            <w:r>
              <w:rPr>
                <w:rFonts w:ascii="Arial" w:cs="Arial" w:eastAsia="Arial" w:hAnsi="Arial"/>
                <w:sz w:val="16"/>
                <w:szCs w:val="16"/>
                <w:color w:val="auto"/>
              </w:rPr>
              <w:t>2.00% - 29.41% (2.74%)</w:t>
            </w:r>
          </w:p>
        </w:tc>
        <w:tc>
          <w:tcPr>
            <w:tcW w:w="0" w:type="dxa"/>
            <w:vAlign w:val="bottom"/>
          </w:tcPr>
          <w:p>
            <w:pPr>
              <w:spacing w:after="0"/>
              <w:rPr>
                <w:sz w:val="1"/>
                <w:szCs w:val="1"/>
                <w:color w:val="auto"/>
              </w:rPr>
            </w:pPr>
          </w:p>
        </w:tc>
      </w:tr>
      <w:tr>
        <w:trPr>
          <w:trHeight w:val="214"/>
        </w:trPr>
        <w:tc>
          <w:tcPr>
            <w:tcW w:w="44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6"/>
              </w:rPr>
              <w:t>Non-performance spread</w:t>
            </w:r>
          </w:p>
        </w:tc>
        <w:tc>
          <w:tcPr>
            <w:tcW w:w="1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0.76% - 1.64% (1.50%)</w:t>
            </w:r>
          </w:p>
        </w:tc>
        <w:tc>
          <w:tcPr>
            <w:tcW w:w="0" w:type="dxa"/>
            <w:vAlign w:val="bottom"/>
          </w:tcPr>
          <w:p>
            <w:pPr>
              <w:spacing w:after="0"/>
              <w:rPr>
                <w:sz w:val="1"/>
                <w:szCs w:val="1"/>
                <w:color w:val="auto"/>
              </w:rPr>
            </w:pPr>
          </w:p>
        </w:tc>
      </w:tr>
      <w:tr>
        <w:trPr>
          <w:trHeight w:val="207"/>
        </w:trPr>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tcPr>
          <w:p>
            <w:pPr>
              <w:ind w:left="20"/>
              <w:spacing w:after="0"/>
              <w:rPr>
                <w:sz w:val="20"/>
                <w:szCs w:val="20"/>
                <w:color w:val="auto"/>
              </w:rPr>
            </w:pPr>
            <w:r>
              <w:rPr>
                <w:rFonts w:ascii="Arial" w:cs="Arial" w:eastAsia="Arial" w:hAnsi="Arial"/>
                <w:sz w:val="16"/>
                <w:szCs w:val="16"/>
                <w:color w:val="auto"/>
              </w:rPr>
              <w:t>Option cost</w:t>
            </w:r>
          </w:p>
        </w:tc>
        <w:tc>
          <w:tcPr>
            <w:tcW w:w="1940" w:type="dxa"/>
            <w:vAlign w:val="bottom"/>
          </w:tcPr>
          <w:p>
            <w:pPr>
              <w:ind w:left="20"/>
              <w:spacing w:after="0"/>
              <w:rPr>
                <w:sz w:val="20"/>
                <w:szCs w:val="20"/>
                <w:color w:val="auto"/>
              </w:rPr>
            </w:pPr>
            <w:r>
              <w:rPr>
                <w:rFonts w:ascii="Arial" w:cs="Arial" w:eastAsia="Arial" w:hAnsi="Arial"/>
                <w:sz w:val="16"/>
                <w:szCs w:val="16"/>
                <w:color w:val="auto"/>
              </w:rPr>
              <w:t>0.00% - 4.97% (1.86%)</w:t>
            </w:r>
          </w:p>
        </w:tc>
        <w:tc>
          <w:tcPr>
            <w:tcW w:w="0" w:type="dxa"/>
            <w:vAlign w:val="bottom"/>
          </w:tcPr>
          <w:p>
            <w:pPr>
              <w:spacing w:after="0"/>
              <w:rPr>
                <w:sz w:val="1"/>
                <w:szCs w:val="1"/>
                <w:color w:val="auto"/>
              </w:rPr>
            </w:pPr>
          </w:p>
        </w:tc>
      </w:tr>
      <w:tr>
        <w:trPr>
          <w:trHeight w:val="239"/>
        </w:trPr>
        <w:tc>
          <w:tcPr>
            <w:tcW w:w="440" w:type="dxa"/>
            <w:vAlign w:val="bottom"/>
            <w:tcBorders>
              <w:left w:val="single" w:sz="8" w:color="CCEEFF"/>
              <w:bottom w:val="single" w:sz="8" w:color="CCEEFF"/>
            </w:tcBorders>
            <w:shd w:val="clear" w:color="auto" w:fill="CCEEFF"/>
          </w:tcPr>
          <w:p>
            <w:pPr>
              <w:spacing w:after="0"/>
              <w:rPr>
                <w:sz w:val="20"/>
                <w:szCs w:val="20"/>
                <w:color w:val="auto"/>
              </w:rPr>
            </w:pPr>
          </w:p>
        </w:tc>
        <w:tc>
          <w:tcPr>
            <w:tcW w:w="3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financial liabilities at fair value</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2,941</w:t>
            </w:r>
          </w:p>
        </w:tc>
        <w:tc>
          <w:tcPr>
            <w:tcW w:w="10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Arial" w:cs="Arial" w:eastAsia="Arial" w:hAnsi="Arial"/>
          <w:sz w:val="16"/>
          <w:szCs w:val="16"/>
          <w:b w:val="1"/>
          <w:bCs w:val="1"/>
          <w:u w:val="single" w:color="auto"/>
          <w:color w:val="auto"/>
        </w:rPr>
        <w:t>Assets</w:t>
      </w:r>
    </w:p>
    <w:p>
      <w:pPr>
        <w:spacing w:after="0" w:line="110" w:lineRule="exact"/>
        <w:rPr>
          <w:sz w:val="20"/>
          <w:szCs w:val="20"/>
          <w:color w:val="auto"/>
        </w:rPr>
      </w:pPr>
    </w:p>
    <w:p>
      <w:pPr>
        <w:ind w:left="20"/>
        <w:spacing w:after="0"/>
        <w:rPr>
          <w:sz w:val="20"/>
          <w:szCs w:val="20"/>
          <w:color w:val="auto"/>
        </w:rPr>
      </w:pPr>
      <w:r>
        <w:rPr>
          <w:rFonts w:ascii="Arial" w:cs="Arial" w:eastAsia="Arial" w:hAnsi="Arial"/>
          <w:sz w:val="16"/>
          <w:szCs w:val="16"/>
          <w:color w:val="auto"/>
        </w:rPr>
        <w:t>Asset-backed securities</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6"/>
          <w:szCs w:val="16"/>
          <w:color w:val="auto"/>
        </w:rPr>
        <w:t>Asset-backed securities</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5"/>
          <w:szCs w:val="15"/>
          <w:color w:val="auto"/>
        </w:rPr>
        <w:t>Commercial mortgage-backed securities</w:t>
      </w:r>
    </w:p>
    <w:p>
      <w:pPr>
        <w:spacing w:after="0" w:line="196" w:lineRule="exact"/>
        <w:rPr>
          <w:sz w:val="20"/>
          <w:szCs w:val="20"/>
          <w:color w:val="auto"/>
        </w:rPr>
      </w:pPr>
    </w:p>
    <w:p>
      <w:pPr>
        <w:ind w:left="20"/>
        <w:spacing w:after="0"/>
        <w:rPr>
          <w:sz w:val="20"/>
          <w:szCs w:val="20"/>
          <w:color w:val="auto"/>
        </w:rPr>
      </w:pPr>
      <w:r>
        <w:rPr>
          <w:rFonts w:ascii="Arial" w:cs="Arial" w:eastAsia="Arial" w:hAnsi="Arial"/>
          <w:sz w:val="15"/>
          <w:szCs w:val="15"/>
          <w:color w:val="auto"/>
        </w:rPr>
        <w:t>Commercial mortgage-backed securities</w:t>
      </w:r>
    </w:p>
    <w:p>
      <w:pPr>
        <w:spacing w:after="0" w:line="196"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Corporates</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Corporates</w:t>
      </w:r>
    </w:p>
    <w:p>
      <w:pPr>
        <w:spacing w:after="0" w:line="106"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Corporates</w:t>
      </w:r>
    </w:p>
    <w:p>
      <w:pPr>
        <w:spacing w:after="0" w:line="106" w:lineRule="exact"/>
        <w:rPr>
          <w:sz w:val="20"/>
          <w:szCs w:val="20"/>
          <w:color w:val="auto"/>
        </w:rPr>
      </w:pPr>
    </w:p>
    <w:p>
      <w:pPr>
        <w:ind w:left="20"/>
        <w:spacing w:after="0"/>
        <w:rPr>
          <w:sz w:val="20"/>
          <w:szCs w:val="20"/>
          <w:color w:val="auto"/>
        </w:rPr>
      </w:pPr>
      <w:r>
        <w:rPr>
          <w:rFonts w:ascii="Arial" w:cs="Arial" w:eastAsia="Arial" w:hAnsi="Arial"/>
          <w:sz w:val="16"/>
          <w:szCs w:val="16"/>
          <w:color w:val="auto"/>
        </w:rPr>
        <w:t>Municipals</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6"/>
          <w:szCs w:val="16"/>
          <w:color w:val="auto"/>
        </w:rPr>
        <w:t>Foreign Governments</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6"/>
          <w:szCs w:val="16"/>
          <w:color w:val="auto"/>
        </w:rPr>
        <w:t>Short term investments</w:t>
      </w:r>
    </w:p>
    <w:p>
      <w:pPr>
        <w:spacing w:after="0" w:line="106"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Preferred securities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6"/>
          <w:szCs w:val="16"/>
          <w:color w:val="auto"/>
        </w:rPr>
        <w:t>Equity securities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6"/>
          <w:szCs w:val="16"/>
          <w:color w:val="auto"/>
        </w:rPr>
        <w:t>Equity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0"/>
        <w:spacing w:after="0"/>
        <w:rPr>
          <w:sz w:val="20"/>
          <w:szCs w:val="20"/>
          <w:color w:val="auto"/>
        </w:rPr>
      </w:pPr>
      <w:r>
        <w:rPr>
          <w:rFonts w:ascii="Arial" w:cs="Arial" w:eastAsia="Arial" w:hAnsi="Arial"/>
          <w:sz w:val="16"/>
          <w:szCs w:val="16"/>
          <w:color w:val="auto"/>
        </w:rPr>
        <w:t>Equity securities</w:t>
      </w:r>
    </w:p>
    <w:p>
      <w:pPr>
        <w:spacing w:after="0" w:line="395" w:lineRule="exact"/>
        <w:rPr>
          <w:sz w:val="20"/>
          <w:szCs w:val="20"/>
          <w:color w:val="auto"/>
        </w:rPr>
      </w:pPr>
    </w:p>
    <w:p>
      <w:pPr>
        <w:ind w:left="20" w:right="460"/>
        <w:spacing w:after="0" w:line="285" w:lineRule="auto"/>
        <w:rPr>
          <w:sz w:val="20"/>
          <w:szCs w:val="20"/>
          <w:color w:val="auto"/>
        </w:rPr>
      </w:pPr>
      <w:r>
        <w:rPr>
          <w:rFonts w:ascii="Arial" w:cs="Arial" w:eastAsia="Arial" w:hAnsi="Arial"/>
          <w:sz w:val="16"/>
          <w:szCs w:val="16"/>
          <w:color w:val="auto"/>
        </w:rPr>
        <w:t>Other long-term investments: Available-for-sale embedded derivative Credit Linked Note</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Investment in affiliate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Total financial assets at fair value</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6"/>
          <w:szCs w:val="16"/>
          <w:b w:val="1"/>
          <w:bCs w:val="1"/>
          <w:u w:val="single" w:color="auto"/>
          <w:color w:val="auto"/>
        </w:rPr>
        <w:t>Liabilities</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Derivative investments:</w:t>
      </w:r>
    </w:p>
    <w:p>
      <w:pPr>
        <w:spacing w:after="0" w:line="27" w:lineRule="exact"/>
        <w:rPr>
          <w:sz w:val="20"/>
          <w:szCs w:val="20"/>
          <w:color w:val="auto"/>
        </w:rPr>
      </w:pPr>
    </w:p>
    <w:p>
      <w:pPr>
        <w:ind w:left="20" w:right="160"/>
        <w:spacing w:after="0" w:line="233" w:lineRule="auto"/>
        <w:rPr>
          <w:sz w:val="20"/>
          <w:szCs w:val="20"/>
          <w:color w:val="auto"/>
        </w:rPr>
      </w:pPr>
      <w:r>
        <w:rPr>
          <w:rFonts w:ascii="Arial" w:cs="Arial" w:eastAsia="Arial" w:hAnsi="Arial"/>
          <w:sz w:val="16"/>
          <w:szCs w:val="16"/>
          <w:color w:val="auto"/>
        </w:rPr>
        <w:t>FIA/ IUL embedded derivatives, included in contractholder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Total financial liabilities at fair value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3"/>
        </w:trPr>
        <w:tc>
          <w:tcPr>
            <w:tcW w:w="180" w:type="dxa"/>
            <w:vAlign w:val="bottom"/>
          </w:tcPr>
          <w:p>
            <w:pPr>
              <w:spacing w:after="0"/>
              <w:rPr>
                <w:sz w:val="15"/>
                <w:szCs w:val="15"/>
                <w:color w:val="auto"/>
              </w:rPr>
            </w:pPr>
          </w:p>
        </w:tc>
        <w:tc>
          <w:tcPr>
            <w:tcW w:w="1460" w:type="dxa"/>
            <w:vAlign w:val="bottom"/>
          </w:tcPr>
          <w:p>
            <w:pPr>
              <w:jc w:val="center"/>
              <w:ind w:right="122"/>
              <w:spacing w:after="0"/>
              <w:rPr>
                <w:sz w:val="20"/>
                <w:szCs w:val="20"/>
                <w:color w:val="auto"/>
              </w:rPr>
            </w:pPr>
            <w:r>
              <w:rPr>
                <w:rFonts w:ascii="Arial" w:cs="Arial" w:eastAsia="Arial" w:hAnsi="Arial"/>
                <w:sz w:val="14"/>
                <w:szCs w:val="14"/>
                <w:b w:val="1"/>
                <w:bCs w:val="1"/>
                <w:color w:val="auto"/>
                <w:w w:val="93"/>
              </w:rPr>
              <w:t>Fair Value at</w:t>
            </w:r>
          </w:p>
        </w:tc>
        <w:tc>
          <w:tcPr>
            <w:tcW w:w="1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180" w:type="dxa"/>
            <w:vAlign w:val="bottom"/>
          </w:tcPr>
          <w:p>
            <w:pPr>
              <w:spacing w:after="0"/>
              <w:rPr>
                <w:sz w:val="18"/>
                <w:szCs w:val="18"/>
                <w:color w:val="auto"/>
              </w:rPr>
            </w:pPr>
          </w:p>
        </w:tc>
        <w:tc>
          <w:tcPr>
            <w:tcW w:w="1460" w:type="dxa"/>
            <w:vAlign w:val="bottom"/>
          </w:tcPr>
          <w:p>
            <w:pPr>
              <w:jc w:val="center"/>
              <w:ind w:right="102"/>
              <w:spacing w:after="0"/>
              <w:rPr>
                <w:sz w:val="20"/>
                <w:szCs w:val="20"/>
                <w:color w:val="auto"/>
              </w:rPr>
            </w:pPr>
            <w:r>
              <w:rPr>
                <w:rFonts w:ascii="Arial" w:cs="Arial" w:eastAsia="Arial" w:hAnsi="Arial"/>
                <w:sz w:val="14"/>
                <w:szCs w:val="14"/>
                <w:b w:val="1"/>
                <w:bCs w:val="1"/>
                <w:color w:val="auto"/>
                <w:w w:val="88"/>
              </w:rPr>
              <w:t>December 31, 2021</w:t>
            </w: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ind w:left="200"/>
              <w:spacing w:after="0"/>
              <w:rPr>
                <w:sz w:val="20"/>
                <w:szCs w:val="20"/>
                <w:color w:val="auto"/>
              </w:rPr>
            </w:pPr>
            <w:r>
              <w:rPr>
                <w:rFonts w:ascii="Arial" w:cs="Arial" w:eastAsia="Arial" w:hAnsi="Arial"/>
                <w:sz w:val="14"/>
                <w:szCs w:val="14"/>
                <w:b w:val="1"/>
                <w:bCs w:val="1"/>
                <w:color w:val="auto"/>
                <w:w w:val="98"/>
              </w:rPr>
              <w:t>Range (Weighted average)</w:t>
            </w:r>
          </w:p>
        </w:tc>
        <w:tc>
          <w:tcPr>
            <w:tcW w:w="0" w:type="dxa"/>
            <w:vAlign w:val="bottom"/>
          </w:tcPr>
          <w:p>
            <w:pPr>
              <w:spacing w:after="0"/>
              <w:rPr>
                <w:sz w:val="1"/>
                <w:szCs w:val="1"/>
                <w:color w:val="auto"/>
              </w:rPr>
            </w:pPr>
          </w:p>
        </w:tc>
      </w:tr>
      <w:tr>
        <w:trPr>
          <w:trHeight w:val="216"/>
        </w:trPr>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1"/>
              </w:rPr>
              <w:t>(in millions)</w:t>
            </w:r>
          </w:p>
        </w:tc>
        <w:tc>
          <w:tcPr>
            <w:tcW w:w="100" w:type="dxa"/>
            <w:vAlign w:val="bottom"/>
          </w:tcPr>
          <w:p>
            <w:pPr>
              <w:spacing w:after="0"/>
              <w:rPr>
                <w:sz w:val="18"/>
                <w:szCs w:val="18"/>
                <w:color w:val="auto"/>
              </w:rPr>
            </w:pPr>
          </w:p>
        </w:tc>
        <w:tc>
          <w:tcPr>
            <w:tcW w:w="198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Valuation Technique</w:t>
            </w:r>
          </w:p>
        </w:tc>
        <w:tc>
          <w:tcPr>
            <w:tcW w:w="120" w:type="dxa"/>
            <w:vAlign w:val="bottom"/>
          </w:tcPr>
          <w:p>
            <w:pPr>
              <w:spacing w:after="0"/>
              <w:rPr>
                <w:sz w:val="18"/>
                <w:szCs w:val="18"/>
                <w:color w:val="auto"/>
              </w:rPr>
            </w:pPr>
          </w:p>
        </w:tc>
        <w:tc>
          <w:tcPr>
            <w:tcW w:w="16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Unobservable Input(s)</w:t>
            </w:r>
          </w:p>
        </w:tc>
        <w:tc>
          <w:tcPr>
            <w:tcW w:w="100" w:type="dxa"/>
            <w:vAlign w:val="bottom"/>
          </w:tcPr>
          <w:p>
            <w:pPr>
              <w:spacing w:after="0"/>
              <w:rPr>
                <w:sz w:val="18"/>
                <w:szCs w:val="18"/>
                <w:color w:val="auto"/>
              </w:rPr>
            </w:pPr>
          </w:p>
        </w:tc>
        <w:tc>
          <w:tcPr>
            <w:tcW w:w="196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357"/>
        </w:trPr>
        <w:tc>
          <w:tcPr>
            <w:tcW w:w="180" w:type="dxa"/>
            <w:vAlign w:val="bottom"/>
            <w:vMerge w:val="restart"/>
          </w:tcPr>
          <w:p>
            <w:pPr>
              <w:jc w:val="right"/>
              <w:ind w:right="1"/>
              <w:spacing w:after="0"/>
              <w:rPr>
                <w:sz w:val="20"/>
                <w:szCs w:val="20"/>
                <w:color w:val="auto"/>
              </w:rPr>
            </w:pPr>
            <w:r>
              <w:rPr>
                <w:rFonts w:ascii="Arial" w:cs="Arial" w:eastAsia="Arial" w:hAnsi="Arial"/>
                <w:sz w:val="16"/>
                <w:szCs w:val="16"/>
                <w:color w:val="auto"/>
                <w:w w:val="89"/>
              </w:rPr>
              <w:t>$</w:t>
            </w:r>
          </w:p>
        </w:tc>
        <w:tc>
          <w:tcPr>
            <w:tcW w:w="1460" w:type="dxa"/>
            <w:vAlign w:val="bottom"/>
            <w:vMerge w:val="restart"/>
          </w:tcPr>
          <w:p>
            <w:pPr>
              <w:jc w:val="right"/>
              <w:ind w:right="2"/>
              <w:spacing w:after="0"/>
              <w:rPr>
                <w:sz w:val="20"/>
                <w:szCs w:val="20"/>
                <w:color w:val="auto"/>
              </w:rPr>
            </w:pPr>
            <w:r>
              <w:rPr>
                <w:rFonts w:ascii="Arial" w:cs="Arial" w:eastAsia="Arial" w:hAnsi="Arial"/>
                <w:sz w:val="16"/>
                <w:szCs w:val="16"/>
                <w:color w:val="auto"/>
              </w:rPr>
              <w:t>3,844</w:t>
            </w:r>
          </w:p>
        </w:tc>
        <w:tc>
          <w:tcPr>
            <w:tcW w:w="100" w:type="dxa"/>
            <w:vAlign w:val="bottom"/>
          </w:tcPr>
          <w:p>
            <w:pPr>
              <w:spacing w:after="0"/>
              <w:rPr>
                <w:sz w:val="24"/>
                <w:szCs w:val="24"/>
                <w:color w:val="auto"/>
              </w:rPr>
            </w:pPr>
          </w:p>
        </w:tc>
        <w:tc>
          <w:tcPr>
            <w:tcW w:w="2100" w:type="dxa"/>
            <w:vAlign w:val="bottom"/>
            <w:gridSpan w:val="2"/>
            <w:vMerge w:val="restart"/>
          </w:tcPr>
          <w:p>
            <w:pPr>
              <w:ind w:left="20"/>
              <w:spacing w:after="0"/>
              <w:rPr>
                <w:sz w:val="20"/>
                <w:szCs w:val="20"/>
                <w:color w:val="auto"/>
              </w:rPr>
            </w:pPr>
            <w:r>
              <w:rPr>
                <w:rFonts w:ascii="Arial" w:cs="Arial" w:eastAsia="Arial" w:hAnsi="Arial"/>
                <w:sz w:val="16"/>
                <w:szCs w:val="16"/>
                <w:color w:val="auto"/>
              </w:rPr>
              <w:t>Broker-quoted</w:t>
            </w:r>
          </w:p>
        </w:tc>
        <w:tc>
          <w:tcPr>
            <w:tcW w:w="1740" w:type="dxa"/>
            <w:vAlign w:val="bottom"/>
            <w:gridSpan w:val="2"/>
            <w:vMerge w:val="restart"/>
          </w:tcPr>
          <w:p>
            <w:pPr>
              <w:spacing w:after="0"/>
              <w:rPr>
                <w:sz w:val="20"/>
                <w:szCs w:val="20"/>
                <w:color w:val="auto"/>
              </w:rPr>
            </w:pPr>
            <w:r>
              <w:rPr>
                <w:rFonts w:ascii="Arial" w:cs="Arial" w:eastAsia="Arial" w:hAnsi="Arial"/>
                <w:sz w:val="16"/>
                <w:szCs w:val="16"/>
                <w:color w:val="auto"/>
              </w:rPr>
              <w:t>Offered quotes</w:t>
            </w:r>
          </w:p>
        </w:tc>
        <w:tc>
          <w:tcPr>
            <w:tcW w:w="1960" w:type="dxa"/>
            <w:vAlign w:val="bottom"/>
          </w:tcPr>
          <w:p>
            <w:pPr>
              <w:ind w:left="20"/>
              <w:spacing w:after="0"/>
              <w:rPr>
                <w:sz w:val="20"/>
                <w:szCs w:val="20"/>
                <w:color w:val="auto"/>
              </w:rPr>
            </w:pPr>
            <w:r>
              <w:rPr>
                <w:rFonts w:ascii="Arial" w:cs="Arial" w:eastAsia="Arial" w:hAnsi="Arial"/>
                <w:sz w:val="16"/>
                <w:szCs w:val="16"/>
                <w:color w:val="auto"/>
              </w:rPr>
              <w:t>52.56% - 260.70%</w:t>
            </w:r>
          </w:p>
        </w:tc>
        <w:tc>
          <w:tcPr>
            <w:tcW w:w="0" w:type="dxa"/>
            <w:vAlign w:val="bottom"/>
          </w:tcPr>
          <w:p>
            <w:pPr>
              <w:spacing w:after="0"/>
              <w:rPr>
                <w:sz w:val="1"/>
                <w:szCs w:val="1"/>
                <w:color w:val="auto"/>
              </w:rPr>
            </w:pPr>
          </w:p>
        </w:tc>
      </w:tr>
      <w:tr>
        <w:trPr>
          <w:trHeight w:val="201"/>
        </w:trPr>
        <w:tc>
          <w:tcPr>
            <w:tcW w:w="180" w:type="dxa"/>
            <w:vAlign w:val="bottom"/>
            <w:vMerge w:val="continue"/>
          </w:tcPr>
          <w:p>
            <w:pPr>
              <w:spacing w:after="0"/>
              <w:rPr>
                <w:sz w:val="17"/>
                <w:szCs w:val="17"/>
                <w:color w:val="auto"/>
              </w:rPr>
            </w:pPr>
          </w:p>
        </w:tc>
        <w:tc>
          <w:tcPr>
            <w:tcW w:w="14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2"/>
            <w:vMerge w:val="continue"/>
          </w:tcPr>
          <w:p>
            <w:pPr>
              <w:spacing w:after="0"/>
              <w:rPr>
                <w:sz w:val="17"/>
                <w:szCs w:val="17"/>
                <w:color w:val="auto"/>
              </w:rPr>
            </w:pPr>
          </w:p>
        </w:tc>
        <w:tc>
          <w:tcPr>
            <w:tcW w:w="1740" w:type="dxa"/>
            <w:vAlign w:val="bottom"/>
            <w:gridSpan w:val="2"/>
            <w:vMerge w:val="continue"/>
          </w:tcPr>
          <w:p>
            <w:pPr>
              <w:spacing w:after="0"/>
              <w:rPr>
                <w:sz w:val="17"/>
                <w:szCs w:val="17"/>
                <w:color w:val="auto"/>
              </w:rPr>
            </w:pPr>
          </w:p>
        </w:tc>
        <w:tc>
          <w:tcPr>
            <w:tcW w:w="1960" w:type="dxa"/>
            <w:vAlign w:val="bottom"/>
          </w:tcPr>
          <w:p>
            <w:pPr>
              <w:ind w:left="20"/>
              <w:spacing w:after="0"/>
              <w:rPr>
                <w:sz w:val="20"/>
                <w:szCs w:val="20"/>
                <w:color w:val="auto"/>
              </w:rPr>
            </w:pPr>
            <w:r>
              <w:rPr>
                <w:rFonts w:ascii="Arial" w:cs="Arial" w:eastAsia="Arial" w:hAnsi="Arial"/>
                <w:sz w:val="16"/>
                <w:szCs w:val="16"/>
                <w:color w:val="auto"/>
              </w:rPr>
              <w:t>(97.06%)</w:t>
            </w:r>
          </w:p>
        </w:tc>
        <w:tc>
          <w:tcPr>
            <w:tcW w:w="0" w:type="dxa"/>
            <w:vAlign w:val="bottom"/>
          </w:tcPr>
          <w:p>
            <w:pPr>
              <w:spacing w:after="0"/>
              <w:rPr>
                <w:sz w:val="1"/>
                <w:szCs w:val="1"/>
                <w:color w:val="auto"/>
              </w:rPr>
            </w:pPr>
          </w:p>
        </w:tc>
      </w:tr>
      <w:tr>
        <w:trPr>
          <w:trHeight w:val="168"/>
        </w:trPr>
        <w:tc>
          <w:tcPr>
            <w:tcW w:w="180" w:type="dxa"/>
            <w:vAlign w:val="bottom"/>
          </w:tcPr>
          <w:p>
            <w:pPr>
              <w:spacing w:after="0"/>
              <w:rPr>
                <w:sz w:val="14"/>
                <w:szCs w:val="14"/>
                <w:color w:val="auto"/>
              </w:rPr>
            </w:pPr>
          </w:p>
        </w:tc>
        <w:tc>
          <w:tcPr>
            <w:tcW w:w="1460" w:type="dxa"/>
            <w:vAlign w:val="bottom"/>
            <w:vMerge w:val="restart"/>
          </w:tcPr>
          <w:p>
            <w:pPr>
              <w:jc w:val="right"/>
              <w:ind w:right="2"/>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14"/>
                <w:szCs w:val="14"/>
                <w:color w:val="auto"/>
              </w:rPr>
            </w:pPr>
          </w:p>
        </w:tc>
        <w:tc>
          <w:tcPr>
            <w:tcW w:w="2100" w:type="dxa"/>
            <w:vAlign w:val="bottom"/>
            <w:gridSpan w:val="2"/>
            <w:vMerge w:val="restart"/>
          </w:tcPr>
          <w:p>
            <w:pPr>
              <w:ind w:left="20"/>
              <w:spacing w:after="0"/>
              <w:rPr>
                <w:sz w:val="20"/>
                <w:szCs w:val="20"/>
                <w:color w:val="auto"/>
              </w:rPr>
            </w:pPr>
            <w:r>
              <w:rPr>
                <w:rFonts w:ascii="Arial" w:cs="Arial" w:eastAsia="Arial" w:hAnsi="Arial"/>
                <w:sz w:val="16"/>
                <w:szCs w:val="16"/>
                <w:color w:val="auto"/>
              </w:rPr>
              <w:t>Third-Party Valuation</w:t>
            </w:r>
          </w:p>
        </w:tc>
        <w:tc>
          <w:tcPr>
            <w:tcW w:w="1740" w:type="dxa"/>
            <w:vAlign w:val="bottom"/>
            <w:gridSpan w:val="2"/>
            <w:vMerge w:val="restart"/>
          </w:tcPr>
          <w:p>
            <w:pPr>
              <w:spacing w:after="0"/>
              <w:rPr>
                <w:sz w:val="20"/>
                <w:szCs w:val="20"/>
                <w:color w:val="auto"/>
              </w:rPr>
            </w:pPr>
            <w:r>
              <w:rPr>
                <w:rFonts w:ascii="Arial" w:cs="Arial" w:eastAsia="Arial" w:hAnsi="Arial"/>
                <w:sz w:val="16"/>
                <w:szCs w:val="16"/>
                <w:color w:val="auto"/>
              </w:rPr>
              <w:t>Offered quotes</w:t>
            </w:r>
          </w:p>
        </w:tc>
        <w:tc>
          <w:tcPr>
            <w:tcW w:w="1960" w:type="dxa"/>
            <w:vAlign w:val="bottom"/>
          </w:tcPr>
          <w:p>
            <w:pPr>
              <w:ind w:left="20"/>
              <w:spacing w:after="0" w:line="168" w:lineRule="exact"/>
              <w:rPr>
                <w:sz w:val="20"/>
                <w:szCs w:val="20"/>
                <w:color w:val="auto"/>
              </w:rPr>
            </w:pPr>
            <w:r>
              <w:rPr>
                <w:rFonts w:ascii="Arial" w:cs="Arial" w:eastAsia="Arial" w:hAnsi="Arial"/>
                <w:sz w:val="16"/>
                <w:szCs w:val="16"/>
                <w:color w:val="auto"/>
              </w:rPr>
              <w:t>93.02% - 108.45%</w:t>
            </w:r>
          </w:p>
        </w:tc>
        <w:tc>
          <w:tcPr>
            <w:tcW w:w="0" w:type="dxa"/>
            <w:vAlign w:val="bottom"/>
          </w:tcPr>
          <w:p>
            <w:pPr>
              <w:spacing w:after="0"/>
              <w:rPr>
                <w:sz w:val="1"/>
                <w:szCs w:val="1"/>
                <w:color w:val="auto"/>
              </w:rPr>
            </w:pPr>
          </w:p>
        </w:tc>
      </w:tr>
      <w:tr>
        <w:trPr>
          <w:trHeight w:val="201"/>
        </w:trPr>
        <w:tc>
          <w:tcPr>
            <w:tcW w:w="180" w:type="dxa"/>
            <w:vAlign w:val="bottom"/>
          </w:tcPr>
          <w:p>
            <w:pPr>
              <w:spacing w:after="0"/>
              <w:rPr>
                <w:sz w:val="17"/>
                <w:szCs w:val="17"/>
                <w:color w:val="auto"/>
              </w:rPr>
            </w:pPr>
          </w:p>
        </w:tc>
        <w:tc>
          <w:tcPr>
            <w:tcW w:w="14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2"/>
            <w:vMerge w:val="continue"/>
          </w:tcPr>
          <w:p>
            <w:pPr>
              <w:spacing w:after="0"/>
              <w:rPr>
                <w:sz w:val="17"/>
                <w:szCs w:val="17"/>
                <w:color w:val="auto"/>
              </w:rPr>
            </w:pPr>
          </w:p>
        </w:tc>
        <w:tc>
          <w:tcPr>
            <w:tcW w:w="1740" w:type="dxa"/>
            <w:vAlign w:val="bottom"/>
            <w:gridSpan w:val="2"/>
            <w:vMerge w:val="continue"/>
          </w:tcPr>
          <w:p>
            <w:pPr>
              <w:spacing w:after="0"/>
              <w:rPr>
                <w:sz w:val="17"/>
                <w:szCs w:val="17"/>
                <w:color w:val="auto"/>
              </w:rPr>
            </w:pPr>
          </w:p>
        </w:tc>
        <w:tc>
          <w:tcPr>
            <w:tcW w:w="1960" w:type="dxa"/>
            <w:vAlign w:val="bottom"/>
          </w:tcPr>
          <w:p>
            <w:pPr>
              <w:ind w:left="20"/>
              <w:spacing w:after="0"/>
              <w:rPr>
                <w:sz w:val="20"/>
                <w:szCs w:val="20"/>
                <w:color w:val="auto"/>
              </w:rPr>
            </w:pPr>
            <w:r>
              <w:rPr>
                <w:rFonts w:ascii="Arial" w:cs="Arial" w:eastAsia="Arial" w:hAnsi="Arial"/>
                <w:sz w:val="16"/>
                <w:szCs w:val="16"/>
                <w:color w:val="auto"/>
              </w:rPr>
              <w:t>(104.95%)</w:t>
            </w:r>
          </w:p>
        </w:tc>
        <w:tc>
          <w:tcPr>
            <w:tcW w:w="0" w:type="dxa"/>
            <w:vAlign w:val="bottom"/>
          </w:tcPr>
          <w:p>
            <w:pPr>
              <w:spacing w:after="0"/>
              <w:rPr>
                <w:sz w:val="1"/>
                <w:szCs w:val="1"/>
                <w:color w:val="auto"/>
              </w:rPr>
            </w:pPr>
          </w:p>
        </w:tc>
      </w:tr>
      <w:tr>
        <w:trPr>
          <w:trHeight w:val="168"/>
        </w:trPr>
        <w:tc>
          <w:tcPr>
            <w:tcW w:w="180" w:type="dxa"/>
            <w:vAlign w:val="bottom"/>
          </w:tcPr>
          <w:p>
            <w:pPr>
              <w:spacing w:after="0"/>
              <w:rPr>
                <w:sz w:val="14"/>
                <w:szCs w:val="14"/>
                <w:color w:val="auto"/>
              </w:rPr>
            </w:pPr>
          </w:p>
        </w:tc>
        <w:tc>
          <w:tcPr>
            <w:tcW w:w="1460" w:type="dxa"/>
            <w:vAlign w:val="bottom"/>
            <w:vMerge w:val="restart"/>
          </w:tcPr>
          <w:p>
            <w:pPr>
              <w:jc w:val="right"/>
              <w:ind w:right="2"/>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4"/>
                <w:szCs w:val="14"/>
                <w:color w:val="auto"/>
              </w:rPr>
            </w:pPr>
          </w:p>
        </w:tc>
        <w:tc>
          <w:tcPr>
            <w:tcW w:w="2100" w:type="dxa"/>
            <w:vAlign w:val="bottom"/>
            <w:gridSpan w:val="2"/>
            <w:vMerge w:val="restart"/>
          </w:tcPr>
          <w:p>
            <w:pPr>
              <w:ind w:left="20"/>
              <w:spacing w:after="0"/>
              <w:rPr>
                <w:sz w:val="20"/>
                <w:szCs w:val="20"/>
                <w:color w:val="auto"/>
              </w:rPr>
            </w:pPr>
            <w:r>
              <w:rPr>
                <w:rFonts w:ascii="Arial" w:cs="Arial" w:eastAsia="Arial" w:hAnsi="Arial"/>
                <w:sz w:val="16"/>
                <w:szCs w:val="16"/>
                <w:color w:val="auto"/>
              </w:rPr>
              <w:t>Broker-quoted</w:t>
            </w:r>
          </w:p>
        </w:tc>
        <w:tc>
          <w:tcPr>
            <w:tcW w:w="1740" w:type="dxa"/>
            <w:vAlign w:val="bottom"/>
            <w:gridSpan w:val="2"/>
            <w:vMerge w:val="restart"/>
          </w:tcPr>
          <w:p>
            <w:pPr>
              <w:spacing w:after="0"/>
              <w:rPr>
                <w:sz w:val="20"/>
                <w:szCs w:val="20"/>
                <w:color w:val="auto"/>
              </w:rPr>
            </w:pPr>
            <w:r>
              <w:rPr>
                <w:rFonts w:ascii="Arial" w:cs="Arial" w:eastAsia="Arial" w:hAnsi="Arial"/>
                <w:sz w:val="16"/>
                <w:szCs w:val="16"/>
                <w:color w:val="auto"/>
              </w:rPr>
              <w:t>Offered quotes</w:t>
            </w:r>
          </w:p>
        </w:tc>
        <w:tc>
          <w:tcPr>
            <w:tcW w:w="1960" w:type="dxa"/>
            <w:vAlign w:val="bottom"/>
          </w:tcPr>
          <w:p>
            <w:pPr>
              <w:ind w:left="20"/>
              <w:spacing w:after="0" w:line="168" w:lineRule="exact"/>
              <w:rPr>
                <w:sz w:val="20"/>
                <w:szCs w:val="20"/>
                <w:color w:val="auto"/>
              </w:rPr>
            </w:pPr>
            <w:r>
              <w:rPr>
                <w:rFonts w:ascii="Arial" w:cs="Arial" w:eastAsia="Arial" w:hAnsi="Arial"/>
                <w:sz w:val="16"/>
                <w:szCs w:val="16"/>
                <w:color w:val="auto"/>
              </w:rPr>
              <w:t>126.70% - 126.70%</w:t>
            </w:r>
          </w:p>
        </w:tc>
        <w:tc>
          <w:tcPr>
            <w:tcW w:w="0" w:type="dxa"/>
            <w:vAlign w:val="bottom"/>
          </w:tcPr>
          <w:p>
            <w:pPr>
              <w:spacing w:after="0"/>
              <w:rPr>
                <w:sz w:val="1"/>
                <w:szCs w:val="1"/>
                <w:color w:val="auto"/>
              </w:rPr>
            </w:pPr>
          </w:p>
        </w:tc>
      </w:tr>
      <w:tr>
        <w:trPr>
          <w:trHeight w:val="201"/>
        </w:trPr>
        <w:tc>
          <w:tcPr>
            <w:tcW w:w="180" w:type="dxa"/>
            <w:vAlign w:val="bottom"/>
          </w:tcPr>
          <w:p>
            <w:pPr>
              <w:spacing w:after="0"/>
              <w:rPr>
                <w:sz w:val="17"/>
                <w:szCs w:val="17"/>
                <w:color w:val="auto"/>
              </w:rPr>
            </w:pPr>
          </w:p>
        </w:tc>
        <w:tc>
          <w:tcPr>
            <w:tcW w:w="14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2"/>
            <w:vMerge w:val="continue"/>
          </w:tcPr>
          <w:p>
            <w:pPr>
              <w:spacing w:after="0"/>
              <w:rPr>
                <w:sz w:val="17"/>
                <w:szCs w:val="17"/>
                <w:color w:val="auto"/>
              </w:rPr>
            </w:pPr>
          </w:p>
        </w:tc>
        <w:tc>
          <w:tcPr>
            <w:tcW w:w="1740" w:type="dxa"/>
            <w:vAlign w:val="bottom"/>
            <w:gridSpan w:val="2"/>
            <w:vMerge w:val="continue"/>
          </w:tcPr>
          <w:p>
            <w:pPr>
              <w:spacing w:after="0"/>
              <w:rPr>
                <w:sz w:val="17"/>
                <w:szCs w:val="17"/>
                <w:color w:val="auto"/>
              </w:rPr>
            </w:pPr>
          </w:p>
        </w:tc>
        <w:tc>
          <w:tcPr>
            <w:tcW w:w="1960" w:type="dxa"/>
            <w:vAlign w:val="bottom"/>
          </w:tcPr>
          <w:p>
            <w:pPr>
              <w:ind w:left="20"/>
              <w:spacing w:after="0"/>
              <w:rPr>
                <w:sz w:val="20"/>
                <w:szCs w:val="20"/>
                <w:color w:val="auto"/>
              </w:rPr>
            </w:pPr>
            <w:r>
              <w:rPr>
                <w:rFonts w:ascii="Arial" w:cs="Arial" w:eastAsia="Arial" w:hAnsi="Arial"/>
                <w:sz w:val="16"/>
                <w:szCs w:val="16"/>
                <w:color w:val="auto"/>
              </w:rPr>
              <w:t>(126.70%)</w:t>
            </w:r>
          </w:p>
        </w:tc>
        <w:tc>
          <w:tcPr>
            <w:tcW w:w="0" w:type="dxa"/>
            <w:vAlign w:val="bottom"/>
          </w:tcPr>
          <w:p>
            <w:pPr>
              <w:spacing w:after="0"/>
              <w:rPr>
                <w:sz w:val="1"/>
                <w:szCs w:val="1"/>
                <w:color w:val="auto"/>
              </w:rPr>
            </w:pPr>
          </w:p>
        </w:tc>
      </w:tr>
      <w:tr>
        <w:trPr>
          <w:trHeight w:val="168"/>
        </w:trPr>
        <w:tc>
          <w:tcPr>
            <w:tcW w:w="180" w:type="dxa"/>
            <w:vAlign w:val="bottom"/>
          </w:tcPr>
          <w:p>
            <w:pPr>
              <w:spacing w:after="0"/>
              <w:rPr>
                <w:sz w:val="14"/>
                <w:szCs w:val="14"/>
                <w:color w:val="auto"/>
              </w:rPr>
            </w:pPr>
          </w:p>
        </w:tc>
        <w:tc>
          <w:tcPr>
            <w:tcW w:w="1460" w:type="dxa"/>
            <w:vAlign w:val="bottom"/>
            <w:vMerge w:val="restart"/>
          </w:tcPr>
          <w:p>
            <w:pPr>
              <w:jc w:val="right"/>
              <w:ind w:right="2"/>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4"/>
                <w:szCs w:val="14"/>
                <w:color w:val="auto"/>
              </w:rPr>
            </w:pPr>
          </w:p>
        </w:tc>
        <w:tc>
          <w:tcPr>
            <w:tcW w:w="2100" w:type="dxa"/>
            <w:vAlign w:val="bottom"/>
            <w:gridSpan w:val="2"/>
            <w:vMerge w:val="restart"/>
          </w:tcPr>
          <w:p>
            <w:pPr>
              <w:ind w:left="20"/>
              <w:spacing w:after="0"/>
              <w:rPr>
                <w:sz w:val="20"/>
                <w:szCs w:val="20"/>
                <w:color w:val="auto"/>
              </w:rPr>
            </w:pPr>
            <w:r>
              <w:rPr>
                <w:rFonts w:ascii="Arial" w:cs="Arial" w:eastAsia="Arial" w:hAnsi="Arial"/>
                <w:sz w:val="16"/>
                <w:szCs w:val="16"/>
                <w:color w:val="auto"/>
              </w:rPr>
              <w:t>Third Party Valuation</w:t>
            </w:r>
          </w:p>
        </w:tc>
        <w:tc>
          <w:tcPr>
            <w:tcW w:w="1740" w:type="dxa"/>
            <w:vAlign w:val="bottom"/>
            <w:gridSpan w:val="2"/>
            <w:vMerge w:val="restart"/>
          </w:tcPr>
          <w:p>
            <w:pPr>
              <w:spacing w:after="0"/>
              <w:rPr>
                <w:sz w:val="20"/>
                <w:szCs w:val="20"/>
                <w:color w:val="auto"/>
              </w:rPr>
            </w:pPr>
            <w:r>
              <w:rPr>
                <w:rFonts w:ascii="Arial" w:cs="Arial" w:eastAsia="Arial" w:hAnsi="Arial"/>
                <w:sz w:val="16"/>
                <w:szCs w:val="16"/>
                <w:color w:val="auto"/>
              </w:rPr>
              <w:t>Offered quotes</w:t>
            </w:r>
          </w:p>
        </w:tc>
        <w:tc>
          <w:tcPr>
            <w:tcW w:w="1960" w:type="dxa"/>
            <w:vAlign w:val="bottom"/>
          </w:tcPr>
          <w:p>
            <w:pPr>
              <w:ind w:left="20"/>
              <w:spacing w:after="0" w:line="168" w:lineRule="exact"/>
              <w:rPr>
                <w:sz w:val="20"/>
                <w:szCs w:val="20"/>
                <w:color w:val="auto"/>
              </w:rPr>
            </w:pPr>
            <w:r>
              <w:rPr>
                <w:rFonts w:ascii="Arial" w:cs="Arial" w:eastAsia="Arial" w:hAnsi="Arial"/>
                <w:sz w:val="16"/>
                <w:szCs w:val="16"/>
                <w:color w:val="auto"/>
              </w:rPr>
              <w:t>97.91% - 97.91%</w:t>
            </w:r>
          </w:p>
        </w:tc>
        <w:tc>
          <w:tcPr>
            <w:tcW w:w="0" w:type="dxa"/>
            <w:vAlign w:val="bottom"/>
          </w:tcPr>
          <w:p>
            <w:pPr>
              <w:spacing w:after="0"/>
              <w:rPr>
                <w:sz w:val="1"/>
                <w:szCs w:val="1"/>
                <w:color w:val="auto"/>
              </w:rPr>
            </w:pPr>
          </w:p>
        </w:tc>
      </w:tr>
      <w:tr>
        <w:trPr>
          <w:trHeight w:val="201"/>
        </w:trPr>
        <w:tc>
          <w:tcPr>
            <w:tcW w:w="180" w:type="dxa"/>
            <w:vAlign w:val="bottom"/>
          </w:tcPr>
          <w:p>
            <w:pPr>
              <w:spacing w:after="0"/>
              <w:rPr>
                <w:sz w:val="17"/>
                <w:szCs w:val="17"/>
                <w:color w:val="auto"/>
              </w:rPr>
            </w:pPr>
          </w:p>
        </w:tc>
        <w:tc>
          <w:tcPr>
            <w:tcW w:w="14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2"/>
            <w:vMerge w:val="continue"/>
          </w:tcPr>
          <w:p>
            <w:pPr>
              <w:spacing w:after="0"/>
              <w:rPr>
                <w:sz w:val="17"/>
                <w:szCs w:val="17"/>
                <w:color w:val="auto"/>
              </w:rPr>
            </w:pPr>
          </w:p>
        </w:tc>
        <w:tc>
          <w:tcPr>
            <w:tcW w:w="1740" w:type="dxa"/>
            <w:vAlign w:val="bottom"/>
            <w:gridSpan w:val="2"/>
            <w:vMerge w:val="continue"/>
          </w:tcPr>
          <w:p>
            <w:pPr>
              <w:spacing w:after="0"/>
              <w:rPr>
                <w:sz w:val="17"/>
                <w:szCs w:val="17"/>
                <w:color w:val="auto"/>
              </w:rPr>
            </w:pPr>
          </w:p>
        </w:tc>
        <w:tc>
          <w:tcPr>
            <w:tcW w:w="1960" w:type="dxa"/>
            <w:vAlign w:val="bottom"/>
          </w:tcPr>
          <w:p>
            <w:pPr>
              <w:ind w:left="20"/>
              <w:spacing w:after="0"/>
              <w:rPr>
                <w:sz w:val="20"/>
                <w:szCs w:val="20"/>
                <w:color w:val="auto"/>
              </w:rPr>
            </w:pPr>
            <w:r>
              <w:rPr>
                <w:rFonts w:ascii="Arial" w:cs="Arial" w:eastAsia="Arial" w:hAnsi="Arial"/>
                <w:sz w:val="16"/>
                <w:szCs w:val="16"/>
                <w:color w:val="auto"/>
              </w:rPr>
              <w:t>(97.91%)</w:t>
            </w:r>
          </w:p>
        </w:tc>
        <w:tc>
          <w:tcPr>
            <w:tcW w:w="0" w:type="dxa"/>
            <w:vAlign w:val="bottom"/>
          </w:tcPr>
          <w:p>
            <w:pPr>
              <w:spacing w:after="0"/>
              <w:rPr>
                <w:sz w:val="1"/>
                <w:szCs w:val="1"/>
                <w:color w:val="auto"/>
              </w:rPr>
            </w:pPr>
          </w:p>
        </w:tc>
      </w:tr>
      <w:tr>
        <w:trPr>
          <w:trHeight w:val="168"/>
        </w:trPr>
        <w:tc>
          <w:tcPr>
            <w:tcW w:w="180" w:type="dxa"/>
            <w:vAlign w:val="bottom"/>
          </w:tcPr>
          <w:p>
            <w:pPr>
              <w:spacing w:after="0"/>
              <w:rPr>
                <w:sz w:val="14"/>
                <w:szCs w:val="14"/>
                <w:color w:val="auto"/>
              </w:rPr>
            </w:pPr>
          </w:p>
        </w:tc>
        <w:tc>
          <w:tcPr>
            <w:tcW w:w="1460" w:type="dxa"/>
            <w:vAlign w:val="bottom"/>
            <w:vMerge w:val="restart"/>
          </w:tcPr>
          <w:p>
            <w:pPr>
              <w:jc w:val="right"/>
              <w:ind w:right="2"/>
              <w:spacing w:after="0"/>
              <w:rPr>
                <w:sz w:val="20"/>
                <w:szCs w:val="20"/>
                <w:color w:val="auto"/>
              </w:rPr>
            </w:pPr>
            <w:r>
              <w:rPr>
                <w:rFonts w:ascii="Arial" w:cs="Arial" w:eastAsia="Arial" w:hAnsi="Arial"/>
                <w:sz w:val="16"/>
                <w:szCs w:val="16"/>
                <w:color w:val="auto"/>
              </w:rPr>
              <w:t>380</w:t>
            </w:r>
          </w:p>
        </w:tc>
        <w:tc>
          <w:tcPr>
            <w:tcW w:w="100" w:type="dxa"/>
            <w:vAlign w:val="bottom"/>
          </w:tcPr>
          <w:p>
            <w:pPr>
              <w:spacing w:after="0"/>
              <w:rPr>
                <w:sz w:val="14"/>
                <w:szCs w:val="14"/>
                <w:color w:val="auto"/>
              </w:rPr>
            </w:pPr>
          </w:p>
        </w:tc>
        <w:tc>
          <w:tcPr>
            <w:tcW w:w="2100" w:type="dxa"/>
            <w:vAlign w:val="bottom"/>
            <w:gridSpan w:val="2"/>
            <w:vMerge w:val="restart"/>
          </w:tcPr>
          <w:p>
            <w:pPr>
              <w:ind w:left="20"/>
              <w:spacing w:after="0"/>
              <w:rPr>
                <w:sz w:val="20"/>
                <w:szCs w:val="20"/>
                <w:color w:val="auto"/>
              </w:rPr>
            </w:pPr>
            <w:r>
              <w:rPr>
                <w:rFonts w:ascii="Arial" w:cs="Arial" w:eastAsia="Arial" w:hAnsi="Arial"/>
                <w:sz w:val="16"/>
                <w:szCs w:val="16"/>
                <w:color w:val="auto"/>
              </w:rPr>
              <w:t>Broker-quoted</w:t>
            </w:r>
          </w:p>
        </w:tc>
        <w:tc>
          <w:tcPr>
            <w:tcW w:w="1740" w:type="dxa"/>
            <w:vAlign w:val="bottom"/>
            <w:gridSpan w:val="2"/>
            <w:vMerge w:val="restart"/>
          </w:tcPr>
          <w:p>
            <w:pPr>
              <w:spacing w:after="0"/>
              <w:rPr>
                <w:sz w:val="20"/>
                <w:szCs w:val="20"/>
                <w:color w:val="auto"/>
              </w:rPr>
            </w:pPr>
            <w:r>
              <w:rPr>
                <w:rFonts w:ascii="Arial" w:cs="Arial" w:eastAsia="Arial" w:hAnsi="Arial"/>
                <w:sz w:val="16"/>
                <w:szCs w:val="16"/>
                <w:color w:val="auto"/>
              </w:rPr>
              <w:t>Offered quotes</w:t>
            </w:r>
          </w:p>
        </w:tc>
        <w:tc>
          <w:tcPr>
            <w:tcW w:w="1960" w:type="dxa"/>
            <w:vAlign w:val="bottom"/>
          </w:tcPr>
          <w:p>
            <w:pPr>
              <w:ind w:left="20"/>
              <w:spacing w:after="0" w:line="168" w:lineRule="exact"/>
              <w:rPr>
                <w:sz w:val="20"/>
                <w:szCs w:val="20"/>
                <w:color w:val="auto"/>
              </w:rPr>
            </w:pPr>
            <w:r>
              <w:rPr>
                <w:rFonts w:ascii="Arial" w:cs="Arial" w:eastAsia="Arial" w:hAnsi="Arial"/>
                <w:sz w:val="16"/>
                <w:szCs w:val="16"/>
                <w:color w:val="auto"/>
              </w:rPr>
              <w:t>0.00% - 109.69%</w:t>
            </w:r>
          </w:p>
        </w:tc>
        <w:tc>
          <w:tcPr>
            <w:tcW w:w="0" w:type="dxa"/>
            <w:vAlign w:val="bottom"/>
          </w:tcPr>
          <w:p>
            <w:pPr>
              <w:spacing w:after="0"/>
              <w:rPr>
                <w:sz w:val="1"/>
                <w:szCs w:val="1"/>
                <w:color w:val="auto"/>
              </w:rPr>
            </w:pPr>
          </w:p>
        </w:tc>
      </w:tr>
      <w:tr>
        <w:trPr>
          <w:trHeight w:val="201"/>
        </w:trPr>
        <w:tc>
          <w:tcPr>
            <w:tcW w:w="180" w:type="dxa"/>
            <w:vAlign w:val="bottom"/>
          </w:tcPr>
          <w:p>
            <w:pPr>
              <w:spacing w:after="0"/>
              <w:rPr>
                <w:sz w:val="17"/>
                <w:szCs w:val="17"/>
                <w:color w:val="auto"/>
              </w:rPr>
            </w:pPr>
          </w:p>
        </w:tc>
        <w:tc>
          <w:tcPr>
            <w:tcW w:w="14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2"/>
            <w:vMerge w:val="continue"/>
          </w:tcPr>
          <w:p>
            <w:pPr>
              <w:spacing w:after="0"/>
              <w:rPr>
                <w:sz w:val="17"/>
                <w:szCs w:val="17"/>
                <w:color w:val="auto"/>
              </w:rPr>
            </w:pPr>
          </w:p>
        </w:tc>
        <w:tc>
          <w:tcPr>
            <w:tcW w:w="1740" w:type="dxa"/>
            <w:vAlign w:val="bottom"/>
            <w:gridSpan w:val="2"/>
            <w:vMerge w:val="continue"/>
          </w:tcPr>
          <w:p>
            <w:pPr>
              <w:spacing w:after="0"/>
              <w:rPr>
                <w:sz w:val="17"/>
                <w:szCs w:val="17"/>
                <w:color w:val="auto"/>
              </w:rPr>
            </w:pPr>
          </w:p>
        </w:tc>
        <w:tc>
          <w:tcPr>
            <w:tcW w:w="1960" w:type="dxa"/>
            <w:vAlign w:val="bottom"/>
          </w:tcPr>
          <w:p>
            <w:pPr>
              <w:ind w:left="20"/>
              <w:spacing w:after="0"/>
              <w:rPr>
                <w:sz w:val="20"/>
                <w:szCs w:val="20"/>
                <w:color w:val="auto"/>
              </w:rPr>
            </w:pPr>
            <w:r>
              <w:rPr>
                <w:rFonts w:ascii="Arial" w:cs="Arial" w:eastAsia="Arial" w:hAnsi="Arial"/>
                <w:sz w:val="16"/>
                <w:szCs w:val="16"/>
                <w:color w:val="auto"/>
              </w:rPr>
              <w:t>(100.91%)</w:t>
            </w:r>
          </w:p>
        </w:tc>
        <w:tc>
          <w:tcPr>
            <w:tcW w:w="0" w:type="dxa"/>
            <w:vAlign w:val="bottom"/>
          </w:tcPr>
          <w:p>
            <w:pPr>
              <w:spacing w:after="0"/>
              <w:rPr>
                <w:sz w:val="1"/>
                <w:szCs w:val="1"/>
                <w:color w:val="auto"/>
              </w:rPr>
            </w:pPr>
          </w:p>
        </w:tc>
      </w:tr>
      <w:tr>
        <w:trPr>
          <w:trHeight w:val="168"/>
        </w:trPr>
        <w:tc>
          <w:tcPr>
            <w:tcW w:w="180" w:type="dxa"/>
            <w:vAlign w:val="bottom"/>
          </w:tcPr>
          <w:p>
            <w:pPr>
              <w:spacing w:after="0"/>
              <w:rPr>
                <w:sz w:val="14"/>
                <w:szCs w:val="14"/>
                <w:color w:val="auto"/>
              </w:rPr>
            </w:pPr>
          </w:p>
        </w:tc>
        <w:tc>
          <w:tcPr>
            <w:tcW w:w="1460" w:type="dxa"/>
            <w:vAlign w:val="bottom"/>
            <w:vMerge w:val="restart"/>
          </w:tcPr>
          <w:p>
            <w:pPr>
              <w:jc w:val="right"/>
              <w:ind w:right="2"/>
              <w:spacing w:after="0"/>
              <w:rPr>
                <w:sz w:val="20"/>
                <w:szCs w:val="20"/>
                <w:color w:val="auto"/>
              </w:rPr>
            </w:pPr>
            <w:r>
              <w:rPr>
                <w:rFonts w:ascii="Arial" w:cs="Arial" w:eastAsia="Arial" w:hAnsi="Arial"/>
                <w:sz w:val="16"/>
                <w:szCs w:val="16"/>
                <w:color w:val="auto"/>
              </w:rPr>
              <w:t>741</w:t>
            </w:r>
          </w:p>
        </w:tc>
        <w:tc>
          <w:tcPr>
            <w:tcW w:w="100" w:type="dxa"/>
            <w:vAlign w:val="bottom"/>
          </w:tcPr>
          <w:p>
            <w:pPr>
              <w:spacing w:after="0"/>
              <w:rPr>
                <w:sz w:val="14"/>
                <w:szCs w:val="14"/>
                <w:color w:val="auto"/>
              </w:rPr>
            </w:pPr>
          </w:p>
        </w:tc>
        <w:tc>
          <w:tcPr>
            <w:tcW w:w="2100" w:type="dxa"/>
            <w:vAlign w:val="bottom"/>
            <w:gridSpan w:val="2"/>
            <w:vMerge w:val="restart"/>
          </w:tcPr>
          <w:p>
            <w:pPr>
              <w:ind w:left="20"/>
              <w:spacing w:after="0"/>
              <w:rPr>
                <w:sz w:val="20"/>
                <w:szCs w:val="20"/>
                <w:color w:val="auto"/>
              </w:rPr>
            </w:pPr>
            <w:r>
              <w:rPr>
                <w:rFonts w:ascii="Arial" w:cs="Arial" w:eastAsia="Arial" w:hAnsi="Arial"/>
                <w:sz w:val="16"/>
                <w:szCs w:val="16"/>
                <w:color w:val="auto"/>
              </w:rPr>
              <w:t>Third-Party Valuation</w:t>
            </w:r>
          </w:p>
        </w:tc>
        <w:tc>
          <w:tcPr>
            <w:tcW w:w="1740" w:type="dxa"/>
            <w:vAlign w:val="bottom"/>
            <w:gridSpan w:val="2"/>
            <w:vMerge w:val="restart"/>
          </w:tcPr>
          <w:p>
            <w:pPr>
              <w:spacing w:after="0"/>
              <w:rPr>
                <w:sz w:val="20"/>
                <w:szCs w:val="20"/>
                <w:color w:val="auto"/>
              </w:rPr>
            </w:pPr>
            <w:r>
              <w:rPr>
                <w:rFonts w:ascii="Arial" w:cs="Arial" w:eastAsia="Arial" w:hAnsi="Arial"/>
                <w:sz w:val="16"/>
                <w:szCs w:val="16"/>
                <w:color w:val="auto"/>
              </w:rPr>
              <w:t>Offered quotes</w:t>
            </w:r>
          </w:p>
        </w:tc>
        <w:tc>
          <w:tcPr>
            <w:tcW w:w="1960" w:type="dxa"/>
            <w:vAlign w:val="bottom"/>
          </w:tcPr>
          <w:p>
            <w:pPr>
              <w:ind w:left="20"/>
              <w:spacing w:after="0" w:line="168" w:lineRule="exact"/>
              <w:rPr>
                <w:sz w:val="20"/>
                <w:szCs w:val="20"/>
                <w:color w:val="auto"/>
              </w:rPr>
            </w:pPr>
            <w:r>
              <w:rPr>
                <w:rFonts w:ascii="Arial" w:cs="Arial" w:eastAsia="Arial" w:hAnsi="Arial"/>
                <w:sz w:val="16"/>
                <w:szCs w:val="16"/>
                <w:color w:val="auto"/>
              </w:rPr>
              <w:t>85.71% - 119.57%</w:t>
            </w:r>
          </w:p>
        </w:tc>
        <w:tc>
          <w:tcPr>
            <w:tcW w:w="0" w:type="dxa"/>
            <w:vAlign w:val="bottom"/>
          </w:tcPr>
          <w:p>
            <w:pPr>
              <w:spacing w:after="0"/>
              <w:rPr>
                <w:sz w:val="1"/>
                <w:szCs w:val="1"/>
                <w:color w:val="auto"/>
              </w:rPr>
            </w:pPr>
          </w:p>
        </w:tc>
      </w:tr>
      <w:tr>
        <w:trPr>
          <w:trHeight w:val="201"/>
        </w:trPr>
        <w:tc>
          <w:tcPr>
            <w:tcW w:w="180" w:type="dxa"/>
            <w:vAlign w:val="bottom"/>
          </w:tcPr>
          <w:p>
            <w:pPr>
              <w:spacing w:after="0"/>
              <w:rPr>
                <w:sz w:val="17"/>
                <w:szCs w:val="17"/>
                <w:color w:val="auto"/>
              </w:rPr>
            </w:pPr>
          </w:p>
        </w:tc>
        <w:tc>
          <w:tcPr>
            <w:tcW w:w="14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2"/>
            <w:vMerge w:val="continue"/>
          </w:tcPr>
          <w:p>
            <w:pPr>
              <w:spacing w:after="0"/>
              <w:rPr>
                <w:sz w:val="17"/>
                <w:szCs w:val="17"/>
                <w:color w:val="auto"/>
              </w:rPr>
            </w:pPr>
          </w:p>
        </w:tc>
        <w:tc>
          <w:tcPr>
            <w:tcW w:w="1740" w:type="dxa"/>
            <w:vAlign w:val="bottom"/>
            <w:gridSpan w:val="2"/>
            <w:vMerge w:val="continue"/>
          </w:tcPr>
          <w:p>
            <w:pPr>
              <w:spacing w:after="0"/>
              <w:rPr>
                <w:sz w:val="17"/>
                <w:szCs w:val="17"/>
                <w:color w:val="auto"/>
              </w:rPr>
            </w:pPr>
          </w:p>
        </w:tc>
        <w:tc>
          <w:tcPr>
            <w:tcW w:w="1960" w:type="dxa"/>
            <w:vAlign w:val="bottom"/>
          </w:tcPr>
          <w:p>
            <w:pPr>
              <w:ind w:left="20"/>
              <w:spacing w:after="0"/>
              <w:rPr>
                <w:sz w:val="20"/>
                <w:szCs w:val="20"/>
                <w:color w:val="auto"/>
              </w:rPr>
            </w:pPr>
            <w:r>
              <w:rPr>
                <w:rFonts w:ascii="Arial" w:cs="Arial" w:eastAsia="Arial" w:hAnsi="Arial"/>
                <w:sz w:val="16"/>
                <w:szCs w:val="16"/>
                <w:color w:val="auto"/>
              </w:rPr>
              <w:t>(107.72%)</w:t>
            </w:r>
          </w:p>
        </w:tc>
        <w:tc>
          <w:tcPr>
            <w:tcW w:w="0" w:type="dxa"/>
            <w:vAlign w:val="bottom"/>
          </w:tcPr>
          <w:p>
            <w:pPr>
              <w:spacing w:after="0"/>
              <w:rPr>
                <w:sz w:val="1"/>
                <w:szCs w:val="1"/>
                <w:color w:val="auto"/>
              </w:rPr>
            </w:pPr>
          </w:p>
        </w:tc>
      </w:tr>
      <w:tr>
        <w:trPr>
          <w:trHeight w:val="211"/>
        </w:trPr>
        <w:tc>
          <w:tcPr>
            <w:tcW w:w="180" w:type="dxa"/>
            <w:vAlign w:val="bottom"/>
          </w:tcPr>
          <w:p>
            <w:pPr>
              <w:spacing w:after="0"/>
              <w:rPr>
                <w:sz w:val="18"/>
                <w:szCs w:val="18"/>
                <w:color w:val="auto"/>
              </w:rPr>
            </w:pPr>
          </w:p>
        </w:tc>
        <w:tc>
          <w:tcPr>
            <w:tcW w:w="1460" w:type="dxa"/>
            <w:vAlign w:val="bottom"/>
          </w:tcPr>
          <w:p>
            <w:pPr>
              <w:jc w:val="right"/>
              <w:ind w:right="2"/>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2100" w:type="dxa"/>
            <w:vAlign w:val="bottom"/>
            <w:gridSpan w:val="2"/>
          </w:tcPr>
          <w:p>
            <w:pPr>
              <w:ind w:left="20"/>
              <w:spacing w:after="0"/>
              <w:rPr>
                <w:sz w:val="20"/>
                <w:szCs w:val="20"/>
                <w:color w:val="auto"/>
              </w:rPr>
            </w:pPr>
            <w:r>
              <w:rPr>
                <w:rFonts w:ascii="Arial" w:cs="Arial" w:eastAsia="Arial" w:hAnsi="Arial"/>
                <w:sz w:val="16"/>
                <w:szCs w:val="16"/>
                <w:color w:val="auto"/>
              </w:rPr>
              <w:t>Discounted Cash Flow</w:t>
            </w:r>
          </w:p>
        </w:tc>
        <w:tc>
          <w:tcPr>
            <w:tcW w:w="1740" w:type="dxa"/>
            <w:vAlign w:val="bottom"/>
            <w:gridSpan w:val="2"/>
          </w:tcPr>
          <w:p>
            <w:pPr>
              <w:spacing w:after="0"/>
              <w:rPr>
                <w:sz w:val="20"/>
                <w:szCs w:val="20"/>
                <w:color w:val="auto"/>
              </w:rPr>
            </w:pPr>
            <w:r>
              <w:rPr>
                <w:rFonts w:ascii="Arial" w:cs="Arial" w:eastAsia="Arial" w:hAnsi="Arial"/>
                <w:sz w:val="16"/>
                <w:szCs w:val="16"/>
                <w:color w:val="auto"/>
              </w:rPr>
              <w:t>Discount Rate</w:t>
            </w:r>
          </w:p>
        </w:tc>
        <w:tc>
          <w:tcPr>
            <w:tcW w:w="1960" w:type="dxa"/>
            <w:vAlign w:val="bottom"/>
          </w:tcPr>
          <w:p>
            <w:pPr>
              <w:ind w:left="20"/>
              <w:spacing w:after="0"/>
              <w:rPr>
                <w:sz w:val="20"/>
                <w:szCs w:val="20"/>
                <w:color w:val="auto"/>
              </w:rPr>
            </w:pPr>
            <w:r>
              <w:rPr>
                <w:rFonts w:ascii="Arial" w:cs="Arial" w:eastAsia="Arial" w:hAnsi="Arial"/>
                <w:sz w:val="16"/>
                <w:szCs w:val="16"/>
                <w:color w:val="auto"/>
                <w:w w:val="95"/>
              </w:rPr>
              <w:t>44.00% - 100.00% (62.00%)</w:t>
            </w:r>
          </w:p>
        </w:tc>
        <w:tc>
          <w:tcPr>
            <w:tcW w:w="0" w:type="dxa"/>
            <w:vAlign w:val="bottom"/>
          </w:tcPr>
          <w:p>
            <w:pPr>
              <w:spacing w:after="0"/>
              <w:rPr>
                <w:sz w:val="1"/>
                <w:szCs w:val="1"/>
                <w:color w:val="auto"/>
              </w:rPr>
            </w:pPr>
          </w:p>
        </w:tc>
      </w:tr>
      <w:tr>
        <w:trPr>
          <w:trHeight w:val="168"/>
        </w:trPr>
        <w:tc>
          <w:tcPr>
            <w:tcW w:w="180" w:type="dxa"/>
            <w:vAlign w:val="bottom"/>
          </w:tcPr>
          <w:p>
            <w:pPr>
              <w:spacing w:after="0"/>
              <w:rPr>
                <w:sz w:val="14"/>
                <w:szCs w:val="14"/>
                <w:color w:val="auto"/>
              </w:rPr>
            </w:pPr>
          </w:p>
        </w:tc>
        <w:tc>
          <w:tcPr>
            <w:tcW w:w="1460" w:type="dxa"/>
            <w:vAlign w:val="bottom"/>
            <w:vMerge w:val="restart"/>
          </w:tcPr>
          <w:p>
            <w:pPr>
              <w:jc w:val="right"/>
              <w:ind w:right="2"/>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4"/>
                <w:szCs w:val="14"/>
                <w:color w:val="auto"/>
              </w:rPr>
            </w:pPr>
          </w:p>
        </w:tc>
        <w:tc>
          <w:tcPr>
            <w:tcW w:w="2100" w:type="dxa"/>
            <w:vAlign w:val="bottom"/>
            <w:gridSpan w:val="2"/>
            <w:vMerge w:val="restart"/>
          </w:tcPr>
          <w:p>
            <w:pPr>
              <w:ind w:left="20"/>
              <w:spacing w:after="0"/>
              <w:rPr>
                <w:sz w:val="20"/>
                <w:szCs w:val="20"/>
                <w:color w:val="auto"/>
              </w:rPr>
            </w:pPr>
            <w:r>
              <w:rPr>
                <w:rFonts w:ascii="Arial" w:cs="Arial" w:eastAsia="Arial" w:hAnsi="Arial"/>
                <w:sz w:val="16"/>
                <w:szCs w:val="16"/>
                <w:color w:val="auto"/>
              </w:rPr>
              <w:t>Third-Party Valuation</w:t>
            </w:r>
          </w:p>
        </w:tc>
        <w:tc>
          <w:tcPr>
            <w:tcW w:w="1740" w:type="dxa"/>
            <w:vAlign w:val="bottom"/>
            <w:gridSpan w:val="2"/>
            <w:vMerge w:val="restart"/>
          </w:tcPr>
          <w:p>
            <w:pPr>
              <w:spacing w:after="0"/>
              <w:rPr>
                <w:sz w:val="20"/>
                <w:szCs w:val="20"/>
                <w:color w:val="auto"/>
              </w:rPr>
            </w:pPr>
            <w:r>
              <w:rPr>
                <w:rFonts w:ascii="Arial" w:cs="Arial" w:eastAsia="Arial" w:hAnsi="Arial"/>
                <w:sz w:val="16"/>
                <w:szCs w:val="16"/>
                <w:color w:val="auto"/>
              </w:rPr>
              <w:t>Offered quotes</w:t>
            </w:r>
          </w:p>
        </w:tc>
        <w:tc>
          <w:tcPr>
            <w:tcW w:w="1960" w:type="dxa"/>
            <w:vAlign w:val="bottom"/>
          </w:tcPr>
          <w:p>
            <w:pPr>
              <w:ind w:left="20"/>
              <w:spacing w:after="0" w:line="168" w:lineRule="exact"/>
              <w:rPr>
                <w:sz w:val="20"/>
                <w:szCs w:val="20"/>
                <w:color w:val="auto"/>
              </w:rPr>
            </w:pPr>
            <w:r>
              <w:rPr>
                <w:rFonts w:ascii="Arial" w:cs="Arial" w:eastAsia="Arial" w:hAnsi="Arial"/>
                <w:sz w:val="16"/>
                <w:szCs w:val="16"/>
                <w:color w:val="auto"/>
              </w:rPr>
              <w:t>135.09% - 135.09%</w:t>
            </w:r>
          </w:p>
        </w:tc>
        <w:tc>
          <w:tcPr>
            <w:tcW w:w="0" w:type="dxa"/>
            <w:vAlign w:val="bottom"/>
          </w:tcPr>
          <w:p>
            <w:pPr>
              <w:spacing w:after="0"/>
              <w:rPr>
                <w:sz w:val="1"/>
                <w:szCs w:val="1"/>
                <w:color w:val="auto"/>
              </w:rPr>
            </w:pPr>
          </w:p>
        </w:tc>
      </w:tr>
      <w:tr>
        <w:trPr>
          <w:trHeight w:val="201"/>
        </w:trPr>
        <w:tc>
          <w:tcPr>
            <w:tcW w:w="180" w:type="dxa"/>
            <w:vAlign w:val="bottom"/>
          </w:tcPr>
          <w:p>
            <w:pPr>
              <w:spacing w:after="0"/>
              <w:rPr>
                <w:sz w:val="17"/>
                <w:szCs w:val="17"/>
                <w:color w:val="auto"/>
              </w:rPr>
            </w:pPr>
          </w:p>
        </w:tc>
        <w:tc>
          <w:tcPr>
            <w:tcW w:w="14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2"/>
            <w:vMerge w:val="continue"/>
          </w:tcPr>
          <w:p>
            <w:pPr>
              <w:spacing w:after="0"/>
              <w:rPr>
                <w:sz w:val="17"/>
                <w:szCs w:val="17"/>
                <w:color w:val="auto"/>
              </w:rPr>
            </w:pPr>
          </w:p>
        </w:tc>
        <w:tc>
          <w:tcPr>
            <w:tcW w:w="1740" w:type="dxa"/>
            <w:vAlign w:val="bottom"/>
            <w:gridSpan w:val="2"/>
            <w:vMerge w:val="continue"/>
          </w:tcPr>
          <w:p>
            <w:pPr>
              <w:spacing w:after="0"/>
              <w:rPr>
                <w:sz w:val="17"/>
                <w:szCs w:val="17"/>
                <w:color w:val="auto"/>
              </w:rPr>
            </w:pPr>
          </w:p>
        </w:tc>
        <w:tc>
          <w:tcPr>
            <w:tcW w:w="1960" w:type="dxa"/>
            <w:vAlign w:val="bottom"/>
          </w:tcPr>
          <w:p>
            <w:pPr>
              <w:ind w:left="20"/>
              <w:spacing w:after="0"/>
              <w:rPr>
                <w:sz w:val="20"/>
                <w:szCs w:val="20"/>
                <w:color w:val="auto"/>
              </w:rPr>
            </w:pPr>
            <w:r>
              <w:rPr>
                <w:rFonts w:ascii="Arial" w:cs="Arial" w:eastAsia="Arial" w:hAnsi="Arial"/>
                <w:sz w:val="16"/>
                <w:szCs w:val="16"/>
                <w:color w:val="auto"/>
              </w:rPr>
              <w:t>(135.09%)</w:t>
            </w:r>
          </w:p>
        </w:tc>
        <w:tc>
          <w:tcPr>
            <w:tcW w:w="0" w:type="dxa"/>
            <w:vAlign w:val="bottom"/>
          </w:tcPr>
          <w:p>
            <w:pPr>
              <w:spacing w:after="0"/>
              <w:rPr>
                <w:sz w:val="1"/>
                <w:szCs w:val="1"/>
                <w:color w:val="auto"/>
              </w:rPr>
            </w:pPr>
          </w:p>
        </w:tc>
      </w:tr>
      <w:tr>
        <w:trPr>
          <w:trHeight w:val="168"/>
        </w:trPr>
        <w:tc>
          <w:tcPr>
            <w:tcW w:w="18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4"/>
                <w:szCs w:val="14"/>
                <w:color w:val="auto"/>
              </w:rPr>
            </w:pPr>
          </w:p>
        </w:tc>
        <w:tc>
          <w:tcPr>
            <w:tcW w:w="2100" w:type="dxa"/>
            <w:vAlign w:val="bottom"/>
            <w:gridSpan w:val="2"/>
            <w:vMerge w:val="restart"/>
          </w:tcPr>
          <w:p>
            <w:pPr>
              <w:ind w:left="20"/>
              <w:spacing w:after="0"/>
              <w:rPr>
                <w:sz w:val="20"/>
                <w:szCs w:val="20"/>
                <w:color w:val="auto"/>
              </w:rPr>
            </w:pPr>
            <w:r>
              <w:rPr>
                <w:rFonts w:ascii="Arial" w:cs="Arial" w:eastAsia="Arial" w:hAnsi="Arial"/>
                <w:sz w:val="16"/>
                <w:szCs w:val="16"/>
                <w:color w:val="auto"/>
              </w:rPr>
              <w:t>Third-Party Valuation</w:t>
            </w:r>
          </w:p>
        </w:tc>
        <w:tc>
          <w:tcPr>
            <w:tcW w:w="1740" w:type="dxa"/>
            <w:vAlign w:val="bottom"/>
            <w:gridSpan w:val="2"/>
            <w:vMerge w:val="restart"/>
          </w:tcPr>
          <w:p>
            <w:pPr>
              <w:spacing w:after="0"/>
              <w:rPr>
                <w:sz w:val="20"/>
                <w:szCs w:val="20"/>
                <w:color w:val="auto"/>
              </w:rPr>
            </w:pPr>
            <w:r>
              <w:rPr>
                <w:rFonts w:ascii="Arial" w:cs="Arial" w:eastAsia="Arial" w:hAnsi="Arial"/>
                <w:sz w:val="16"/>
                <w:szCs w:val="16"/>
                <w:color w:val="auto"/>
              </w:rPr>
              <w:t>Offered quotes</w:t>
            </w:r>
          </w:p>
        </w:tc>
        <w:tc>
          <w:tcPr>
            <w:tcW w:w="1960" w:type="dxa"/>
            <w:vAlign w:val="bottom"/>
          </w:tcPr>
          <w:p>
            <w:pPr>
              <w:ind w:left="20"/>
              <w:spacing w:after="0" w:line="168" w:lineRule="exact"/>
              <w:rPr>
                <w:sz w:val="20"/>
                <w:szCs w:val="20"/>
                <w:color w:val="auto"/>
              </w:rPr>
            </w:pPr>
            <w:r>
              <w:rPr>
                <w:rFonts w:ascii="Arial" w:cs="Arial" w:eastAsia="Arial" w:hAnsi="Arial"/>
                <w:sz w:val="16"/>
                <w:szCs w:val="16"/>
                <w:color w:val="auto"/>
              </w:rPr>
              <w:t>107.23% - 116.44%</w:t>
            </w:r>
          </w:p>
        </w:tc>
        <w:tc>
          <w:tcPr>
            <w:tcW w:w="0" w:type="dxa"/>
            <w:vAlign w:val="bottom"/>
          </w:tcPr>
          <w:p>
            <w:pPr>
              <w:spacing w:after="0"/>
              <w:rPr>
                <w:sz w:val="1"/>
                <w:szCs w:val="1"/>
                <w:color w:val="auto"/>
              </w:rPr>
            </w:pPr>
          </w:p>
        </w:tc>
      </w:tr>
      <w:tr>
        <w:trPr>
          <w:trHeight w:val="201"/>
        </w:trPr>
        <w:tc>
          <w:tcPr>
            <w:tcW w:w="180" w:type="dxa"/>
            <w:vAlign w:val="bottom"/>
          </w:tcPr>
          <w:p>
            <w:pPr>
              <w:spacing w:after="0"/>
              <w:rPr>
                <w:sz w:val="17"/>
                <w:szCs w:val="17"/>
                <w:color w:val="auto"/>
              </w:rPr>
            </w:pPr>
          </w:p>
        </w:tc>
        <w:tc>
          <w:tcPr>
            <w:tcW w:w="14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2"/>
            <w:vMerge w:val="continue"/>
          </w:tcPr>
          <w:p>
            <w:pPr>
              <w:spacing w:after="0"/>
              <w:rPr>
                <w:sz w:val="17"/>
                <w:szCs w:val="17"/>
                <w:color w:val="auto"/>
              </w:rPr>
            </w:pPr>
          </w:p>
        </w:tc>
        <w:tc>
          <w:tcPr>
            <w:tcW w:w="1740" w:type="dxa"/>
            <w:vAlign w:val="bottom"/>
            <w:gridSpan w:val="2"/>
            <w:vMerge w:val="continue"/>
          </w:tcPr>
          <w:p>
            <w:pPr>
              <w:spacing w:after="0"/>
              <w:rPr>
                <w:sz w:val="17"/>
                <w:szCs w:val="17"/>
                <w:color w:val="auto"/>
              </w:rPr>
            </w:pPr>
          </w:p>
        </w:tc>
        <w:tc>
          <w:tcPr>
            <w:tcW w:w="1960" w:type="dxa"/>
            <w:vAlign w:val="bottom"/>
          </w:tcPr>
          <w:p>
            <w:pPr>
              <w:ind w:left="20"/>
              <w:spacing w:after="0"/>
              <w:rPr>
                <w:sz w:val="20"/>
                <w:szCs w:val="20"/>
                <w:color w:val="auto"/>
              </w:rPr>
            </w:pPr>
            <w:r>
              <w:rPr>
                <w:rFonts w:ascii="Arial" w:cs="Arial" w:eastAsia="Arial" w:hAnsi="Arial"/>
                <w:sz w:val="16"/>
                <w:szCs w:val="16"/>
                <w:color w:val="auto"/>
              </w:rPr>
              <w:t>(110.11%)</w:t>
            </w:r>
          </w:p>
        </w:tc>
        <w:tc>
          <w:tcPr>
            <w:tcW w:w="0" w:type="dxa"/>
            <w:vAlign w:val="bottom"/>
          </w:tcPr>
          <w:p>
            <w:pPr>
              <w:spacing w:after="0"/>
              <w:rPr>
                <w:sz w:val="1"/>
                <w:szCs w:val="1"/>
                <w:color w:val="auto"/>
              </w:rPr>
            </w:pPr>
          </w:p>
        </w:tc>
      </w:tr>
      <w:tr>
        <w:trPr>
          <w:trHeight w:val="168"/>
        </w:trPr>
        <w:tc>
          <w:tcPr>
            <w:tcW w:w="18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Arial" w:cs="Arial" w:eastAsia="Arial" w:hAnsi="Arial"/>
                <w:sz w:val="16"/>
                <w:szCs w:val="16"/>
                <w:color w:val="auto"/>
              </w:rPr>
              <w:t>321</w:t>
            </w:r>
          </w:p>
        </w:tc>
        <w:tc>
          <w:tcPr>
            <w:tcW w:w="100" w:type="dxa"/>
            <w:vAlign w:val="bottom"/>
          </w:tcPr>
          <w:p>
            <w:pPr>
              <w:spacing w:after="0"/>
              <w:rPr>
                <w:sz w:val="14"/>
                <w:szCs w:val="14"/>
                <w:color w:val="auto"/>
              </w:rPr>
            </w:pPr>
          </w:p>
        </w:tc>
        <w:tc>
          <w:tcPr>
            <w:tcW w:w="2100" w:type="dxa"/>
            <w:vAlign w:val="bottom"/>
            <w:gridSpan w:val="2"/>
            <w:vMerge w:val="restart"/>
          </w:tcPr>
          <w:p>
            <w:pPr>
              <w:ind w:left="20"/>
              <w:spacing w:after="0"/>
              <w:rPr>
                <w:sz w:val="20"/>
                <w:szCs w:val="20"/>
                <w:color w:val="auto"/>
              </w:rPr>
            </w:pPr>
            <w:r>
              <w:rPr>
                <w:rFonts w:ascii="Arial" w:cs="Arial" w:eastAsia="Arial" w:hAnsi="Arial"/>
                <w:sz w:val="16"/>
                <w:szCs w:val="16"/>
                <w:color w:val="auto"/>
              </w:rPr>
              <w:t>Broker-quoted</w:t>
            </w:r>
          </w:p>
        </w:tc>
        <w:tc>
          <w:tcPr>
            <w:tcW w:w="1740" w:type="dxa"/>
            <w:vAlign w:val="bottom"/>
            <w:gridSpan w:val="2"/>
            <w:vMerge w:val="restart"/>
          </w:tcPr>
          <w:p>
            <w:pPr>
              <w:spacing w:after="0"/>
              <w:rPr>
                <w:sz w:val="20"/>
                <w:szCs w:val="20"/>
                <w:color w:val="auto"/>
              </w:rPr>
            </w:pPr>
            <w:r>
              <w:rPr>
                <w:rFonts w:ascii="Arial" w:cs="Arial" w:eastAsia="Arial" w:hAnsi="Arial"/>
                <w:sz w:val="16"/>
                <w:szCs w:val="16"/>
                <w:color w:val="auto"/>
              </w:rPr>
              <w:t>Offered quotes</w:t>
            </w:r>
          </w:p>
        </w:tc>
        <w:tc>
          <w:tcPr>
            <w:tcW w:w="1960" w:type="dxa"/>
            <w:vAlign w:val="bottom"/>
          </w:tcPr>
          <w:p>
            <w:pPr>
              <w:ind w:left="20"/>
              <w:spacing w:after="0" w:line="168" w:lineRule="exact"/>
              <w:rPr>
                <w:sz w:val="20"/>
                <w:szCs w:val="20"/>
                <w:color w:val="auto"/>
              </w:rPr>
            </w:pPr>
            <w:r>
              <w:rPr>
                <w:rFonts w:ascii="Arial" w:cs="Arial" w:eastAsia="Arial" w:hAnsi="Arial"/>
                <w:sz w:val="16"/>
                <w:szCs w:val="16"/>
                <w:color w:val="auto"/>
              </w:rPr>
              <w:t>100.00% - 100.00%</w:t>
            </w:r>
          </w:p>
        </w:tc>
        <w:tc>
          <w:tcPr>
            <w:tcW w:w="0" w:type="dxa"/>
            <w:vAlign w:val="bottom"/>
          </w:tcPr>
          <w:p>
            <w:pPr>
              <w:spacing w:after="0"/>
              <w:rPr>
                <w:sz w:val="1"/>
                <w:szCs w:val="1"/>
                <w:color w:val="auto"/>
              </w:rPr>
            </w:pPr>
          </w:p>
        </w:tc>
      </w:tr>
      <w:tr>
        <w:trPr>
          <w:trHeight w:val="201"/>
        </w:trPr>
        <w:tc>
          <w:tcPr>
            <w:tcW w:w="180" w:type="dxa"/>
            <w:vAlign w:val="bottom"/>
          </w:tcPr>
          <w:p>
            <w:pPr>
              <w:spacing w:after="0"/>
              <w:rPr>
                <w:sz w:val="17"/>
                <w:szCs w:val="17"/>
                <w:color w:val="auto"/>
              </w:rPr>
            </w:pPr>
          </w:p>
        </w:tc>
        <w:tc>
          <w:tcPr>
            <w:tcW w:w="14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2"/>
            <w:vMerge w:val="continue"/>
          </w:tcPr>
          <w:p>
            <w:pPr>
              <w:spacing w:after="0"/>
              <w:rPr>
                <w:sz w:val="17"/>
                <w:szCs w:val="17"/>
                <w:color w:val="auto"/>
              </w:rPr>
            </w:pPr>
          </w:p>
        </w:tc>
        <w:tc>
          <w:tcPr>
            <w:tcW w:w="1740" w:type="dxa"/>
            <w:vAlign w:val="bottom"/>
            <w:gridSpan w:val="2"/>
            <w:vMerge w:val="continue"/>
          </w:tcPr>
          <w:p>
            <w:pPr>
              <w:spacing w:after="0"/>
              <w:rPr>
                <w:sz w:val="17"/>
                <w:szCs w:val="17"/>
                <w:color w:val="auto"/>
              </w:rPr>
            </w:pPr>
          </w:p>
        </w:tc>
        <w:tc>
          <w:tcPr>
            <w:tcW w:w="1960" w:type="dxa"/>
            <w:vAlign w:val="bottom"/>
          </w:tcPr>
          <w:p>
            <w:pPr>
              <w:ind w:left="20"/>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11"/>
        </w:trPr>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100" w:type="dxa"/>
            <w:vAlign w:val="bottom"/>
            <w:gridSpan w:val="2"/>
          </w:tcPr>
          <w:p>
            <w:pPr>
              <w:ind w:left="20"/>
              <w:spacing w:after="0"/>
              <w:rPr>
                <w:sz w:val="20"/>
                <w:szCs w:val="20"/>
                <w:color w:val="auto"/>
              </w:rPr>
            </w:pPr>
            <w:r>
              <w:rPr>
                <w:rFonts w:ascii="Arial" w:cs="Arial" w:eastAsia="Arial" w:hAnsi="Arial"/>
                <w:sz w:val="16"/>
                <w:szCs w:val="16"/>
                <w:color w:val="auto"/>
              </w:rPr>
              <w:t>Income-Approach</w:t>
            </w:r>
          </w:p>
        </w:tc>
        <w:tc>
          <w:tcPr>
            <w:tcW w:w="1740" w:type="dxa"/>
            <w:vAlign w:val="bottom"/>
            <w:gridSpan w:val="2"/>
          </w:tcPr>
          <w:p>
            <w:pPr>
              <w:spacing w:after="0"/>
              <w:rPr>
                <w:sz w:val="20"/>
                <w:szCs w:val="20"/>
                <w:color w:val="auto"/>
              </w:rPr>
            </w:pPr>
            <w:r>
              <w:rPr>
                <w:rFonts w:ascii="Arial" w:cs="Arial" w:eastAsia="Arial" w:hAnsi="Arial"/>
                <w:sz w:val="16"/>
                <w:szCs w:val="16"/>
                <w:color w:val="auto"/>
              </w:rPr>
              <w:t>Yield</w:t>
            </w:r>
          </w:p>
        </w:tc>
        <w:tc>
          <w:tcPr>
            <w:tcW w:w="1960" w:type="dxa"/>
            <w:vAlign w:val="bottom"/>
          </w:tcPr>
          <w:p>
            <w:pPr>
              <w:ind w:left="20"/>
              <w:spacing w:after="0"/>
              <w:rPr>
                <w:sz w:val="20"/>
                <w:szCs w:val="20"/>
                <w:color w:val="auto"/>
              </w:rPr>
            </w:pPr>
            <w:r>
              <w:rPr>
                <w:rFonts w:ascii="Arial" w:cs="Arial" w:eastAsia="Arial" w:hAnsi="Arial"/>
                <w:sz w:val="16"/>
                <w:szCs w:val="16"/>
                <w:color w:val="auto"/>
              </w:rPr>
              <w:t>2.43%</w:t>
            </w:r>
          </w:p>
        </w:tc>
        <w:tc>
          <w:tcPr>
            <w:tcW w:w="0" w:type="dxa"/>
            <w:vAlign w:val="bottom"/>
          </w:tcPr>
          <w:p>
            <w:pPr>
              <w:spacing w:after="0"/>
              <w:rPr>
                <w:sz w:val="1"/>
                <w:szCs w:val="1"/>
                <w:color w:val="auto"/>
              </w:rPr>
            </w:pPr>
          </w:p>
        </w:tc>
      </w:tr>
      <w:tr>
        <w:trPr>
          <w:trHeight w:val="211"/>
        </w:trPr>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100" w:type="dxa"/>
            <w:vAlign w:val="bottom"/>
            <w:gridSpan w:val="2"/>
          </w:tcPr>
          <w:p>
            <w:pPr>
              <w:ind w:left="20"/>
              <w:spacing w:after="0"/>
              <w:rPr>
                <w:sz w:val="20"/>
                <w:szCs w:val="20"/>
                <w:color w:val="auto"/>
              </w:rPr>
            </w:pPr>
            <w:r>
              <w:rPr>
                <w:rFonts w:ascii="Arial" w:cs="Arial" w:eastAsia="Arial" w:hAnsi="Arial"/>
                <w:sz w:val="16"/>
                <w:szCs w:val="16"/>
                <w:color w:val="auto"/>
              </w:rPr>
              <w:t>Broker Quoted</w:t>
            </w:r>
          </w:p>
        </w:tc>
        <w:tc>
          <w:tcPr>
            <w:tcW w:w="1740" w:type="dxa"/>
            <w:vAlign w:val="bottom"/>
            <w:gridSpan w:val="2"/>
          </w:tcPr>
          <w:p>
            <w:pPr>
              <w:spacing w:after="0"/>
              <w:rPr>
                <w:sz w:val="20"/>
                <w:szCs w:val="20"/>
                <w:color w:val="auto"/>
              </w:rPr>
            </w:pPr>
            <w:r>
              <w:rPr>
                <w:rFonts w:ascii="Arial" w:cs="Arial" w:eastAsia="Arial" w:hAnsi="Arial"/>
                <w:sz w:val="16"/>
                <w:szCs w:val="16"/>
                <w:color w:val="auto"/>
              </w:rPr>
              <w:t>Offered quotes</w:t>
            </w:r>
          </w:p>
        </w:tc>
        <w:tc>
          <w:tcPr>
            <w:tcW w:w="1960" w:type="dxa"/>
            <w:vAlign w:val="bottom"/>
          </w:tcPr>
          <w:p>
            <w:pPr>
              <w:ind w:left="20"/>
              <w:spacing w:after="0"/>
              <w:rPr>
                <w:sz w:val="20"/>
                <w:szCs w:val="20"/>
                <w:color w:val="auto"/>
              </w:rPr>
            </w:pPr>
            <w:r>
              <w:rPr>
                <w:rFonts w:ascii="Arial" w:cs="Arial" w:eastAsia="Arial" w:hAnsi="Arial"/>
                <w:sz w:val="16"/>
                <w:szCs w:val="16"/>
                <w:color w:val="auto"/>
              </w:rPr>
              <w:t>$6.23 - $6.23 ($6.23)</w:t>
            </w:r>
          </w:p>
        </w:tc>
        <w:tc>
          <w:tcPr>
            <w:tcW w:w="0" w:type="dxa"/>
            <w:vAlign w:val="bottom"/>
          </w:tcPr>
          <w:p>
            <w:pPr>
              <w:spacing w:after="0"/>
              <w:rPr>
                <w:sz w:val="1"/>
                <w:szCs w:val="1"/>
                <w:color w:val="auto"/>
              </w:rPr>
            </w:pPr>
          </w:p>
        </w:tc>
      </w:tr>
      <w:tr>
        <w:trPr>
          <w:trHeight w:val="211"/>
        </w:trPr>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100" w:type="dxa"/>
            <w:vAlign w:val="bottom"/>
            <w:gridSpan w:val="2"/>
          </w:tcPr>
          <w:p>
            <w:pPr>
              <w:ind w:left="20"/>
              <w:spacing w:after="0"/>
              <w:rPr>
                <w:sz w:val="20"/>
                <w:szCs w:val="20"/>
                <w:color w:val="auto"/>
              </w:rPr>
            </w:pPr>
            <w:r>
              <w:rPr>
                <w:rFonts w:ascii="Arial" w:cs="Arial" w:eastAsia="Arial" w:hAnsi="Arial"/>
                <w:sz w:val="16"/>
                <w:szCs w:val="16"/>
                <w:color w:val="auto"/>
              </w:rPr>
              <w:t>Black Scholes model</w:t>
            </w:r>
          </w:p>
        </w:tc>
        <w:tc>
          <w:tcPr>
            <w:tcW w:w="1740" w:type="dxa"/>
            <w:vAlign w:val="bottom"/>
            <w:gridSpan w:val="2"/>
          </w:tcPr>
          <w:p>
            <w:pPr>
              <w:ind w:left="40"/>
              <w:spacing w:after="0"/>
              <w:rPr>
                <w:sz w:val="20"/>
                <w:szCs w:val="20"/>
                <w:color w:val="auto"/>
              </w:rPr>
            </w:pPr>
            <w:r>
              <w:rPr>
                <w:rFonts w:ascii="Arial" w:cs="Arial" w:eastAsia="Arial" w:hAnsi="Arial"/>
                <w:sz w:val="16"/>
                <w:szCs w:val="16"/>
                <w:color w:val="auto"/>
              </w:rPr>
              <w:t>Risk Free Rate</w:t>
            </w:r>
          </w:p>
        </w:tc>
        <w:tc>
          <w:tcPr>
            <w:tcW w:w="1960" w:type="dxa"/>
            <w:vAlign w:val="bottom"/>
          </w:tcPr>
          <w:p>
            <w:pPr>
              <w:ind w:left="20"/>
              <w:spacing w:after="0"/>
              <w:rPr>
                <w:sz w:val="20"/>
                <w:szCs w:val="20"/>
                <w:color w:val="auto"/>
              </w:rPr>
            </w:pPr>
            <w:r>
              <w:rPr>
                <w:rFonts w:ascii="Arial" w:cs="Arial" w:eastAsia="Arial" w:hAnsi="Arial"/>
                <w:sz w:val="16"/>
                <w:szCs w:val="16"/>
                <w:color w:val="auto"/>
              </w:rPr>
              <w:t>1.00% -1.00% (1.00%)</w:t>
            </w:r>
          </w:p>
        </w:tc>
        <w:tc>
          <w:tcPr>
            <w:tcW w:w="0" w:type="dxa"/>
            <w:vAlign w:val="bottom"/>
          </w:tcPr>
          <w:p>
            <w:pPr>
              <w:spacing w:after="0"/>
              <w:rPr>
                <w:sz w:val="1"/>
                <w:szCs w:val="1"/>
                <w:color w:val="auto"/>
              </w:rPr>
            </w:pPr>
          </w:p>
        </w:tc>
      </w:tr>
      <w:tr>
        <w:trPr>
          <w:trHeight w:val="211"/>
        </w:trPr>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ind w:left="40"/>
              <w:spacing w:after="0"/>
              <w:rPr>
                <w:sz w:val="20"/>
                <w:szCs w:val="20"/>
                <w:color w:val="auto"/>
              </w:rPr>
            </w:pPr>
            <w:r>
              <w:rPr>
                <w:rFonts w:ascii="Arial" w:cs="Arial" w:eastAsia="Arial" w:hAnsi="Arial"/>
                <w:sz w:val="16"/>
                <w:szCs w:val="16"/>
                <w:color w:val="auto"/>
              </w:rPr>
              <w:t>Strike Price</w:t>
            </w:r>
          </w:p>
        </w:tc>
        <w:tc>
          <w:tcPr>
            <w:tcW w:w="1960" w:type="dxa"/>
            <w:vAlign w:val="bottom"/>
          </w:tcPr>
          <w:p>
            <w:pPr>
              <w:ind w:left="20"/>
              <w:spacing w:after="0"/>
              <w:rPr>
                <w:sz w:val="20"/>
                <w:szCs w:val="20"/>
                <w:color w:val="auto"/>
              </w:rPr>
            </w:pPr>
            <w:r>
              <w:rPr>
                <w:rFonts w:ascii="Arial" w:cs="Arial" w:eastAsia="Arial" w:hAnsi="Arial"/>
                <w:sz w:val="16"/>
                <w:szCs w:val="16"/>
                <w:color w:val="auto"/>
              </w:rPr>
              <w:t>$1.50 - $1.50 ($1.50)</w:t>
            </w:r>
          </w:p>
        </w:tc>
        <w:tc>
          <w:tcPr>
            <w:tcW w:w="0" w:type="dxa"/>
            <w:vAlign w:val="bottom"/>
          </w:tcPr>
          <w:p>
            <w:pPr>
              <w:spacing w:after="0"/>
              <w:rPr>
                <w:sz w:val="1"/>
                <w:szCs w:val="1"/>
                <w:color w:val="auto"/>
              </w:rPr>
            </w:pPr>
          </w:p>
        </w:tc>
      </w:tr>
      <w:tr>
        <w:trPr>
          <w:trHeight w:val="168"/>
        </w:trPr>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2"/>
            <w:vMerge w:val="restart"/>
          </w:tcPr>
          <w:p>
            <w:pPr>
              <w:ind w:left="40"/>
              <w:spacing w:after="0"/>
              <w:rPr>
                <w:sz w:val="20"/>
                <w:szCs w:val="20"/>
                <w:color w:val="auto"/>
              </w:rPr>
            </w:pPr>
            <w:r>
              <w:rPr>
                <w:rFonts w:ascii="Arial" w:cs="Arial" w:eastAsia="Arial" w:hAnsi="Arial"/>
                <w:sz w:val="16"/>
                <w:szCs w:val="16"/>
                <w:color w:val="auto"/>
              </w:rPr>
              <w:t>Volatility</w:t>
            </w:r>
          </w:p>
        </w:tc>
        <w:tc>
          <w:tcPr>
            <w:tcW w:w="1960" w:type="dxa"/>
            <w:vAlign w:val="bottom"/>
          </w:tcPr>
          <w:p>
            <w:pPr>
              <w:ind w:left="20"/>
              <w:spacing w:after="0" w:line="168" w:lineRule="exact"/>
              <w:rPr>
                <w:sz w:val="20"/>
                <w:szCs w:val="20"/>
                <w:color w:val="auto"/>
              </w:rPr>
            </w:pPr>
            <w:r>
              <w:rPr>
                <w:rFonts w:ascii="Arial" w:cs="Arial" w:eastAsia="Arial" w:hAnsi="Arial"/>
                <w:sz w:val="16"/>
                <w:szCs w:val="16"/>
                <w:color w:val="auto"/>
              </w:rPr>
              <w:t>81.00% - 81.00%</w:t>
            </w:r>
          </w:p>
        </w:tc>
        <w:tc>
          <w:tcPr>
            <w:tcW w:w="0" w:type="dxa"/>
            <w:vAlign w:val="bottom"/>
          </w:tcPr>
          <w:p>
            <w:pPr>
              <w:spacing w:after="0"/>
              <w:rPr>
                <w:sz w:val="1"/>
                <w:szCs w:val="1"/>
                <w:color w:val="auto"/>
              </w:rPr>
            </w:pPr>
          </w:p>
        </w:tc>
      </w:tr>
      <w:tr>
        <w:trPr>
          <w:trHeight w:val="201"/>
        </w:trPr>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2"/>
            <w:vMerge w:val="continue"/>
          </w:tcPr>
          <w:p>
            <w:pPr>
              <w:spacing w:after="0"/>
              <w:rPr>
                <w:sz w:val="17"/>
                <w:szCs w:val="17"/>
                <w:color w:val="auto"/>
              </w:rPr>
            </w:pPr>
          </w:p>
        </w:tc>
        <w:tc>
          <w:tcPr>
            <w:tcW w:w="1960" w:type="dxa"/>
            <w:vAlign w:val="bottom"/>
          </w:tcPr>
          <w:p>
            <w:pPr>
              <w:ind w:left="20"/>
              <w:spacing w:after="0"/>
              <w:rPr>
                <w:sz w:val="20"/>
                <w:szCs w:val="20"/>
                <w:color w:val="auto"/>
              </w:rPr>
            </w:pPr>
            <w:r>
              <w:rPr>
                <w:rFonts w:ascii="Arial" w:cs="Arial" w:eastAsia="Arial" w:hAnsi="Arial"/>
                <w:sz w:val="16"/>
                <w:szCs w:val="16"/>
                <w:color w:val="auto"/>
              </w:rPr>
              <w:t>(81.00%)</w:t>
            </w:r>
          </w:p>
        </w:tc>
        <w:tc>
          <w:tcPr>
            <w:tcW w:w="0" w:type="dxa"/>
            <w:vAlign w:val="bottom"/>
          </w:tcPr>
          <w:p>
            <w:pPr>
              <w:spacing w:after="0"/>
              <w:rPr>
                <w:sz w:val="1"/>
                <w:szCs w:val="1"/>
                <w:color w:val="auto"/>
              </w:rPr>
            </w:pPr>
          </w:p>
        </w:tc>
      </w:tr>
      <w:tr>
        <w:trPr>
          <w:trHeight w:val="211"/>
        </w:trPr>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ind w:left="40"/>
              <w:spacing w:after="0"/>
              <w:rPr>
                <w:sz w:val="20"/>
                <w:szCs w:val="20"/>
                <w:color w:val="auto"/>
              </w:rPr>
            </w:pPr>
            <w:r>
              <w:rPr>
                <w:rFonts w:ascii="Arial" w:cs="Arial" w:eastAsia="Arial" w:hAnsi="Arial"/>
                <w:sz w:val="16"/>
                <w:szCs w:val="16"/>
                <w:color w:val="auto"/>
              </w:rPr>
              <w:t>Dividend Yield</w:t>
            </w:r>
          </w:p>
        </w:tc>
        <w:tc>
          <w:tcPr>
            <w:tcW w:w="1960" w:type="dxa"/>
            <w:vAlign w:val="bottom"/>
          </w:tcPr>
          <w:p>
            <w:pPr>
              <w:ind w:left="20"/>
              <w:spacing w:after="0"/>
              <w:rPr>
                <w:sz w:val="20"/>
                <w:szCs w:val="20"/>
                <w:color w:val="auto"/>
              </w:rPr>
            </w:pPr>
            <w:r>
              <w:rPr>
                <w:rFonts w:ascii="Arial" w:cs="Arial" w:eastAsia="Arial" w:hAnsi="Arial"/>
                <w:sz w:val="16"/>
                <w:szCs w:val="16"/>
                <w:color w:val="auto"/>
              </w:rPr>
              <w:t>0.00% - 0.00% (0.00%)</w:t>
            </w:r>
          </w:p>
        </w:tc>
        <w:tc>
          <w:tcPr>
            <w:tcW w:w="0" w:type="dxa"/>
            <w:vAlign w:val="bottom"/>
          </w:tcPr>
          <w:p>
            <w:pPr>
              <w:spacing w:after="0"/>
              <w:rPr>
                <w:sz w:val="1"/>
                <w:szCs w:val="1"/>
                <w:color w:val="auto"/>
              </w:rPr>
            </w:pPr>
          </w:p>
        </w:tc>
      </w:tr>
      <w:tr>
        <w:trPr>
          <w:trHeight w:val="168"/>
        </w:trPr>
        <w:tc>
          <w:tcPr>
            <w:tcW w:w="180" w:type="dxa"/>
            <w:vAlign w:val="bottom"/>
          </w:tcPr>
          <w:p>
            <w:pPr>
              <w:spacing w:after="0"/>
              <w:rPr>
                <w:sz w:val="14"/>
                <w:szCs w:val="14"/>
                <w:color w:val="auto"/>
              </w:rPr>
            </w:pPr>
          </w:p>
        </w:tc>
        <w:tc>
          <w:tcPr>
            <w:tcW w:w="1460" w:type="dxa"/>
            <w:vAlign w:val="bottom"/>
            <w:vMerge w:val="restart"/>
          </w:tcPr>
          <w:p>
            <w:pPr>
              <w:jc w:val="right"/>
              <w:ind w:right="2"/>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4"/>
                <w:szCs w:val="14"/>
                <w:color w:val="auto"/>
              </w:rPr>
            </w:pPr>
          </w:p>
        </w:tc>
        <w:tc>
          <w:tcPr>
            <w:tcW w:w="2100" w:type="dxa"/>
            <w:vAlign w:val="bottom"/>
            <w:gridSpan w:val="2"/>
            <w:vMerge w:val="restart"/>
          </w:tcPr>
          <w:p>
            <w:pPr>
              <w:ind w:left="20"/>
              <w:spacing w:after="0"/>
              <w:rPr>
                <w:sz w:val="20"/>
                <w:szCs w:val="20"/>
                <w:color w:val="auto"/>
              </w:rPr>
            </w:pPr>
            <w:r>
              <w:rPr>
                <w:rFonts w:ascii="Arial" w:cs="Arial" w:eastAsia="Arial" w:hAnsi="Arial"/>
                <w:sz w:val="16"/>
                <w:szCs w:val="16"/>
                <w:color w:val="auto"/>
              </w:rPr>
              <w:t>Discounted Cash Flow</w:t>
            </w:r>
          </w:p>
        </w:tc>
        <w:tc>
          <w:tcPr>
            <w:tcW w:w="1740" w:type="dxa"/>
            <w:vAlign w:val="bottom"/>
            <w:gridSpan w:val="2"/>
            <w:vMerge w:val="restart"/>
          </w:tcPr>
          <w:p>
            <w:pPr>
              <w:ind w:left="40"/>
              <w:spacing w:after="0"/>
              <w:rPr>
                <w:sz w:val="20"/>
                <w:szCs w:val="20"/>
                <w:color w:val="auto"/>
              </w:rPr>
            </w:pPr>
            <w:r>
              <w:rPr>
                <w:rFonts w:ascii="Arial" w:cs="Arial" w:eastAsia="Arial" w:hAnsi="Arial"/>
                <w:sz w:val="16"/>
                <w:szCs w:val="16"/>
                <w:color w:val="auto"/>
              </w:rPr>
              <w:t>Discount rate</w:t>
            </w:r>
          </w:p>
        </w:tc>
        <w:tc>
          <w:tcPr>
            <w:tcW w:w="1960" w:type="dxa"/>
            <w:vAlign w:val="bottom"/>
          </w:tcPr>
          <w:p>
            <w:pPr>
              <w:ind w:left="20"/>
              <w:spacing w:after="0" w:line="168" w:lineRule="exact"/>
              <w:rPr>
                <w:sz w:val="20"/>
                <w:szCs w:val="20"/>
                <w:color w:val="auto"/>
              </w:rPr>
            </w:pPr>
            <w:r>
              <w:rPr>
                <w:rFonts w:ascii="Arial" w:cs="Arial" w:eastAsia="Arial" w:hAnsi="Arial"/>
                <w:sz w:val="16"/>
                <w:szCs w:val="16"/>
                <w:color w:val="auto"/>
              </w:rPr>
              <w:t>12.70% - 12.70%</w:t>
            </w:r>
          </w:p>
        </w:tc>
        <w:tc>
          <w:tcPr>
            <w:tcW w:w="0" w:type="dxa"/>
            <w:vAlign w:val="bottom"/>
          </w:tcPr>
          <w:p>
            <w:pPr>
              <w:spacing w:after="0"/>
              <w:rPr>
                <w:sz w:val="1"/>
                <w:szCs w:val="1"/>
                <w:color w:val="auto"/>
              </w:rPr>
            </w:pPr>
          </w:p>
        </w:tc>
      </w:tr>
      <w:tr>
        <w:trPr>
          <w:trHeight w:val="201"/>
        </w:trPr>
        <w:tc>
          <w:tcPr>
            <w:tcW w:w="180" w:type="dxa"/>
            <w:vAlign w:val="bottom"/>
          </w:tcPr>
          <w:p>
            <w:pPr>
              <w:spacing w:after="0"/>
              <w:rPr>
                <w:sz w:val="17"/>
                <w:szCs w:val="17"/>
                <w:color w:val="auto"/>
              </w:rPr>
            </w:pPr>
          </w:p>
        </w:tc>
        <w:tc>
          <w:tcPr>
            <w:tcW w:w="14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2"/>
            <w:vMerge w:val="continue"/>
          </w:tcPr>
          <w:p>
            <w:pPr>
              <w:spacing w:after="0"/>
              <w:rPr>
                <w:sz w:val="17"/>
                <w:szCs w:val="17"/>
                <w:color w:val="auto"/>
              </w:rPr>
            </w:pPr>
          </w:p>
        </w:tc>
        <w:tc>
          <w:tcPr>
            <w:tcW w:w="1740" w:type="dxa"/>
            <w:vAlign w:val="bottom"/>
            <w:gridSpan w:val="2"/>
            <w:vMerge w:val="continue"/>
          </w:tcPr>
          <w:p>
            <w:pPr>
              <w:spacing w:after="0"/>
              <w:rPr>
                <w:sz w:val="17"/>
                <w:szCs w:val="17"/>
                <w:color w:val="auto"/>
              </w:rPr>
            </w:pPr>
          </w:p>
        </w:tc>
        <w:tc>
          <w:tcPr>
            <w:tcW w:w="1960" w:type="dxa"/>
            <w:vAlign w:val="bottom"/>
          </w:tcPr>
          <w:p>
            <w:pPr>
              <w:ind w:left="20"/>
              <w:spacing w:after="0"/>
              <w:rPr>
                <w:sz w:val="20"/>
                <w:szCs w:val="20"/>
                <w:color w:val="auto"/>
              </w:rPr>
            </w:pPr>
            <w:r>
              <w:rPr>
                <w:rFonts w:ascii="Arial" w:cs="Arial" w:eastAsia="Arial" w:hAnsi="Arial"/>
                <w:sz w:val="16"/>
                <w:szCs w:val="16"/>
                <w:color w:val="auto"/>
              </w:rPr>
              <w:t>(12.70%)</w:t>
            </w:r>
          </w:p>
        </w:tc>
        <w:tc>
          <w:tcPr>
            <w:tcW w:w="0" w:type="dxa"/>
            <w:vAlign w:val="bottom"/>
          </w:tcPr>
          <w:p>
            <w:pPr>
              <w:spacing w:after="0"/>
              <w:rPr>
                <w:sz w:val="1"/>
                <w:szCs w:val="1"/>
                <w:color w:val="auto"/>
              </w:rPr>
            </w:pPr>
          </w:p>
        </w:tc>
      </w:tr>
      <w:tr>
        <w:trPr>
          <w:trHeight w:val="168"/>
        </w:trPr>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2"/>
          </w:tcPr>
          <w:p>
            <w:pPr>
              <w:ind w:left="20"/>
              <w:spacing w:after="0" w:line="168" w:lineRule="exact"/>
              <w:rPr>
                <w:sz w:val="20"/>
                <w:szCs w:val="20"/>
                <w:color w:val="auto"/>
              </w:rPr>
            </w:pPr>
            <w:r>
              <w:rPr>
                <w:rFonts w:ascii="Arial" w:cs="Arial" w:eastAsia="Arial" w:hAnsi="Arial"/>
                <w:sz w:val="16"/>
                <w:szCs w:val="16"/>
                <w:color w:val="auto"/>
                <w:w w:val="96"/>
              </w:rPr>
              <w:t>Market Comparable Company</w:t>
            </w:r>
          </w:p>
        </w:tc>
        <w:tc>
          <w:tcPr>
            <w:tcW w:w="1740" w:type="dxa"/>
            <w:vAlign w:val="bottom"/>
            <w:gridSpan w:val="2"/>
            <w:vMerge w:val="restart"/>
          </w:tcPr>
          <w:p>
            <w:pPr>
              <w:spacing w:after="0"/>
              <w:rPr>
                <w:sz w:val="20"/>
                <w:szCs w:val="20"/>
                <w:color w:val="auto"/>
              </w:rPr>
            </w:pPr>
            <w:r>
              <w:rPr>
                <w:rFonts w:ascii="Arial" w:cs="Arial" w:eastAsia="Arial" w:hAnsi="Arial"/>
                <w:sz w:val="16"/>
                <w:szCs w:val="16"/>
                <w:color w:val="auto"/>
              </w:rPr>
              <w:t>EBITDA multiple</w:t>
            </w:r>
          </w:p>
        </w:tc>
        <w:tc>
          <w:tcPr>
            <w:tcW w:w="1960" w:type="dxa"/>
            <w:vAlign w:val="bottom"/>
            <w:vMerge w:val="restart"/>
          </w:tcPr>
          <w:p>
            <w:pPr>
              <w:ind w:left="20"/>
              <w:spacing w:after="0"/>
              <w:rPr>
                <w:sz w:val="20"/>
                <w:szCs w:val="20"/>
                <w:color w:val="auto"/>
              </w:rPr>
            </w:pPr>
            <w:r>
              <w:rPr>
                <w:rFonts w:ascii="Arial" w:cs="Arial" w:eastAsia="Arial" w:hAnsi="Arial"/>
                <w:sz w:val="16"/>
                <w:szCs w:val="16"/>
                <w:color w:val="auto"/>
              </w:rPr>
              <w:t>5.9x - 5.9x (5.9x)</w:t>
            </w:r>
          </w:p>
        </w:tc>
        <w:tc>
          <w:tcPr>
            <w:tcW w:w="0" w:type="dxa"/>
            <w:vAlign w:val="bottom"/>
          </w:tcPr>
          <w:p>
            <w:pPr>
              <w:spacing w:after="0"/>
              <w:rPr>
                <w:sz w:val="1"/>
                <w:szCs w:val="1"/>
                <w:color w:val="auto"/>
              </w:rPr>
            </w:pPr>
          </w:p>
        </w:tc>
      </w:tr>
      <w:tr>
        <w:trPr>
          <w:trHeight w:val="201"/>
        </w:trPr>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2"/>
          </w:tcPr>
          <w:p>
            <w:pPr>
              <w:ind w:left="20"/>
              <w:spacing w:after="0"/>
              <w:rPr>
                <w:sz w:val="20"/>
                <w:szCs w:val="20"/>
                <w:color w:val="auto"/>
              </w:rPr>
            </w:pPr>
            <w:r>
              <w:rPr>
                <w:rFonts w:ascii="Arial" w:cs="Arial" w:eastAsia="Arial" w:hAnsi="Arial"/>
                <w:sz w:val="16"/>
                <w:szCs w:val="16"/>
                <w:color w:val="auto"/>
              </w:rPr>
              <w:t>Analysis</w:t>
            </w:r>
          </w:p>
        </w:tc>
        <w:tc>
          <w:tcPr>
            <w:tcW w:w="1740" w:type="dxa"/>
            <w:vAlign w:val="bottom"/>
            <w:gridSpan w:val="2"/>
            <w:vMerge w:val="continue"/>
          </w:tcPr>
          <w:p>
            <w:pPr>
              <w:spacing w:after="0"/>
              <w:rPr>
                <w:sz w:val="17"/>
                <w:szCs w:val="17"/>
                <w:color w:val="auto"/>
              </w:rPr>
            </w:pPr>
          </w:p>
        </w:tc>
        <w:tc>
          <w:tcPr>
            <w:tcW w:w="1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21"/>
        </w:trPr>
        <w:tc>
          <w:tcPr>
            <w:tcW w:w="180" w:type="dxa"/>
            <w:vAlign w:val="bottom"/>
          </w:tcPr>
          <w:p>
            <w:pPr>
              <w:spacing w:after="0"/>
              <w:rPr>
                <w:sz w:val="24"/>
                <w:szCs w:val="24"/>
                <w:color w:val="auto"/>
              </w:rPr>
            </w:pPr>
          </w:p>
        </w:tc>
        <w:tc>
          <w:tcPr>
            <w:tcW w:w="1460" w:type="dxa"/>
            <w:vAlign w:val="bottom"/>
          </w:tcPr>
          <w:p>
            <w:pPr>
              <w:jc w:val="right"/>
              <w:ind w:right="2"/>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4"/>
                <w:szCs w:val="24"/>
                <w:color w:val="auto"/>
              </w:rPr>
            </w:pPr>
          </w:p>
        </w:tc>
        <w:tc>
          <w:tcPr>
            <w:tcW w:w="2100" w:type="dxa"/>
            <w:vAlign w:val="bottom"/>
            <w:gridSpan w:val="2"/>
          </w:tcPr>
          <w:p>
            <w:pPr>
              <w:ind w:left="20"/>
              <w:spacing w:after="0"/>
              <w:rPr>
                <w:sz w:val="20"/>
                <w:szCs w:val="20"/>
                <w:color w:val="auto"/>
              </w:rPr>
            </w:pPr>
            <w:r>
              <w:rPr>
                <w:rFonts w:ascii="Arial" w:cs="Arial" w:eastAsia="Arial" w:hAnsi="Arial"/>
                <w:sz w:val="16"/>
                <w:szCs w:val="16"/>
                <w:color w:val="auto"/>
              </w:rPr>
              <w:t>Black Scholes model</w:t>
            </w:r>
          </w:p>
        </w:tc>
        <w:tc>
          <w:tcPr>
            <w:tcW w:w="1740" w:type="dxa"/>
            <w:vAlign w:val="bottom"/>
            <w:gridSpan w:val="2"/>
          </w:tcPr>
          <w:p>
            <w:pPr>
              <w:spacing w:after="0"/>
              <w:rPr>
                <w:sz w:val="20"/>
                <w:szCs w:val="20"/>
                <w:color w:val="auto"/>
              </w:rPr>
            </w:pPr>
            <w:r>
              <w:rPr>
                <w:rFonts w:ascii="Arial" w:cs="Arial" w:eastAsia="Arial" w:hAnsi="Arial"/>
                <w:sz w:val="16"/>
                <w:szCs w:val="16"/>
                <w:color w:val="auto"/>
              </w:rPr>
              <w:t>Market value of fund</w:t>
            </w:r>
          </w:p>
        </w:tc>
        <w:tc>
          <w:tcPr>
            <w:tcW w:w="1960" w:type="dxa"/>
            <w:vAlign w:val="bottom"/>
          </w:tcPr>
          <w:p>
            <w:pPr>
              <w:ind w:left="20"/>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11"/>
        </w:trPr>
        <w:tc>
          <w:tcPr>
            <w:tcW w:w="180" w:type="dxa"/>
            <w:vAlign w:val="bottom"/>
          </w:tcPr>
          <w:p>
            <w:pPr>
              <w:spacing w:after="0"/>
              <w:rPr>
                <w:sz w:val="18"/>
                <w:szCs w:val="18"/>
                <w:color w:val="auto"/>
              </w:rPr>
            </w:pPr>
          </w:p>
        </w:tc>
        <w:tc>
          <w:tcPr>
            <w:tcW w:w="1460" w:type="dxa"/>
            <w:vAlign w:val="bottom"/>
          </w:tcPr>
          <w:p>
            <w:pPr>
              <w:jc w:val="right"/>
              <w:ind w:right="2"/>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2100" w:type="dxa"/>
            <w:vAlign w:val="bottom"/>
            <w:gridSpan w:val="2"/>
          </w:tcPr>
          <w:p>
            <w:pPr>
              <w:ind w:left="20"/>
              <w:spacing w:after="0"/>
              <w:rPr>
                <w:sz w:val="20"/>
                <w:szCs w:val="20"/>
                <w:color w:val="auto"/>
              </w:rPr>
            </w:pPr>
            <w:r>
              <w:rPr>
                <w:rFonts w:ascii="Arial" w:cs="Arial" w:eastAsia="Arial" w:hAnsi="Arial"/>
                <w:sz w:val="16"/>
                <w:szCs w:val="16"/>
                <w:color w:val="auto"/>
              </w:rPr>
              <w:t>Broker-quoted</w:t>
            </w:r>
          </w:p>
        </w:tc>
        <w:tc>
          <w:tcPr>
            <w:tcW w:w="1740" w:type="dxa"/>
            <w:vAlign w:val="bottom"/>
            <w:gridSpan w:val="2"/>
          </w:tcPr>
          <w:p>
            <w:pPr>
              <w:spacing w:after="0"/>
              <w:rPr>
                <w:sz w:val="20"/>
                <w:szCs w:val="20"/>
                <w:color w:val="auto"/>
              </w:rPr>
            </w:pPr>
            <w:r>
              <w:rPr>
                <w:rFonts w:ascii="Arial" w:cs="Arial" w:eastAsia="Arial" w:hAnsi="Arial"/>
                <w:sz w:val="16"/>
                <w:szCs w:val="16"/>
                <w:color w:val="auto"/>
              </w:rPr>
              <w:t>Offered quotes</w:t>
            </w:r>
          </w:p>
        </w:tc>
        <w:tc>
          <w:tcPr>
            <w:tcW w:w="1960" w:type="dxa"/>
            <w:vAlign w:val="bottom"/>
          </w:tcPr>
          <w:p>
            <w:pPr>
              <w:ind w:left="20"/>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168"/>
        </w:trPr>
        <w:tc>
          <w:tcPr>
            <w:tcW w:w="180" w:type="dxa"/>
            <w:vAlign w:val="bottom"/>
          </w:tcPr>
          <w:p>
            <w:pPr>
              <w:spacing w:after="0"/>
              <w:rPr>
                <w:sz w:val="14"/>
                <w:szCs w:val="14"/>
                <w:color w:val="auto"/>
              </w:rPr>
            </w:pPr>
          </w:p>
        </w:tc>
        <w:tc>
          <w:tcPr>
            <w:tcW w:w="1460" w:type="dxa"/>
            <w:vAlign w:val="bottom"/>
            <w:vMerge w:val="restart"/>
          </w:tcPr>
          <w:p>
            <w:pPr>
              <w:jc w:val="right"/>
              <w:ind w:right="2"/>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4"/>
                <w:szCs w:val="14"/>
                <w:color w:val="auto"/>
              </w:rPr>
            </w:pPr>
          </w:p>
        </w:tc>
        <w:tc>
          <w:tcPr>
            <w:tcW w:w="2100" w:type="dxa"/>
            <w:vAlign w:val="bottom"/>
            <w:gridSpan w:val="2"/>
          </w:tcPr>
          <w:p>
            <w:pPr>
              <w:ind w:left="20"/>
              <w:spacing w:after="0" w:line="168" w:lineRule="exact"/>
              <w:rPr>
                <w:sz w:val="20"/>
                <w:szCs w:val="20"/>
                <w:color w:val="auto"/>
              </w:rPr>
            </w:pPr>
            <w:r>
              <w:rPr>
                <w:rFonts w:ascii="Arial" w:cs="Arial" w:eastAsia="Arial" w:hAnsi="Arial"/>
                <w:sz w:val="16"/>
                <w:szCs w:val="16"/>
                <w:color w:val="auto"/>
                <w:w w:val="96"/>
              </w:rPr>
              <w:t>Market Comparable Company</w:t>
            </w:r>
          </w:p>
        </w:tc>
        <w:tc>
          <w:tcPr>
            <w:tcW w:w="1740" w:type="dxa"/>
            <w:vAlign w:val="bottom"/>
            <w:gridSpan w:val="2"/>
            <w:vMerge w:val="restart"/>
          </w:tcPr>
          <w:p>
            <w:pPr>
              <w:spacing w:after="0"/>
              <w:rPr>
                <w:sz w:val="20"/>
                <w:szCs w:val="20"/>
                <w:color w:val="auto"/>
              </w:rPr>
            </w:pPr>
            <w:r>
              <w:rPr>
                <w:rFonts w:ascii="Arial" w:cs="Arial" w:eastAsia="Arial" w:hAnsi="Arial"/>
                <w:sz w:val="16"/>
                <w:szCs w:val="16"/>
                <w:color w:val="auto"/>
              </w:rPr>
              <w:t>EBITDA multiple</w:t>
            </w:r>
          </w:p>
        </w:tc>
        <w:tc>
          <w:tcPr>
            <w:tcW w:w="1960" w:type="dxa"/>
            <w:vAlign w:val="bottom"/>
            <w:vMerge w:val="restart"/>
          </w:tcPr>
          <w:p>
            <w:pPr>
              <w:ind w:left="20"/>
              <w:spacing w:after="0"/>
              <w:rPr>
                <w:sz w:val="20"/>
                <w:szCs w:val="20"/>
                <w:color w:val="auto"/>
              </w:rPr>
            </w:pPr>
            <w:r>
              <w:rPr>
                <w:rFonts w:ascii="Arial" w:cs="Arial" w:eastAsia="Arial" w:hAnsi="Arial"/>
                <w:sz w:val="16"/>
                <w:szCs w:val="16"/>
                <w:color w:val="auto"/>
              </w:rPr>
              <w:t>8x-8x</w:t>
            </w:r>
          </w:p>
        </w:tc>
        <w:tc>
          <w:tcPr>
            <w:tcW w:w="0" w:type="dxa"/>
            <w:vAlign w:val="bottom"/>
          </w:tcPr>
          <w:p>
            <w:pPr>
              <w:spacing w:after="0"/>
              <w:rPr>
                <w:sz w:val="1"/>
                <w:szCs w:val="1"/>
                <w:color w:val="auto"/>
              </w:rPr>
            </w:pPr>
          </w:p>
        </w:tc>
      </w:tr>
      <w:tr>
        <w:trPr>
          <w:trHeight w:val="201"/>
        </w:trPr>
        <w:tc>
          <w:tcPr>
            <w:tcW w:w="180" w:type="dxa"/>
            <w:vAlign w:val="bottom"/>
          </w:tcPr>
          <w:p>
            <w:pPr>
              <w:spacing w:after="0"/>
              <w:rPr>
                <w:sz w:val="17"/>
                <w:szCs w:val="17"/>
                <w:color w:val="auto"/>
              </w:rPr>
            </w:pPr>
          </w:p>
        </w:tc>
        <w:tc>
          <w:tcPr>
            <w:tcW w:w="14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2"/>
          </w:tcPr>
          <w:p>
            <w:pPr>
              <w:ind w:left="20"/>
              <w:spacing w:after="0"/>
              <w:rPr>
                <w:sz w:val="20"/>
                <w:szCs w:val="20"/>
                <w:color w:val="auto"/>
              </w:rPr>
            </w:pPr>
            <w:r>
              <w:rPr>
                <w:rFonts w:ascii="Arial" w:cs="Arial" w:eastAsia="Arial" w:hAnsi="Arial"/>
                <w:sz w:val="16"/>
                <w:szCs w:val="16"/>
                <w:color w:val="auto"/>
              </w:rPr>
              <w:t>Analysis</w:t>
            </w:r>
          </w:p>
        </w:tc>
        <w:tc>
          <w:tcPr>
            <w:tcW w:w="1740" w:type="dxa"/>
            <w:vAlign w:val="bottom"/>
            <w:gridSpan w:val="2"/>
            <w:vMerge w:val="continue"/>
          </w:tcPr>
          <w:p>
            <w:pPr>
              <w:spacing w:after="0"/>
              <w:rPr>
                <w:sz w:val="17"/>
                <w:szCs w:val="17"/>
                <w:color w:val="auto"/>
              </w:rPr>
            </w:pPr>
          </w:p>
        </w:tc>
        <w:tc>
          <w:tcPr>
            <w:tcW w:w="1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-2345690</wp:posOffset>
            </wp:positionH>
            <wp:positionV relativeFrom="paragraph">
              <wp:posOffset>-4373245</wp:posOffset>
            </wp:positionV>
            <wp:extent cx="7135495" cy="133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5495" cy="133985"/>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-4006215</wp:posOffset>
            </wp:positionV>
            <wp:extent cx="7135495" cy="2336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5495" cy="233680"/>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-3538220</wp:posOffset>
            </wp:positionV>
            <wp:extent cx="7135495" cy="2336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5495" cy="233680"/>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-3070225</wp:posOffset>
            </wp:positionV>
            <wp:extent cx="7135495" cy="2336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5495" cy="233680"/>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-2702560</wp:posOffset>
            </wp:positionV>
            <wp:extent cx="7135495" cy="2336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5495" cy="233680"/>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-2234565</wp:posOffset>
            </wp:positionV>
            <wp:extent cx="7135495" cy="2336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5495" cy="233680"/>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-1866900</wp:posOffset>
            </wp:positionV>
            <wp:extent cx="7135495" cy="133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5495" cy="133985"/>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-1599565</wp:posOffset>
            </wp:positionV>
            <wp:extent cx="7135495" cy="133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5495" cy="133985"/>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-1231900</wp:posOffset>
            </wp:positionV>
            <wp:extent cx="7135495" cy="133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5495" cy="133985"/>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-864235</wp:posOffset>
            </wp:positionV>
            <wp:extent cx="7135495" cy="2336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5495" cy="233680"/>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-496570</wp:posOffset>
            </wp:positionV>
            <wp:extent cx="7135495" cy="133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5495" cy="133985"/>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-229235</wp:posOffset>
            </wp:positionV>
            <wp:extent cx="7135495" cy="2336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5495" cy="233680"/>
                    </a:xfrm>
                    <a:prstGeom prst="rect">
                      <a:avLst/>
                    </a:prstGeom>
                    <a:noFill/>
                  </pic:spPr>
                </pic:pic>
              </a:graphicData>
            </a:graphic>
          </wp:anchor>
        </w:drawing>
      </w:r>
    </w:p>
    <w:p>
      <w:pPr>
        <w:ind w:left="1220" w:hanging="1200"/>
        <w:spacing w:after="0"/>
        <w:tabs>
          <w:tab w:leader="none" w:pos="1220" w:val="left"/>
        </w:tabs>
        <w:numPr>
          <w:ilvl w:val="0"/>
          <w:numId w:val="4"/>
        </w:numPr>
        <w:rPr>
          <w:rFonts w:ascii="Arial" w:cs="Arial" w:eastAsia="Arial" w:hAnsi="Arial"/>
          <w:sz w:val="16"/>
          <w:szCs w:val="16"/>
          <w:color w:val="auto"/>
        </w:rPr>
      </w:pPr>
      <w:r>
        <w:rPr>
          <w:rFonts w:ascii="Arial" w:cs="Arial" w:eastAsia="Arial" w:hAnsi="Arial"/>
          <w:sz w:val="16"/>
          <w:szCs w:val="16"/>
          <w:color w:val="auto"/>
        </w:rPr>
        <w:t>5,600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-2345690</wp:posOffset>
            </wp:positionH>
            <wp:positionV relativeFrom="paragraph">
              <wp:posOffset>299085</wp:posOffset>
            </wp:positionV>
            <wp:extent cx="7135495" cy="2336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5495" cy="233680"/>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14605</wp:posOffset>
            </wp:positionV>
            <wp:extent cx="7135495" cy="1504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5495" cy="15049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0" w:type="dxa"/>
            <w:vAlign w:val="bottom"/>
          </w:tcPr>
          <w:p>
            <w:pPr>
              <w:spacing w:after="0"/>
              <w:rPr>
                <w:sz w:val="16"/>
                <w:szCs w:val="16"/>
                <w:color w:val="auto"/>
              </w:rPr>
            </w:pPr>
          </w:p>
        </w:tc>
        <w:tc>
          <w:tcPr>
            <w:tcW w:w="2820" w:type="dxa"/>
            <w:vAlign w:val="bottom"/>
            <w:gridSpan w:val="2"/>
            <w:vMerge w:val="restart"/>
          </w:tcPr>
          <w:p>
            <w:pPr>
              <w:ind w:left="560"/>
              <w:spacing w:after="0"/>
              <w:rPr>
                <w:sz w:val="20"/>
                <w:szCs w:val="20"/>
                <w:color w:val="auto"/>
              </w:rPr>
            </w:pPr>
            <w:r>
              <w:rPr>
                <w:rFonts w:ascii="Arial" w:cs="Arial" w:eastAsia="Arial" w:hAnsi="Arial"/>
                <w:sz w:val="16"/>
                <w:szCs w:val="16"/>
                <w:color w:val="auto"/>
              </w:rPr>
              <w:t>3,883   Discounted cash flow</w:t>
            </w:r>
          </w:p>
        </w:tc>
        <w:tc>
          <w:tcPr>
            <w:tcW w:w="2040" w:type="dxa"/>
            <w:vAlign w:val="bottom"/>
            <w:vMerge w:val="restart"/>
          </w:tcPr>
          <w:p>
            <w:pPr>
              <w:ind w:left="360"/>
              <w:spacing w:after="0"/>
              <w:rPr>
                <w:sz w:val="20"/>
                <w:szCs w:val="20"/>
                <w:color w:val="auto"/>
              </w:rPr>
            </w:pPr>
            <w:r>
              <w:rPr>
                <w:rFonts w:ascii="Arial" w:cs="Arial" w:eastAsia="Arial" w:hAnsi="Arial"/>
                <w:sz w:val="16"/>
                <w:szCs w:val="16"/>
                <w:color w:val="auto"/>
              </w:rPr>
              <w:t>Market value of option</w:t>
            </w:r>
          </w:p>
        </w:tc>
        <w:tc>
          <w:tcPr>
            <w:tcW w:w="500" w:type="dxa"/>
            <w:vAlign w:val="bottom"/>
          </w:tcPr>
          <w:p>
            <w:pPr>
              <w:ind w:left="80"/>
              <w:spacing w:after="0"/>
              <w:rPr>
                <w:sz w:val="20"/>
                <w:szCs w:val="20"/>
                <w:color w:val="auto"/>
              </w:rPr>
            </w:pPr>
            <w:r>
              <w:rPr>
                <w:rFonts w:ascii="Arial" w:cs="Arial" w:eastAsia="Arial" w:hAnsi="Arial"/>
                <w:sz w:val="16"/>
                <w:szCs w:val="16"/>
                <w:color w:val="auto"/>
                <w:w w:val="88"/>
              </w:rPr>
              <w:t>0.00%</w:t>
            </w:r>
          </w:p>
        </w:tc>
        <w:tc>
          <w:tcPr>
            <w:tcW w:w="1080" w:type="dxa"/>
            <w:vAlign w:val="bottom"/>
          </w:tcPr>
          <w:p>
            <w:pPr>
              <w:ind w:left="20"/>
              <w:spacing w:after="0"/>
              <w:rPr>
                <w:sz w:val="20"/>
                <w:szCs w:val="20"/>
                <w:color w:val="auto"/>
              </w:rPr>
            </w:pPr>
            <w:r>
              <w:rPr>
                <w:rFonts w:ascii="Arial" w:cs="Arial" w:eastAsia="Arial" w:hAnsi="Arial"/>
                <w:sz w:val="16"/>
                <w:szCs w:val="16"/>
                <w:color w:val="auto"/>
              </w:rPr>
              <w:t>- 38.72%</w:t>
            </w:r>
          </w:p>
        </w:tc>
        <w:tc>
          <w:tcPr>
            <w:tcW w:w="0" w:type="dxa"/>
            <w:vAlign w:val="bottom"/>
          </w:tcPr>
          <w:p>
            <w:pPr>
              <w:spacing w:after="0"/>
              <w:rPr>
                <w:sz w:val="1"/>
                <w:szCs w:val="1"/>
                <w:color w:val="auto"/>
              </w:rPr>
            </w:pPr>
          </w:p>
        </w:tc>
      </w:tr>
      <w:tr>
        <w:trPr>
          <w:trHeight w:val="201"/>
        </w:trPr>
        <w:tc>
          <w:tcPr>
            <w:tcW w:w="660" w:type="dxa"/>
            <w:vAlign w:val="bottom"/>
          </w:tcPr>
          <w:p>
            <w:pPr>
              <w:spacing w:after="0"/>
              <w:rPr>
                <w:sz w:val="17"/>
                <w:szCs w:val="17"/>
                <w:color w:val="auto"/>
              </w:rPr>
            </w:pPr>
          </w:p>
        </w:tc>
        <w:tc>
          <w:tcPr>
            <w:tcW w:w="2820" w:type="dxa"/>
            <w:vAlign w:val="bottom"/>
            <w:gridSpan w:val="2"/>
            <w:vMerge w:val="continue"/>
          </w:tcPr>
          <w:p>
            <w:pPr>
              <w:spacing w:after="0"/>
              <w:rPr>
                <w:sz w:val="17"/>
                <w:szCs w:val="17"/>
                <w:color w:val="auto"/>
              </w:rPr>
            </w:pPr>
          </w:p>
        </w:tc>
        <w:tc>
          <w:tcPr>
            <w:tcW w:w="2040" w:type="dxa"/>
            <w:vAlign w:val="bottom"/>
            <w:vMerge w:val="continue"/>
          </w:tcPr>
          <w:p>
            <w:pPr>
              <w:spacing w:after="0"/>
              <w:rPr>
                <w:sz w:val="17"/>
                <w:szCs w:val="17"/>
                <w:color w:val="auto"/>
              </w:rPr>
            </w:pPr>
          </w:p>
        </w:tc>
        <w:tc>
          <w:tcPr>
            <w:tcW w:w="1580" w:type="dxa"/>
            <w:vAlign w:val="bottom"/>
            <w:gridSpan w:val="2"/>
          </w:tcPr>
          <w:p>
            <w:pPr>
              <w:ind w:left="80"/>
              <w:spacing w:after="0"/>
              <w:rPr>
                <w:sz w:val="20"/>
                <w:szCs w:val="20"/>
                <w:color w:val="auto"/>
              </w:rPr>
            </w:pPr>
            <w:r>
              <w:rPr>
                <w:rFonts w:ascii="Arial" w:cs="Arial" w:eastAsia="Arial" w:hAnsi="Arial"/>
                <w:sz w:val="16"/>
                <w:szCs w:val="16"/>
                <w:color w:val="auto"/>
              </w:rPr>
              <w:t>(3.16%)</w:t>
            </w:r>
          </w:p>
        </w:tc>
        <w:tc>
          <w:tcPr>
            <w:tcW w:w="0" w:type="dxa"/>
            <w:vAlign w:val="bottom"/>
          </w:tcPr>
          <w:p>
            <w:pPr>
              <w:spacing w:after="0"/>
              <w:rPr>
                <w:sz w:val="1"/>
                <w:szCs w:val="1"/>
                <w:color w:val="auto"/>
              </w:rPr>
            </w:pPr>
          </w:p>
        </w:tc>
      </w:tr>
      <w:tr>
        <w:trPr>
          <w:trHeight w:val="168"/>
        </w:trPr>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40" w:type="dxa"/>
            <w:vAlign w:val="bottom"/>
            <w:vMerge w:val="restart"/>
          </w:tcPr>
          <w:p>
            <w:pPr>
              <w:ind w:left="360"/>
              <w:spacing w:after="0"/>
              <w:rPr>
                <w:sz w:val="20"/>
                <w:szCs w:val="20"/>
                <w:color w:val="auto"/>
              </w:rPr>
            </w:pPr>
            <w:r>
              <w:rPr>
                <w:rFonts w:ascii="Arial" w:cs="Arial" w:eastAsia="Arial" w:hAnsi="Arial"/>
                <w:sz w:val="16"/>
                <w:szCs w:val="16"/>
                <w:color w:val="auto"/>
              </w:rPr>
              <w:t>Swap rates</w:t>
            </w:r>
          </w:p>
        </w:tc>
        <w:tc>
          <w:tcPr>
            <w:tcW w:w="500" w:type="dxa"/>
            <w:vAlign w:val="bottom"/>
          </w:tcPr>
          <w:p>
            <w:pPr>
              <w:ind w:left="80"/>
              <w:spacing w:after="0" w:line="168" w:lineRule="exact"/>
              <w:rPr>
                <w:sz w:val="20"/>
                <w:szCs w:val="20"/>
                <w:color w:val="auto"/>
              </w:rPr>
            </w:pPr>
            <w:r>
              <w:rPr>
                <w:rFonts w:ascii="Arial" w:cs="Arial" w:eastAsia="Arial" w:hAnsi="Arial"/>
                <w:sz w:val="16"/>
                <w:szCs w:val="16"/>
                <w:color w:val="auto"/>
                <w:w w:val="88"/>
              </w:rPr>
              <w:t>0.05%</w:t>
            </w:r>
          </w:p>
        </w:tc>
        <w:tc>
          <w:tcPr>
            <w:tcW w:w="1080" w:type="dxa"/>
            <w:vAlign w:val="bottom"/>
          </w:tcPr>
          <w:p>
            <w:pPr>
              <w:ind w:left="20"/>
              <w:spacing w:after="0" w:line="168" w:lineRule="exact"/>
              <w:rPr>
                <w:sz w:val="20"/>
                <w:szCs w:val="20"/>
                <w:color w:val="auto"/>
              </w:rPr>
            </w:pPr>
            <w:r>
              <w:rPr>
                <w:rFonts w:ascii="Arial" w:cs="Arial" w:eastAsia="Arial" w:hAnsi="Arial"/>
                <w:sz w:val="16"/>
                <w:szCs w:val="16"/>
                <w:color w:val="auto"/>
              </w:rPr>
              <w:t>- 1.94%</w:t>
            </w:r>
          </w:p>
        </w:tc>
        <w:tc>
          <w:tcPr>
            <w:tcW w:w="0" w:type="dxa"/>
            <w:vAlign w:val="bottom"/>
          </w:tcPr>
          <w:p>
            <w:pPr>
              <w:spacing w:after="0"/>
              <w:rPr>
                <w:sz w:val="1"/>
                <w:szCs w:val="1"/>
                <w:color w:val="auto"/>
              </w:rPr>
            </w:pPr>
          </w:p>
        </w:tc>
      </w:tr>
      <w:tr>
        <w:trPr>
          <w:trHeight w:val="201"/>
        </w:trPr>
        <w:tc>
          <w:tcPr>
            <w:tcW w:w="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40" w:type="dxa"/>
            <w:vAlign w:val="bottom"/>
            <w:vMerge w:val="continue"/>
          </w:tcPr>
          <w:p>
            <w:pPr>
              <w:spacing w:after="0"/>
              <w:rPr>
                <w:sz w:val="17"/>
                <w:szCs w:val="17"/>
                <w:color w:val="auto"/>
              </w:rPr>
            </w:pPr>
          </w:p>
        </w:tc>
        <w:tc>
          <w:tcPr>
            <w:tcW w:w="1580" w:type="dxa"/>
            <w:vAlign w:val="bottom"/>
            <w:gridSpan w:val="2"/>
          </w:tcPr>
          <w:p>
            <w:pPr>
              <w:ind w:left="8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68"/>
        </w:trPr>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40" w:type="dxa"/>
            <w:vAlign w:val="bottom"/>
            <w:vMerge w:val="restart"/>
          </w:tcPr>
          <w:p>
            <w:pPr>
              <w:ind w:left="360"/>
              <w:spacing w:after="0"/>
              <w:rPr>
                <w:sz w:val="20"/>
                <w:szCs w:val="20"/>
                <w:color w:val="auto"/>
              </w:rPr>
            </w:pPr>
            <w:r>
              <w:rPr>
                <w:rFonts w:ascii="Arial" w:cs="Arial" w:eastAsia="Arial" w:hAnsi="Arial"/>
                <w:sz w:val="16"/>
                <w:szCs w:val="16"/>
                <w:color w:val="auto"/>
              </w:rPr>
              <w:t>Mortality multiplier</w:t>
            </w:r>
          </w:p>
        </w:tc>
        <w:tc>
          <w:tcPr>
            <w:tcW w:w="1580" w:type="dxa"/>
            <w:vAlign w:val="bottom"/>
            <w:gridSpan w:val="2"/>
          </w:tcPr>
          <w:p>
            <w:pPr>
              <w:ind w:left="80"/>
              <w:spacing w:after="0" w:line="168" w:lineRule="exact"/>
              <w:rPr>
                <w:sz w:val="20"/>
                <w:szCs w:val="20"/>
                <w:color w:val="auto"/>
              </w:rPr>
            </w:pPr>
            <w:r>
              <w:rPr>
                <w:rFonts w:ascii="Arial" w:cs="Arial" w:eastAsia="Arial" w:hAnsi="Arial"/>
                <w:sz w:val="16"/>
                <w:szCs w:val="16"/>
                <w:color w:val="auto"/>
              </w:rPr>
              <w:t>100.00% - 100.00%</w:t>
            </w:r>
          </w:p>
        </w:tc>
        <w:tc>
          <w:tcPr>
            <w:tcW w:w="0" w:type="dxa"/>
            <w:vAlign w:val="bottom"/>
          </w:tcPr>
          <w:p>
            <w:pPr>
              <w:spacing w:after="0"/>
              <w:rPr>
                <w:sz w:val="1"/>
                <w:szCs w:val="1"/>
                <w:color w:val="auto"/>
              </w:rPr>
            </w:pPr>
          </w:p>
        </w:tc>
      </w:tr>
      <w:tr>
        <w:trPr>
          <w:trHeight w:val="201"/>
        </w:trPr>
        <w:tc>
          <w:tcPr>
            <w:tcW w:w="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40" w:type="dxa"/>
            <w:vAlign w:val="bottom"/>
            <w:vMerge w:val="continue"/>
          </w:tcPr>
          <w:p>
            <w:pPr>
              <w:spacing w:after="0"/>
              <w:rPr>
                <w:sz w:val="17"/>
                <w:szCs w:val="17"/>
                <w:color w:val="auto"/>
              </w:rPr>
            </w:pPr>
          </w:p>
        </w:tc>
        <w:tc>
          <w:tcPr>
            <w:tcW w:w="1580" w:type="dxa"/>
            <w:vAlign w:val="bottom"/>
            <w:gridSpan w:val="2"/>
          </w:tcPr>
          <w:p>
            <w:pPr>
              <w:ind w:left="80"/>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168"/>
        </w:trPr>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40" w:type="dxa"/>
            <w:vAlign w:val="bottom"/>
            <w:vMerge w:val="restart"/>
          </w:tcPr>
          <w:p>
            <w:pPr>
              <w:ind w:left="360"/>
              <w:spacing w:after="0"/>
              <w:rPr>
                <w:sz w:val="20"/>
                <w:szCs w:val="20"/>
                <w:color w:val="auto"/>
              </w:rPr>
            </w:pPr>
            <w:r>
              <w:rPr>
                <w:rFonts w:ascii="Arial" w:cs="Arial" w:eastAsia="Arial" w:hAnsi="Arial"/>
                <w:sz w:val="16"/>
                <w:szCs w:val="16"/>
                <w:color w:val="auto"/>
              </w:rPr>
              <w:t>Surrender rates</w:t>
            </w:r>
          </w:p>
        </w:tc>
        <w:tc>
          <w:tcPr>
            <w:tcW w:w="500" w:type="dxa"/>
            <w:vAlign w:val="bottom"/>
          </w:tcPr>
          <w:p>
            <w:pPr>
              <w:ind w:left="80"/>
              <w:spacing w:after="0" w:line="168" w:lineRule="exact"/>
              <w:rPr>
                <w:sz w:val="20"/>
                <w:szCs w:val="20"/>
                <w:color w:val="auto"/>
              </w:rPr>
            </w:pPr>
            <w:r>
              <w:rPr>
                <w:rFonts w:ascii="Arial" w:cs="Arial" w:eastAsia="Arial" w:hAnsi="Arial"/>
                <w:sz w:val="16"/>
                <w:szCs w:val="16"/>
                <w:color w:val="auto"/>
                <w:w w:val="88"/>
              </w:rPr>
              <w:t>0.25%</w:t>
            </w:r>
          </w:p>
        </w:tc>
        <w:tc>
          <w:tcPr>
            <w:tcW w:w="1080" w:type="dxa"/>
            <w:vAlign w:val="bottom"/>
          </w:tcPr>
          <w:p>
            <w:pPr>
              <w:ind w:left="20"/>
              <w:spacing w:after="0" w:line="168" w:lineRule="exact"/>
              <w:rPr>
                <w:sz w:val="20"/>
                <w:szCs w:val="20"/>
                <w:color w:val="auto"/>
              </w:rPr>
            </w:pPr>
            <w:r>
              <w:rPr>
                <w:rFonts w:ascii="Arial" w:cs="Arial" w:eastAsia="Arial" w:hAnsi="Arial"/>
                <w:sz w:val="16"/>
                <w:szCs w:val="16"/>
                <w:color w:val="auto"/>
              </w:rPr>
              <w:t>- 70.00%</w:t>
            </w:r>
          </w:p>
        </w:tc>
        <w:tc>
          <w:tcPr>
            <w:tcW w:w="0" w:type="dxa"/>
            <w:vAlign w:val="bottom"/>
          </w:tcPr>
          <w:p>
            <w:pPr>
              <w:spacing w:after="0"/>
              <w:rPr>
                <w:sz w:val="1"/>
                <w:szCs w:val="1"/>
                <w:color w:val="auto"/>
              </w:rPr>
            </w:pPr>
          </w:p>
        </w:tc>
      </w:tr>
      <w:tr>
        <w:trPr>
          <w:trHeight w:val="201"/>
        </w:trPr>
        <w:tc>
          <w:tcPr>
            <w:tcW w:w="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40" w:type="dxa"/>
            <w:vAlign w:val="bottom"/>
            <w:vMerge w:val="continue"/>
          </w:tcPr>
          <w:p>
            <w:pPr>
              <w:spacing w:after="0"/>
              <w:rPr>
                <w:sz w:val="17"/>
                <w:szCs w:val="17"/>
                <w:color w:val="auto"/>
              </w:rPr>
            </w:pPr>
          </w:p>
        </w:tc>
        <w:tc>
          <w:tcPr>
            <w:tcW w:w="1580" w:type="dxa"/>
            <w:vAlign w:val="bottom"/>
            <w:gridSpan w:val="2"/>
          </w:tcPr>
          <w:p>
            <w:pPr>
              <w:ind w:left="80"/>
              <w:spacing w:after="0"/>
              <w:rPr>
                <w:sz w:val="20"/>
                <w:szCs w:val="20"/>
                <w:color w:val="auto"/>
              </w:rPr>
            </w:pPr>
            <w:r>
              <w:rPr>
                <w:rFonts w:ascii="Arial" w:cs="Arial" w:eastAsia="Arial" w:hAnsi="Arial"/>
                <w:sz w:val="16"/>
                <w:szCs w:val="16"/>
                <w:color w:val="auto"/>
              </w:rPr>
              <w:t>(6.26%)</w:t>
            </w:r>
          </w:p>
        </w:tc>
        <w:tc>
          <w:tcPr>
            <w:tcW w:w="0" w:type="dxa"/>
            <w:vAlign w:val="bottom"/>
          </w:tcPr>
          <w:p>
            <w:pPr>
              <w:spacing w:after="0"/>
              <w:rPr>
                <w:sz w:val="1"/>
                <w:szCs w:val="1"/>
                <w:color w:val="auto"/>
              </w:rPr>
            </w:pPr>
          </w:p>
        </w:tc>
      </w:tr>
      <w:tr>
        <w:trPr>
          <w:trHeight w:val="168"/>
        </w:trPr>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40" w:type="dxa"/>
            <w:vAlign w:val="bottom"/>
            <w:vMerge w:val="restart"/>
          </w:tcPr>
          <w:p>
            <w:pPr>
              <w:ind w:left="360"/>
              <w:spacing w:after="0"/>
              <w:rPr>
                <w:sz w:val="20"/>
                <w:szCs w:val="20"/>
                <w:color w:val="auto"/>
              </w:rPr>
            </w:pPr>
            <w:r>
              <w:rPr>
                <w:rFonts w:ascii="Arial" w:cs="Arial" w:eastAsia="Arial" w:hAnsi="Arial"/>
                <w:sz w:val="16"/>
                <w:szCs w:val="16"/>
                <w:color w:val="auto"/>
              </w:rPr>
              <w:t>Partial withdrawals</w:t>
            </w:r>
          </w:p>
        </w:tc>
        <w:tc>
          <w:tcPr>
            <w:tcW w:w="500" w:type="dxa"/>
            <w:vAlign w:val="bottom"/>
          </w:tcPr>
          <w:p>
            <w:pPr>
              <w:ind w:left="80"/>
              <w:spacing w:after="0" w:line="168" w:lineRule="exact"/>
              <w:rPr>
                <w:sz w:val="20"/>
                <w:szCs w:val="20"/>
                <w:color w:val="auto"/>
              </w:rPr>
            </w:pPr>
            <w:r>
              <w:rPr>
                <w:rFonts w:ascii="Arial" w:cs="Arial" w:eastAsia="Arial" w:hAnsi="Arial"/>
                <w:sz w:val="16"/>
                <w:szCs w:val="16"/>
                <w:color w:val="auto"/>
                <w:w w:val="88"/>
              </w:rPr>
              <w:t>2.00%</w:t>
            </w:r>
          </w:p>
        </w:tc>
        <w:tc>
          <w:tcPr>
            <w:tcW w:w="1080" w:type="dxa"/>
            <w:vAlign w:val="bottom"/>
          </w:tcPr>
          <w:p>
            <w:pPr>
              <w:ind w:left="20"/>
              <w:spacing w:after="0" w:line="168" w:lineRule="exact"/>
              <w:rPr>
                <w:sz w:val="20"/>
                <w:szCs w:val="20"/>
                <w:color w:val="auto"/>
              </w:rPr>
            </w:pPr>
            <w:r>
              <w:rPr>
                <w:rFonts w:ascii="Arial" w:cs="Arial" w:eastAsia="Arial" w:hAnsi="Arial"/>
                <w:sz w:val="16"/>
                <w:szCs w:val="16"/>
                <w:color w:val="auto"/>
              </w:rPr>
              <w:t>- 23.26%</w:t>
            </w:r>
          </w:p>
        </w:tc>
        <w:tc>
          <w:tcPr>
            <w:tcW w:w="0" w:type="dxa"/>
            <w:vAlign w:val="bottom"/>
          </w:tcPr>
          <w:p>
            <w:pPr>
              <w:spacing w:after="0"/>
              <w:rPr>
                <w:sz w:val="1"/>
                <w:szCs w:val="1"/>
                <w:color w:val="auto"/>
              </w:rPr>
            </w:pPr>
          </w:p>
        </w:tc>
      </w:tr>
      <w:tr>
        <w:trPr>
          <w:trHeight w:val="201"/>
        </w:trPr>
        <w:tc>
          <w:tcPr>
            <w:tcW w:w="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40" w:type="dxa"/>
            <w:vAlign w:val="bottom"/>
            <w:vMerge w:val="continue"/>
          </w:tcPr>
          <w:p>
            <w:pPr>
              <w:spacing w:after="0"/>
              <w:rPr>
                <w:sz w:val="17"/>
                <w:szCs w:val="17"/>
                <w:color w:val="auto"/>
              </w:rPr>
            </w:pPr>
          </w:p>
        </w:tc>
        <w:tc>
          <w:tcPr>
            <w:tcW w:w="1580" w:type="dxa"/>
            <w:vAlign w:val="bottom"/>
            <w:gridSpan w:val="2"/>
          </w:tcPr>
          <w:p>
            <w:pPr>
              <w:ind w:left="80"/>
              <w:spacing w:after="0"/>
              <w:rPr>
                <w:sz w:val="20"/>
                <w:szCs w:val="20"/>
                <w:color w:val="auto"/>
              </w:rPr>
            </w:pPr>
            <w:r>
              <w:rPr>
                <w:rFonts w:ascii="Arial" w:cs="Arial" w:eastAsia="Arial" w:hAnsi="Arial"/>
                <w:sz w:val="16"/>
                <w:szCs w:val="16"/>
                <w:color w:val="auto"/>
              </w:rPr>
              <w:t>(2.72%)</w:t>
            </w:r>
          </w:p>
        </w:tc>
        <w:tc>
          <w:tcPr>
            <w:tcW w:w="0" w:type="dxa"/>
            <w:vAlign w:val="bottom"/>
          </w:tcPr>
          <w:p>
            <w:pPr>
              <w:spacing w:after="0"/>
              <w:rPr>
                <w:sz w:val="1"/>
                <w:szCs w:val="1"/>
                <w:color w:val="auto"/>
              </w:rPr>
            </w:pPr>
          </w:p>
        </w:tc>
      </w:tr>
      <w:tr>
        <w:trPr>
          <w:trHeight w:val="211"/>
        </w:trPr>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40" w:type="dxa"/>
            <w:vAlign w:val="bottom"/>
          </w:tcPr>
          <w:p>
            <w:pPr>
              <w:ind w:left="360"/>
              <w:spacing w:after="0"/>
              <w:rPr>
                <w:sz w:val="20"/>
                <w:szCs w:val="20"/>
                <w:color w:val="auto"/>
              </w:rPr>
            </w:pPr>
            <w:r>
              <w:rPr>
                <w:rFonts w:ascii="Arial" w:cs="Arial" w:eastAsia="Arial" w:hAnsi="Arial"/>
                <w:sz w:val="16"/>
                <w:szCs w:val="16"/>
                <w:color w:val="auto"/>
                <w:w w:val="93"/>
              </w:rPr>
              <w:t>Non-performance spread</w:t>
            </w:r>
          </w:p>
        </w:tc>
        <w:tc>
          <w:tcPr>
            <w:tcW w:w="500" w:type="dxa"/>
            <w:vAlign w:val="bottom"/>
          </w:tcPr>
          <w:p>
            <w:pPr>
              <w:ind w:left="80"/>
              <w:spacing w:after="0"/>
              <w:rPr>
                <w:sz w:val="20"/>
                <w:szCs w:val="20"/>
                <w:color w:val="auto"/>
              </w:rPr>
            </w:pPr>
            <w:r>
              <w:rPr>
                <w:rFonts w:ascii="Arial" w:cs="Arial" w:eastAsia="Arial" w:hAnsi="Arial"/>
                <w:sz w:val="16"/>
                <w:szCs w:val="16"/>
                <w:color w:val="auto"/>
                <w:w w:val="88"/>
              </w:rPr>
              <w:t>0.43%</w:t>
            </w:r>
          </w:p>
        </w:tc>
        <w:tc>
          <w:tcPr>
            <w:tcW w:w="1080" w:type="dxa"/>
            <w:vAlign w:val="bottom"/>
          </w:tcPr>
          <w:p>
            <w:pPr>
              <w:ind w:left="20"/>
              <w:spacing w:after="0"/>
              <w:rPr>
                <w:sz w:val="20"/>
                <w:szCs w:val="20"/>
                <w:color w:val="auto"/>
              </w:rPr>
            </w:pPr>
            <w:r>
              <w:rPr>
                <w:rFonts w:ascii="Arial" w:cs="Arial" w:eastAsia="Arial" w:hAnsi="Arial"/>
                <w:sz w:val="16"/>
                <w:szCs w:val="16"/>
                <w:color w:val="auto"/>
                <w:w w:val="89"/>
              </w:rPr>
              <w:t>- 1.01% (0.68%)</w:t>
            </w:r>
          </w:p>
        </w:tc>
        <w:tc>
          <w:tcPr>
            <w:tcW w:w="0" w:type="dxa"/>
            <w:vAlign w:val="bottom"/>
          </w:tcPr>
          <w:p>
            <w:pPr>
              <w:spacing w:after="0"/>
              <w:rPr>
                <w:sz w:val="1"/>
                <w:szCs w:val="1"/>
                <w:color w:val="auto"/>
              </w:rPr>
            </w:pPr>
          </w:p>
        </w:tc>
      </w:tr>
      <w:tr>
        <w:trPr>
          <w:trHeight w:val="168"/>
        </w:trPr>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40" w:type="dxa"/>
            <w:vAlign w:val="bottom"/>
            <w:vMerge w:val="restart"/>
          </w:tcPr>
          <w:p>
            <w:pPr>
              <w:ind w:left="360"/>
              <w:spacing w:after="0"/>
              <w:rPr>
                <w:sz w:val="20"/>
                <w:szCs w:val="20"/>
                <w:color w:val="auto"/>
              </w:rPr>
            </w:pPr>
            <w:r>
              <w:rPr>
                <w:rFonts w:ascii="Arial" w:cs="Arial" w:eastAsia="Arial" w:hAnsi="Arial"/>
                <w:sz w:val="16"/>
                <w:szCs w:val="16"/>
                <w:color w:val="auto"/>
              </w:rPr>
              <w:t>Option cost</w:t>
            </w:r>
          </w:p>
        </w:tc>
        <w:tc>
          <w:tcPr>
            <w:tcW w:w="500" w:type="dxa"/>
            <w:vAlign w:val="bottom"/>
          </w:tcPr>
          <w:p>
            <w:pPr>
              <w:ind w:left="80"/>
              <w:spacing w:after="0" w:line="168" w:lineRule="exact"/>
              <w:rPr>
                <w:sz w:val="20"/>
                <w:szCs w:val="20"/>
                <w:color w:val="auto"/>
              </w:rPr>
            </w:pPr>
            <w:r>
              <w:rPr>
                <w:rFonts w:ascii="Arial" w:cs="Arial" w:eastAsia="Arial" w:hAnsi="Arial"/>
                <w:sz w:val="16"/>
                <w:szCs w:val="16"/>
                <w:color w:val="auto"/>
                <w:w w:val="88"/>
              </w:rPr>
              <w:t>0.07%</w:t>
            </w:r>
          </w:p>
        </w:tc>
        <w:tc>
          <w:tcPr>
            <w:tcW w:w="1080" w:type="dxa"/>
            <w:vAlign w:val="bottom"/>
          </w:tcPr>
          <w:p>
            <w:pPr>
              <w:ind w:left="20"/>
              <w:spacing w:after="0" w:line="168" w:lineRule="exact"/>
              <w:rPr>
                <w:sz w:val="20"/>
                <w:szCs w:val="20"/>
                <w:color w:val="auto"/>
              </w:rPr>
            </w:pPr>
            <w:r>
              <w:rPr>
                <w:rFonts w:ascii="Arial" w:cs="Arial" w:eastAsia="Arial" w:hAnsi="Arial"/>
                <w:sz w:val="16"/>
                <w:szCs w:val="16"/>
                <w:color w:val="auto"/>
              </w:rPr>
              <w:t>- 4.97%</w:t>
            </w:r>
          </w:p>
        </w:tc>
        <w:tc>
          <w:tcPr>
            <w:tcW w:w="0" w:type="dxa"/>
            <w:vAlign w:val="bottom"/>
          </w:tcPr>
          <w:p>
            <w:pPr>
              <w:spacing w:after="0"/>
              <w:rPr>
                <w:sz w:val="1"/>
                <w:szCs w:val="1"/>
                <w:color w:val="auto"/>
              </w:rPr>
            </w:pPr>
          </w:p>
        </w:tc>
      </w:tr>
      <w:tr>
        <w:trPr>
          <w:trHeight w:val="201"/>
        </w:trPr>
        <w:tc>
          <w:tcPr>
            <w:tcW w:w="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40" w:type="dxa"/>
            <w:vAlign w:val="bottom"/>
            <w:vMerge w:val="continue"/>
          </w:tcPr>
          <w:p>
            <w:pPr>
              <w:spacing w:after="0"/>
              <w:rPr>
                <w:sz w:val="17"/>
                <w:szCs w:val="17"/>
                <w:color w:val="auto"/>
              </w:rPr>
            </w:pPr>
          </w:p>
        </w:tc>
        <w:tc>
          <w:tcPr>
            <w:tcW w:w="1580" w:type="dxa"/>
            <w:vAlign w:val="bottom"/>
            <w:gridSpan w:val="2"/>
          </w:tcPr>
          <w:p>
            <w:pPr>
              <w:ind w:left="80"/>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214"/>
        </w:trPr>
        <w:tc>
          <w:tcPr>
            <w:tcW w:w="660" w:type="dxa"/>
            <w:vAlign w:val="bottom"/>
            <w:tcBorders>
              <w:bottom w:val="single" w:sz="8" w:color="auto"/>
            </w:tcBorders>
          </w:tcPr>
          <w:p>
            <w:pPr>
              <w:jc w:val="right"/>
              <w:ind w:right="481"/>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w w:val="99"/>
              </w:rPr>
              <w:t>3,883</w:t>
            </w:r>
          </w:p>
        </w:tc>
        <w:tc>
          <w:tcPr>
            <w:tcW w:w="18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-2345690</wp:posOffset>
            </wp:positionH>
            <wp:positionV relativeFrom="paragraph">
              <wp:posOffset>-1235710</wp:posOffset>
            </wp:positionV>
            <wp:extent cx="7135495" cy="2336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5495" cy="233680"/>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-768350</wp:posOffset>
            </wp:positionV>
            <wp:extent cx="7135495" cy="2336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5495" cy="233680"/>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-400685</wp:posOffset>
            </wp:positionV>
            <wp:extent cx="7135495" cy="2336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5495" cy="233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-2358390</wp:posOffset>
            </wp:positionH>
            <wp:positionV relativeFrom="paragraph">
              <wp:posOffset>64135</wp:posOffset>
            </wp:positionV>
            <wp:extent cx="716089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2">
            <w:col w:w="2980" w:space="720"/>
            <w:col w:w="7540"/>
          </w:cols>
          <w:pgMar w:left="320" w:top="127"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The following tables summarize changes to the Company’s financial instruments carried at fair value and classified within Level 3 of the fair value hierarchy for the three and six months ended June 30, 2022 and 2021. This summary excludes any impact of amortization of value of business acquired (“VOBA”), deferred acquisition cost (“DAC”), and deferred sales inducements (“DSI”). The gains and losses below may include changes in fair value due in part to observable inputs that are a component of the valuation methodology.</w:t>
      </w:r>
    </w:p>
    <w:p>
      <w:pPr>
        <w:spacing w:after="0" w:line="141" w:lineRule="exact"/>
        <w:rPr>
          <w:sz w:val="20"/>
          <w:szCs w:val="20"/>
          <w:color w:val="auto"/>
        </w:rPr>
      </w:pPr>
    </w:p>
    <w:p>
      <w:pPr>
        <w:jc w:val="center"/>
        <w:ind w:left="1060"/>
        <w:spacing w:after="0"/>
        <w:rPr>
          <w:sz w:val="20"/>
          <w:szCs w:val="20"/>
          <w:color w:val="auto"/>
        </w:rPr>
      </w:pPr>
      <w:r>
        <w:rPr>
          <w:rFonts w:ascii="Arial" w:cs="Arial" w:eastAsia="Arial" w:hAnsi="Arial"/>
          <w:sz w:val="14"/>
          <w:szCs w:val="14"/>
          <w:b w:val="1"/>
          <w:bCs w:val="1"/>
          <w:color w:val="auto"/>
        </w:rPr>
        <w:t>Three months ended June 30, 2022</w:t>
      </w:r>
    </w:p>
    <w:p>
      <w:pPr>
        <w:spacing w:after="0" w:line="23" w:lineRule="exact"/>
        <w:rPr>
          <w:sz w:val="20"/>
          <w:szCs w:val="20"/>
          <w:color w:val="auto"/>
        </w:rPr>
      </w:pPr>
    </w:p>
    <w:p>
      <w:pPr>
        <w:jc w:val="center"/>
        <w:ind w:left="106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1482090</wp:posOffset>
            </wp:positionH>
            <wp:positionV relativeFrom="paragraph">
              <wp:posOffset>20955</wp:posOffset>
            </wp:positionV>
            <wp:extent cx="553974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539740" cy="8255"/>
                    </a:xfrm>
                    <a:prstGeom prst="rect">
                      <a:avLst/>
                    </a:prstGeom>
                    <a:noFill/>
                  </pic:spPr>
                </pic:pic>
              </a:graphicData>
            </a:graphic>
          </wp:anchor>
        </w:drawing>
      </w:r>
    </w:p>
    <w:p>
      <w:pPr>
        <w:spacing w:after="0" w:line="240" w:lineRule="exact"/>
        <w:rPr>
          <w:sz w:val="20"/>
          <w:szCs w:val="20"/>
          <w:color w:val="auto"/>
        </w:rPr>
      </w:pPr>
    </w:p>
    <w:tbl>
      <w:tblPr>
        <w:tblLayout w:type="fixed"/>
        <w:tblInd w:w="20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5"/>
          </w:tcPr>
          <w:p>
            <w:pPr>
              <w:ind w:left="160"/>
              <w:spacing w:after="0"/>
              <w:rPr>
                <w:sz w:val="20"/>
                <w:szCs w:val="20"/>
                <w:color w:val="auto"/>
              </w:rPr>
            </w:pPr>
            <w:r>
              <w:rPr>
                <w:rFonts w:ascii="Arial" w:cs="Arial" w:eastAsia="Arial" w:hAnsi="Arial"/>
                <w:sz w:val="14"/>
                <w:szCs w:val="14"/>
                <w:b w:val="1"/>
                <w:bCs w:val="1"/>
                <w:color w:val="auto"/>
              </w:rPr>
              <w:t>Total Gains (Losses)</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vMerge w:val="restart"/>
          </w:tcPr>
          <w:p>
            <w:pPr>
              <w:jc w:val="center"/>
              <w:ind w:right="50"/>
              <w:spacing w:after="0"/>
              <w:rPr>
                <w:sz w:val="20"/>
                <w:szCs w:val="20"/>
                <w:color w:val="auto"/>
              </w:rPr>
            </w:pPr>
            <w:r>
              <w:rPr>
                <w:rFonts w:ascii="Arial" w:cs="Arial" w:eastAsia="Arial" w:hAnsi="Arial"/>
                <w:sz w:val="14"/>
                <w:szCs w:val="14"/>
                <w:b w:val="1"/>
                <w:bCs w:val="1"/>
                <w:color w:val="auto"/>
                <w:w w:val="91"/>
              </w:rPr>
              <w:t>Change in</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Balance at</w:t>
            </w: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4"/>
              </w:rPr>
              <w:t>Net transfer</w:t>
            </w:r>
          </w:p>
        </w:tc>
        <w:tc>
          <w:tcPr>
            <w:tcW w:w="80" w:type="dxa"/>
            <w:vAlign w:val="bottom"/>
          </w:tcPr>
          <w:p>
            <w:pPr>
              <w:spacing w:after="0"/>
              <w:rPr>
                <w:sz w:val="6"/>
                <w:szCs w:val="6"/>
                <w:color w:val="auto"/>
              </w:rPr>
            </w:pPr>
          </w:p>
        </w:tc>
        <w:tc>
          <w:tcPr>
            <w:tcW w:w="8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8"/>
              </w:rPr>
              <w:t>Balance at</w:t>
            </w:r>
          </w:p>
        </w:tc>
        <w:tc>
          <w:tcPr>
            <w:tcW w:w="10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9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1"/>
              </w:rPr>
              <w:t>Included in</w:t>
            </w:r>
          </w:p>
        </w:tc>
        <w:tc>
          <w:tcPr>
            <w:tcW w:w="9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Included in</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ind w:right="50"/>
              <w:spacing w:after="0" w:line="132"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220"/>
              <w:spacing w:after="0" w:line="132" w:lineRule="exact"/>
              <w:rPr>
                <w:sz w:val="20"/>
                <w:szCs w:val="20"/>
                <w:color w:val="auto"/>
              </w:rPr>
            </w:pPr>
            <w:r>
              <w:rPr>
                <w:rFonts w:ascii="Arial" w:cs="Arial" w:eastAsia="Arial" w:hAnsi="Arial"/>
                <w:sz w:val="14"/>
                <w:szCs w:val="14"/>
                <w:b w:val="1"/>
                <w:bCs w:val="1"/>
                <w:color w:val="auto"/>
                <w:w w:val="87"/>
              </w:rPr>
              <w:t>Beginning</w:t>
            </w:r>
          </w:p>
        </w:tc>
        <w:tc>
          <w:tcPr>
            <w:tcW w:w="920" w:type="dxa"/>
            <w:vAlign w:val="bottom"/>
            <w:gridSpan w:val="3"/>
            <w:vMerge w:val="continue"/>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Purchases</w:t>
            </w:r>
          </w:p>
        </w:tc>
        <w:tc>
          <w:tcPr>
            <w:tcW w:w="160" w:type="dxa"/>
            <w:vAlign w:val="bottom"/>
          </w:tcPr>
          <w:p>
            <w:pPr>
              <w:spacing w:after="0"/>
              <w:rPr>
                <w:sz w:val="11"/>
                <w:szCs w:val="11"/>
                <w:color w:val="auto"/>
              </w:rPr>
            </w:pPr>
          </w:p>
        </w:tc>
        <w:tc>
          <w:tcPr>
            <w:tcW w:w="7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Sales</w:t>
            </w:r>
          </w:p>
        </w:tc>
        <w:tc>
          <w:tcPr>
            <w:tcW w:w="120" w:type="dxa"/>
            <w:vAlign w:val="bottom"/>
          </w:tcPr>
          <w:p>
            <w:pPr>
              <w:spacing w:after="0"/>
              <w:rPr>
                <w:sz w:val="11"/>
                <w:szCs w:val="11"/>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Settlements</w:t>
            </w:r>
          </w:p>
        </w:tc>
        <w:tc>
          <w:tcPr>
            <w:tcW w:w="80" w:type="dxa"/>
            <w:vAlign w:val="bottom"/>
          </w:tcPr>
          <w:p>
            <w:pPr>
              <w:spacing w:after="0"/>
              <w:rPr>
                <w:sz w:val="11"/>
                <w:szCs w:val="11"/>
                <w:color w:val="auto"/>
              </w:rPr>
            </w:pPr>
          </w:p>
        </w:tc>
        <w:tc>
          <w:tcPr>
            <w:tcW w:w="860" w:type="dxa"/>
            <w:vAlign w:val="bottom"/>
            <w:gridSpan w:val="2"/>
          </w:tcPr>
          <w:p>
            <w:pPr>
              <w:jc w:val="center"/>
              <w:ind w:right="200"/>
              <w:spacing w:after="0" w:line="132" w:lineRule="exact"/>
              <w:rPr>
                <w:sz w:val="20"/>
                <w:szCs w:val="20"/>
                <w:color w:val="auto"/>
              </w:rPr>
            </w:pPr>
            <w:r>
              <w:rPr>
                <w:rFonts w:ascii="Arial" w:cs="Arial" w:eastAsia="Arial" w:hAnsi="Arial"/>
                <w:sz w:val="14"/>
                <w:szCs w:val="14"/>
                <w:b w:val="1"/>
                <w:bCs w:val="1"/>
                <w:color w:val="auto"/>
                <w:w w:val="98"/>
              </w:rPr>
              <w:t>In (Out) of</w:t>
            </w:r>
          </w:p>
        </w:tc>
        <w:tc>
          <w:tcPr>
            <w:tcW w:w="80" w:type="dxa"/>
            <w:vAlign w:val="bottom"/>
          </w:tcPr>
          <w:p>
            <w:pPr>
              <w:spacing w:after="0"/>
              <w:rPr>
                <w:sz w:val="11"/>
                <w:szCs w:val="11"/>
                <w:color w:val="auto"/>
              </w:rPr>
            </w:pPr>
          </w:p>
        </w:tc>
        <w:tc>
          <w:tcPr>
            <w:tcW w:w="840" w:type="dxa"/>
            <w:vAlign w:val="bottom"/>
            <w:gridSpan w:val="2"/>
          </w:tcPr>
          <w:p>
            <w:pPr>
              <w:jc w:val="center"/>
              <w:ind w:right="200"/>
              <w:spacing w:after="0" w:line="132" w:lineRule="exact"/>
              <w:rPr>
                <w:sz w:val="20"/>
                <w:szCs w:val="20"/>
                <w:color w:val="auto"/>
              </w:rPr>
            </w:pPr>
            <w:r>
              <w:rPr>
                <w:rFonts w:ascii="Arial" w:cs="Arial" w:eastAsia="Arial" w:hAnsi="Arial"/>
                <w:sz w:val="14"/>
                <w:szCs w:val="14"/>
                <w:b w:val="1"/>
                <w:bCs w:val="1"/>
                <w:color w:val="auto"/>
                <w:w w:val="91"/>
              </w:rPr>
              <w:t>End of</w:t>
            </w:r>
          </w:p>
        </w:tc>
        <w:tc>
          <w:tcPr>
            <w:tcW w:w="960" w:type="dxa"/>
            <w:vAlign w:val="bottom"/>
            <w:gridSpan w:val="2"/>
          </w:tcPr>
          <w:p>
            <w:pPr>
              <w:jc w:val="center"/>
              <w:spacing w:after="0" w:line="132" w:lineRule="exact"/>
              <w:rPr>
                <w:sz w:val="20"/>
                <w:szCs w:val="20"/>
                <w:color w:val="auto"/>
              </w:rPr>
            </w:pPr>
            <w:r>
              <w:rPr>
                <w:rFonts w:ascii="Arial" w:cs="Arial" w:eastAsia="Arial" w:hAnsi="Arial"/>
                <w:sz w:val="14"/>
                <w:szCs w:val="14"/>
                <w:b w:val="1"/>
                <w:bCs w:val="1"/>
                <w:color w:val="auto"/>
                <w:w w:val="85"/>
              </w:rPr>
              <w:t>Gains (Losses)</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of Period</w:t>
            </w:r>
          </w:p>
        </w:tc>
        <w:tc>
          <w:tcPr>
            <w:tcW w:w="100" w:type="dxa"/>
            <w:vAlign w:val="bottom"/>
          </w:tcPr>
          <w:p>
            <w:pPr>
              <w:spacing w:after="0"/>
              <w:rPr>
                <w:sz w:val="15"/>
                <w:szCs w:val="15"/>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Earnings</w:t>
            </w:r>
          </w:p>
        </w:tc>
        <w:tc>
          <w:tcPr>
            <w:tcW w:w="16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AOCI</w:t>
            </w:r>
          </w:p>
        </w:tc>
        <w:tc>
          <w:tcPr>
            <w:tcW w:w="1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Level 3 (a)</w:t>
            </w:r>
          </w:p>
        </w:tc>
        <w:tc>
          <w:tcPr>
            <w:tcW w:w="80" w:type="dxa"/>
            <w:vAlign w:val="bottom"/>
          </w:tcPr>
          <w:p>
            <w:pPr>
              <w:spacing w:after="0"/>
              <w:rPr>
                <w:sz w:val="15"/>
                <w:szCs w:val="15"/>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Period</w:t>
            </w:r>
          </w:p>
        </w:tc>
        <w:tc>
          <w:tcPr>
            <w:tcW w:w="100" w:type="dxa"/>
            <w:vAlign w:val="bottom"/>
          </w:tcPr>
          <w:p>
            <w:pPr>
              <w:spacing w:after="0"/>
              <w:rPr>
                <w:sz w:val="15"/>
                <w:szCs w:val="15"/>
                <w:color w:val="auto"/>
              </w:rPr>
            </w:pPr>
          </w:p>
        </w:tc>
        <w:tc>
          <w:tcPr>
            <w:tcW w:w="860" w:type="dxa"/>
            <w:vAlign w:val="bottom"/>
          </w:tcPr>
          <w:p>
            <w:pPr>
              <w:jc w:val="center"/>
              <w:ind w:right="50"/>
              <w:spacing w:after="0"/>
              <w:rPr>
                <w:sz w:val="20"/>
                <w:szCs w:val="20"/>
                <w:color w:val="auto"/>
              </w:rPr>
            </w:pPr>
            <w:r>
              <w:rPr>
                <w:rFonts w:ascii="Arial" w:cs="Arial" w:eastAsia="Arial" w:hAnsi="Arial"/>
                <w:sz w:val="14"/>
                <w:szCs w:val="14"/>
                <w:b w:val="1"/>
                <w:bCs w:val="1"/>
                <w:color w:val="auto"/>
              </w:rPr>
              <w:t>Incl in OCI</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120" w:type="dxa"/>
            <w:vAlign w:val="bottom"/>
            <w:gridSpan w:val="3"/>
          </w:tcPr>
          <w:p>
            <w:pPr>
              <w:spacing w:after="0" w:line="126" w:lineRule="exact"/>
              <w:rPr>
                <w:sz w:val="20"/>
                <w:szCs w:val="20"/>
                <w:color w:val="auto"/>
              </w:rPr>
            </w:pPr>
            <w:r>
              <w:rPr>
                <w:rFonts w:ascii="Arial" w:cs="Arial" w:eastAsia="Arial" w:hAnsi="Arial"/>
                <w:sz w:val="14"/>
                <w:szCs w:val="14"/>
                <w:b w:val="1"/>
                <w:bCs w:val="1"/>
                <w:color w:val="auto"/>
              </w:rPr>
              <w:t>Assets</w:t>
            </w: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shd w:val="clear" w:color="auto" w:fill="CCEEFF"/>
          </w:tcPr>
          <w:p>
            <w:pPr>
              <w:spacing w:after="0"/>
              <w:rPr>
                <w:sz w:val="12"/>
                <w:szCs w:val="12"/>
                <w:color w:val="auto"/>
              </w:rPr>
            </w:pPr>
          </w:p>
        </w:tc>
        <w:tc>
          <w:tcPr>
            <w:tcW w:w="2120" w:type="dxa"/>
            <w:vAlign w:val="bottom"/>
            <w:gridSpan w:val="3"/>
            <w:shd w:val="clear" w:color="auto" w:fill="CCEEFF"/>
          </w:tcPr>
          <w:p>
            <w:pPr>
              <w:spacing w:after="0" w:line="141" w:lineRule="exact"/>
              <w:rPr>
                <w:sz w:val="20"/>
                <w:szCs w:val="20"/>
                <w:color w:val="auto"/>
              </w:rPr>
            </w:pPr>
            <w:r>
              <w:rPr>
                <w:rFonts w:ascii="Arial" w:cs="Arial" w:eastAsia="Arial" w:hAnsi="Arial"/>
                <w:sz w:val="14"/>
                <w:szCs w:val="14"/>
                <w:color w:val="auto"/>
                <w:w w:val="97"/>
              </w:rPr>
              <w:t>Fixed maturity securities available-</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shd w:val="clear" w:color="auto" w:fill="CCEEFF"/>
          </w:tcPr>
          <w:p>
            <w:pPr>
              <w:spacing w:after="0"/>
              <w:rPr>
                <w:sz w:val="16"/>
                <w:szCs w:val="16"/>
                <w:color w:val="auto"/>
              </w:rPr>
            </w:pPr>
          </w:p>
        </w:tc>
        <w:tc>
          <w:tcPr>
            <w:tcW w:w="21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for-sale:</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120" w:type="dxa"/>
            <w:vAlign w:val="bottom"/>
            <w:gridSpan w:val="3"/>
          </w:tcPr>
          <w:p>
            <w:pPr>
              <w:ind w:left="200"/>
              <w:spacing w:after="0"/>
              <w:rPr>
                <w:sz w:val="20"/>
                <w:szCs w:val="20"/>
                <w:color w:val="auto"/>
              </w:rPr>
            </w:pPr>
            <w:r>
              <w:rPr>
                <w:rFonts w:ascii="Arial" w:cs="Arial" w:eastAsia="Arial" w:hAnsi="Arial"/>
                <w:sz w:val="14"/>
                <w:szCs w:val="14"/>
                <w:color w:val="auto"/>
              </w:rPr>
              <w:t>Asset-backed securities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4,161</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(142)</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827</w:t>
            </w:r>
          </w:p>
        </w:tc>
        <w:tc>
          <w:tcPr>
            <w:tcW w:w="100" w:type="dxa"/>
            <w:vAlign w:val="bottom"/>
          </w:tcPr>
          <w:p>
            <w:pPr>
              <w:spacing w:after="0"/>
              <w:rPr>
                <w:sz w:val="15"/>
                <w:szCs w:val="15"/>
                <w:color w:val="auto"/>
              </w:rPr>
            </w:pP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(126)</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4,677</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134"/>
        </w:trPr>
        <w:tc>
          <w:tcPr>
            <w:tcW w:w="20" w:type="dxa"/>
            <w:vAlign w:val="bottom"/>
            <w:shd w:val="clear" w:color="auto" w:fill="CCEEFF"/>
          </w:tcPr>
          <w:p>
            <w:pPr>
              <w:spacing w:after="0"/>
              <w:rPr>
                <w:sz w:val="11"/>
                <w:szCs w:val="11"/>
                <w:color w:val="auto"/>
              </w:rPr>
            </w:pPr>
          </w:p>
        </w:tc>
        <w:tc>
          <w:tcPr>
            <w:tcW w:w="2120" w:type="dxa"/>
            <w:vAlign w:val="bottom"/>
            <w:gridSpan w:val="3"/>
            <w:shd w:val="clear" w:color="auto" w:fill="CCEEFF"/>
          </w:tcPr>
          <w:p>
            <w:pPr>
              <w:ind w:left="200"/>
              <w:spacing w:after="0" w:line="135" w:lineRule="exact"/>
              <w:rPr>
                <w:sz w:val="20"/>
                <w:szCs w:val="20"/>
                <w:color w:val="auto"/>
              </w:rPr>
            </w:pPr>
            <w:r>
              <w:rPr>
                <w:rFonts w:ascii="Arial" w:cs="Arial" w:eastAsia="Arial" w:hAnsi="Arial"/>
                <w:sz w:val="14"/>
                <w:szCs w:val="14"/>
                <w:color w:val="auto"/>
              </w:rPr>
              <w:t>Commercial mortgage-backed</w:t>
            </w: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4"/>
        </w:trPr>
        <w:tc>
          <w:tcPr>
            <w:tcW w:w="20" w:type="dxa"/>
            <w:vAlign w:val="bottom"/>
            <w:shd w:val="clear" w:color="auto" w:fill="CCEEFF"/>
          </w:tcPr>
          <w:p>
            <w:pPr>
              <w:spacing w:after="0"/>
              <w:rPr>
                <w:sz w:val="16"/>
                <w:szCs w:val="16"/>
                <w:color w:val="auto"/>
              </w:rPr>
            </w:pPr>
          </w:p>
        </w:tc>
        <w:tc>
          <w:tcPr>
            <w:tcW w:w="212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securities</w:t>
            </w: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120" w:type="dxa"/>
            <w:vAlign w:val="bottom"/>
            <w:gridSpan w:val="3"/>
          </w:tcPr>
          <w:p>
            <w:pPr>
              <w:ind w:left="200"/>
              <w:spacing w:after="0"/>
              <w:rPr>
                <w:sz w:val="20"/>
                <w:szCs w:val="20"/>
                <w:color w:val="auto"/>
              </w:rPr>
            </w:pPr>
            <w:r>
              <w:rPr>
                <w:rFonts w:ascii="Arial" w:cs="Arial" w:eastAsia="Arial" w:hAnsi="Arial"/>
                <w:sz w:val="14"/>
                <w:szCs w:val="14"/>
                <w:color w:val="auto"/>
              </w:rPr>
              <w:t>Corporates</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1,141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307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1,374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87"/>
        </w:trPr>
        <w:tc>
          <w:tcPr>
            <w:tcW w:w="20" w:type="dxa"/>
            <w:vAlign w:val="bottom"/>
            <w:shd w:val="clear" w:color="auto" w:fill="CCEEFF"/>
          </w:tcPr>
          <w:p>
            <w:pPr>
              <w:spacing w:after="0"/>
              <w:rPr>
                <w:sz w:val="16"/>
                <w:szCs w:val="16"/>
                <w:color w:val="auto"/>
              </w:rPr>
            </w:pPr>
          </w:p>
        </w:tc>
        <w:tc>
          <w:tcPr>
            <w:tcW w:w="212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Municipals</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120" w:type="dxa"/>
            <w:vAlign w:val="bottom"/>
            <w:gridSpan w:val="3"/>
          </w:tcPr>
          <w:p>
            <w:pPr>
              <w:ind w:left="200"/>
              <w:spacing w:after="0" w:line="132" w:lineRule="exact"/>
              <w:rPr>
                <w:sz w:val="20"/>
                <w:szCs w:val="20"/>
                <w:color w:val="auto"/>
              </w:rPr>
            </w:pPr>
            <w:r>
              <w:rPr>
                <w:rFonts w:ascii="Arial" w:cs="Arial" w:eastAsia="Arial" w:hAnsi="Arial"/>
                <w:sz w:val="14"/>
                <w:szCs w:val="14"/>
                <w:color w:val="auto"/>
              </w:rPr>
              <w:t>Residential mortgage-backed</w:t>
            </w:r>
          </w:p>
        </w:tc>
        <w:tc>
          <w:tcPr>
            <w:tcW w:w="10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80" w:type="dxa"/>
            <w:vAlign w:val="bottom"/>
            <w:gridSpan w:val="2"/>
            <w:vMerge w:val="restart"/>
          </w:tcPr>
          <w:p>
            <w:pPr>
              <w:ind w:left="4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00" w:type="dxa"/>
            <w:vAlign w:val="bottom"/>
            <w:vMerge w:val="restart"/>
          </w:tcPr>
          <w:p>
            <w:pPr>
              <w:jc w:val="right"/>
              <w:ind w:right="10"/>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vMerge w:val="restart"/>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00" w:type="dxa"/>
            <w:vAlign w:val="bottom"/>
            <w:gridSpan w:val="2"/>
            <w:vMerge w:val="restart"/>
          </w:tcPr>
          <w:p>
            <w:pPr>
              <w:ind w:left="6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860" w:type="dxa"/>
            <w:vAlign w:val="bottom"/>
            <w:gridSpan w:val="2"/>
            <w:vMerge w:val="restart"/>
          </w:tcPr>
          <w:p>
            <w:pPr>
              <w:ind w:left="5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120" w:type="dxa"/>
            <w:vAlign w:val="bottom"/>
            <w:gridSpan w:val="3"/>
          </w:tcPr>
          <w:p>
            <w:pPr>
              <w:ind w:left="200"/>
              <w:spacing w:after="0"/>
              <w:rPr>
                <w:sz w:val="20"/>
                <w:szCs w:val="20"/>
                <w:color w:val="auto"/>
              </w:rPr>
            </w:pPr>
            <w:r>
              <w:rPr>
                <w:rFonts w:ascii="Arial" w:cs="Arial" w:eastAsia="Arial" w:hAnsi="Arial"/>
                <w:sz w:val="14"/>
                <w:szCs w:val="14"/>
                <w:color w:val="auto"/>
              </w:rPr>
              <w:t>securities</w:t>
            </w:r>
          </w:p>
        </w:tc>
        <w:tc>
          <w:tcPr>
            <w:tcW w:w="1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shd w:val="clear" w:color="auto" w:fill="CCEEFF"/>
          </w:tcPr>
          <w:p>
            <w:pPr>
              <w:spacing w:after="0"/>
              <w:rPr>
                <w:sz w:val="16"/>
                <w:szCs w:val="16"/>
                <w:color w:val="auto"/>
              </w:rPr>
            </w:pPr>
          </w:p>
        </w:tc>
        <w:tc>
          <w:tcPr>
            <w:tcW w:w="212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Foreign Governments</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120" w:type="dxa"/>
            <w:vAlign w:val="bottom"/>
            <w:gridSpan w:val="3"/>
          </w:tcPr>
          <w:p>
            <w:pPr>
              <w:spacing w:after="0"/>
              <w:rPr>
                <w:sz w:val="20"/>
                <w:szCs w:val="20"/>
                <w:color w:val="auto"/>
              </w:rPr>
            </w:pPr>
            <w:r>
              <w:rPr>
                <w:rFonts w:ascii="Arial" w:cs="Arial" w:eastAsia="Arial" w:hAnsi="Arial"/>
                <w:sz w:val="14"/>
                <w:szCs w:val="14"/>
                <w:color w:val="auto"/>
              </w:rPr>
              <w:t>Short term investments</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8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4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20" w:type="dxa"/>
            <w:vAlign w:val="bottom"/>
            <w:shd w:val="clear" w:color="auto" w:fill="CCEEFF"/>
          </w:tcPr>
          <w:p>
            <w:pPr>
              <w:spacing w:after="0"/>
              <w:rPr>
                <w:sz w:val="16"/>
                <w:szCs w:val="16"/>
                <w:color w:val="auto"/>
              </w:rPr>
            </w:pPr>
          </w:p>
        </w:tc>
        <w:tc>
          <w:tcPr>
            <w:tcW w:w="21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Preferred securities</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120" w:type="dxa"/>
            <w:vAlign w:val="bottom"/>
            <w:gridSpan w:val="3"/>
          </w:tcPr>
          <w:p>
            <w:pPr>
              <w:spacing w:after="0"/>
              <w:rPr>
                <w:sz w:val="20"/>
                <w:szCs w:val="20"/>
                <w:color w:val="auto"/>
              </w:rPr>
            </w:pPr>
            <w:r>
              <w:rPr>
                <w:rFonts w:ascii="Arial" w:cs="Arial" w:eastAsia="Arial" w:hAnsi="Arial"/>
                <w:sz w:val="14"/>
                <w:szCs w:val="14"/>
                <w:color w:val="auto"/>
              </w:rPr>
              <w:t>Equity securities</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8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6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20" w:type="dxa"/>
            <w:vAlign w:val="bottom"/>
            <w:shd w:val="clear" w:color="auto" w:fill="CCEEFF"/>
          </w:tcPr>
          <w:p>
            <w:pPr>
              <w:spacing w:after="0"/>
              <w:rPr>
                <w:sz w:val="16"/>
                <w:szCs w:val="16"/>
                <w:color w:val="auto"/>
              </w:rPr>
            </w:pPr>
          </w:p>
        </w:tc>
        <w:tc>
          <w:tcPr>
            <w:tcW w:w="21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Other long-term investments:</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120" w:type="dxa"/>
            <w:vAlign w:val="bottom"/>
            <w:gridSpan w:val="3"/>
          </w:tcPr>
          <w:p>
            <w:pPr>
              <w:ind w:left="200"/>
              <w:spacing w:after="0" w:line="132" w:lineRule="exact"/>
              <w:rPr>
                <w:sz w:val="20"/>
                <w:szCs w:val="20"/>
                <w:color w:val="auto"/>
              </w:rPr>
            </w:pPr>
            <w:r>
              <w:rPr>
                <w:rFonts w:ascii="Arial" w:cs="Arial" w:eastAsia="Arial" w:hAnsi="Arial"/>
                <w:sz w:val="14"/>
                <w:szCs w:val="14"/>
                <w:color w:val="auto"/>
              </w:rPr>
              <w:t>Available-for-sale embedded</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vMerge w:val="restart"/>
          </w:tcPr>
          <w:p>
            <w:pPr>
              <w:ind w:left="4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40" w:type="dxa"/>
            <w:vAlign w:val="bottom"/>
            <w:gridSpan w:val="2"/>
            <w:vMerge w:val="restart"/>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00" w:type="dxa"/>
            <w:vAlign w:val="bottom"/>
            <w:gridSpan w:val="2"/>
            <w:vMerge w:val="restart"/>
          </w:tcPr>
          <w:p>
            <w:pPr>
              <w:ind w:left="6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860" w:type="dxa"/>
            <w:vAlign w:val="bottom"/>
            <w:gridSpan w:val="2"/>
            <w:vMerge w:val="restart"/>
          </w:tcPr>
          <w:p>
            <w:pPr>
              <w:ind w:left="5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120" w:type="dxa"/>
            <w:vAlign w:val="bottom"/>
            <w:gridSpan w:val="3"/>
          </w:tcPr>
          <w:p>
            <w:pPr>
              <w:ind w:left="200"/>
              <w:spacing w:after="0"/>
              <w:rPr>
                <w:sz w:val="20"/>
                <w:szCs w:val="20"/>
                <w:color w:val="auto"/>
              </w:rPr>
            </w:pPr>
            <w:r>
              <w:rPr>
                <w:rFonts w:ascii="Arial" w:cs="Arial" w:eastAsia="Arial" w:hAnsi="Arial"/>
                <w:sz w:val="14"/>
                <w:szCs w:val="14"/>
                <w:color w:val="auto"/>
              </w:rPr>
              <w:t>derivative</w:t>
            </w:r>
          </w:p>
        </w:tc>
        <w:tc>
          <w:tcPr>
            <w:tcW w:w="1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shd w:val="clear" w:color="auto" w:fill="CCEEFF"/>
          </w:tcPr>
          <w:p>
            <w:pPr>
              <w:spacing w:after="0"/>
              <w:rPr>
                <w:sz w:val="16"/>
                <w:szCs w:val="16"/>
                <w:color w:val="auto"/>
              </w:rPr>
            </w:pPr>
          </w:p>
        </w:tc>
        <w:tc>
          <w:tcPr>
            <w:tcW w:w="212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Investment in affiliate</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120" w:type="dxa"/>
            <w:vAlign w:val="bottom"/>
            <w:gridSpan w:val="3"/>
          </w:tcPr>
          <w:p>
            <w:pPr>
              <w:ind w:left="200"/>
              <w:spacing w:after="0"/>
              <w:rPr>
                <w:sz w:val="20"/>
                <w:szCs w:val="20"/>
                <w:color w:val="auto"/>
              </w:rPr>
            </w:pPr>
            <w:r>
              <w:rPr>
                <w:rFonts w:ascii="Arial" w:cs="Arial" w:eastAsia="Arial" w:hAnsi="Arial"/>
                <w:sz w:val="14"/>
                <w:szCs w:val="14"/>
                <w:color w:val="auto"/>
              </w:rPr>
              <w:t>Credit linked note</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8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4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20" w:type="dxa"/>
            <w:vAlign w:val="bottom"/>
            <w:shd w:val="clear" w:color="auto" w:fill="CCEEFF"/>
          </w:tcPr>
          <w:p>
            <w:pPr>
              <w:spacing w:after="0"/>
              <w:rPr>
                <w:sz w:val="16"/>
                <w:szCs w:val="16"/>
                <w:color w:val="auto"/>
              </w:rPr>
            </w:pPr>
          </w:p>
        </w:tc>
        <w:tc>
          <w:tcPr>
            <w:tcW w:w="212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Secured borrowing receivable</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120" w:type="dxa"/>
            <w:vAlign w:val="bottom"/>
            <w:gridSpan w:val="3"/>
          </w:tcPr>
          <w:p>
            <w:pPr>
              <w:ind w:left="300"/>
              <w:spacing w:after="0" w:line="112" w:lineRule="exact"/>
              <w:rPr>
                <w:sz w:val="20"/>
                <w:szCs w:val="20"/>
                <w:color w:val="auto"/>
              </w:rPr>
            </w:pPr>
            <w:r>
              <w:rPr>
                <w:rFonts w:ascii="Arial" w:cs="Arial" w:eastAsia="Arial" w:hAnsi="Arial"/>
                <w:sz w:val="12"/>
                <w:szCs w:val="12"/>
                <w:b w:val="1"/>
                <w:bCs w:val="1"/>
                <w:color w:val="auto"/>
              </w:rPr>
              <w:t>Total Level 3 assets at fair</w:t>
            </w: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5,496</w:t>
            </w:r>
          </w:p>
        </w:tc>
        <w:tc>
          <w:tcPr>
            <w:tcW w:w="100" w:type="dxa"/>
            <w:vAlign w:val="bottom"/>
          </w:tcPr>
          <w:p>
            <w:pPr>
              <w:spacing w:after="0"/>
              <w:rPr>
                <w:sz w:val="9"/>
                <w:szCs w:val="9"/>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9"/>
                <w:szCs w:val="9"/>
                <w:color w:val="auto"/>
              </w:rPr>
            </w:pPr>
          </w:p>
        </w:tc>
        <w:tc>
          <w:tcPr>
            <w:tcW w:w="16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(214)</w:t>
            </w:r>
          </w:p>
        </w:tc>
        <w:tc>
          <w:tcPr>
            <w:tcW w:w="100" w:type="dxa"/>
            <w:vAlign w:val="bottom"/>
          </w:tcPr>
          <w:p>
            <w:pPr>
              <w:spacing w:after="0"/>
              <w:rPr>
                <w:sz w:val="9"/>
                <w:szCs w:val="9"/>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4"/>
                <w:szCs w:val="14"/>
                <w:color w:val="auto"/>
              </w:rPr>
              <w:t>1,144</w:t>
            </w:r>
          </w:p>
        </w:tc>
        <w:tc>
          <w:tcPr>
            <w:tcW w:w="100" w:type="dxa"/>
            <w:vAlign w:val="bottom"/>
          </w:tcPr>
          <w:p>
            <w:pPr>
              <w:spacing w:after="0"/>
              <w:rPr>
                <w:sz w:val="9"/>
                <w:szCs w:val="9"/>
                <w:color w:val="auto"/>
              </w:rPr>
            </w:pPr>
          </w:p>
        </w:tc>
        <w:tc>
          <w:tcPr>
            <w:tcW w:w="16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9"/>
                <w:szCs w:val="9"/>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9"/>
                <w:szCs w:val="9"/>
                <w:color w:val="auto"/>
              </w:rPr>
            </w:pPr>
          </w:p>
        </w:tc>
        <w:tc>
          <w:tcPr>
            <w:tcW w:w="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9"/>
                <w:szCs w:val="9"/>
                <w:color w:val="auto"/>
              </w:rPr>
            </w:pPr>
          </w:p>
        </w:tc>
        <w:tc>
          <w:tcPr>
            <w:tcW w:w="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6,229</w:t>
            </w:r>
          </w:p>
        </w:tc>
        <w:tc>
          <w:tcPr>
            <w:tcW w:w="100" w:type="dxa"/>
            <w:vAlign w:val="bottom"/>
          </w:tcPr>
          <w:p>
            <w:pPr>
              <w:spacing w:after="0"/>
              <w:rPr>
                <w:sz w:val="9"/>
                <w:szCs w:val="9"/>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(221)</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3"/>
                <w:szCs w:val="13"/>
                <w:color w:val="auto"/>
              </w:rPr>
            </w:pPr>
          </w:p>
        </w:tc>
        <w:tc>
          <w:tcPr>
            <w:tcW w:w="2120" w:type="dxa"/>
            <w:vAlign w:val="bottom"/>
            <w:gridSpan w:val="3"/>
          </w:tcPr>
          <w:p>
            <w:pPr>
              <w:ind w:left="300"/>
              <w:spacing w:after="0" w:line="158" w:lineRule="exact"/>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auto"/>
            </w:tcBorders>
            <w:vMerge w:val="continue"/>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vMerge w:val="continue"/>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vMerge w:val="continue"/>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vMerge w:val="continue"/>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bottom w:val="single" w:sz="8" w:color="auto"/>
            </w:tcBorders>
            <w:vMerge w:val="continue"/>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auto"/>
            </w:tcBorders>
            <w:gridSpan w:val="2"/>
            <w:shd w:val="clear" w:color="auto" w:fill="CCEEFF"/>
          </w:tcPr>
          <w:p>
            <w:pPr>
              <w:spacing w:after="0" w:line="111" w:lineRule="exact"/>
              <w:rPr>
                <w:sz w:val="20"/>
                <w:szCs w:val="20"/>
                <w:color w:val="auto"/>
              </w:rPr>
            </w:pPr>
            <w:r>
              <w:rPr>
                <w:rFonts w:ascii="Arial" w:cs="Arial" w:eastAsia="Arial" w:hAnsi="Arial"/>
                <w:sz w:val="12"/>
                <w:szCs w:val="12"/>
                <w:b w:val="1"/>
                <w:bCs w:val="1"/>
                <w:color w:val="auto"/>
              </w:rPr>
              <w:t>Liabilities</w:t>
            </w:r>
          </w:p>
        </w:tc>
        <w:tc>
          <w:tcPr>
            <w:tcW w:w="15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120" w:type="dxa"/>
            <w:vAlign w:val="bottom"/>
            <w:gridSpan w:val="3"/>
          </w:tcPr>
          <w:p>
            <w:pPr>
              <w:spacing w:after="0" w:line="132" w:lineRule="exact"/>
              <w:rPr>
                <w:sz w:val="20"/>
                <w:szCs w:val="20"/>
                <w:color w:val="auto"/>
              </w:rPr>
            </w:pPr>
            <w:r>
              <w:rPr>
                <w:rFonts w:ascii="Arial" w:cs="Arial" w:eastAsia="Arial" w:hAnsi="Arial"/>
                <w:sz w:val="14"/>
                <w:szCs w:val="14"/>
                <w:color w:val="auto"/>
              </w:rPr>
              <w:t>FIA/ IUL embedded derivatives,</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3,395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(454)</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vMerge w:val="restart"/>
          </w:tcPr>
          <w:p>
            <w:pPr>
              <w:ind w:left="46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restart"/>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vMerge w:val="restart"/>
          </w:tcPr>
          <w:p>
            <w:pPr>
              <w:ind w:left="42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restart"/>
          </w:tcPr>
          <w:p>
            <w:pPr>
              <w:ind w:left="68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54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2,941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0" w:type="dxa"/>
            <w:vAlign w:val="bottom"/>
            <w:tcBorders>
              <w:bottom w:val="single" w:sz="8" w:color="CCEEFF"/>
            </w:tcBorders>
          </w:tcPr>
          <w:p>
            <w:pPr>
              <w:spacing w:after="0"/>
              <w:rPr>
                <w:sz w:val="15"/>
                <w:szCs w:val="15"/>
                <w:color w:val="auto"/>
              </w:rPr>
            </w:pPr>
          </w:p>
        </w:tc>
        <w:tc>
          <w:tcPr>
            <w:tcW w:w="212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color w:val="auto"/>
              </w:rPr>
              <w:t>included in contractholder funds</w:t>
            </w: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shd w:val="clear" w:color="auto" w:fill="CCEEFF"/>
          </w:tcPr>
          <w:p>
            <w:pPr>
              <w:spacing w:after="0"/>
              <w:rPr>
                <w:sz w:val="9"/>
                <w:szCs w:val="9"/>
                <w:color w:val="auto"/>
              </w:rPr>
            </w:pPr>
          </w:p>
        </w:tc>
        <w:tc>
          <w:tcPr>
            <w:tcW w:w="2120" w:type="dxa"/>
            <w:vAlign w:val="bottom"/>
            <w:gridSpan w:val="3"/>
            <w:shd w:val="clear" w:color="auto" w:fill="CCEEFF"/>
          </w:tcPr>
          <w:p>
            <w:pPr>
              <w:ind w:left="300"/>
              <w:spacing w:after="0" w:line="114" w:lineRule="exact"/>
              <w:rPr>
                <w:sz w:val="20"/>
                <w:szCs w:val="20"/>
                <w:color w:val="auto"/>
              </w:rPr>
            </w:pPr>
            <w:r>
              <w:rPr>
                <w:rFonts w:ascii="Arial" w:cs="Arial" w:eastAsia="Arial" w:hAnsi="Arial"/>
                <w:sz w:val="13"/>
                <w:szCs w:val="13"/>
                <w:b w:val="1"/>
                <w:bCs w:val="1"/>
                <w:color w:val="auto"/>
              </w:rPr>
              <w:t>Total Level 3 liabilities at fair</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3,395</w:t>
            </w:r>
          </w:p>
        </w:tc>
        <w:tc>
          <w:tcPr>
            <w:tcW w:w="10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(454)</w:t>
            </w:r>
          </w:p>
        </w:tc>
        <w:tc>
          <w:tcPr>
            <w:tcW w:w="100" w:type="dxa"/>
            <w:vAlign w:val="bottom"/>
            <w:shd w:val="clear" w:color="auto" w:fill="CCEEFF"/>
          </w:tcPr>
          <w:p>
            <w:pPr>
              <w:spacing w:after="0"/>
              <w:rPr>
                <w:sz w:val="9"/>
                <w:szCs w:val="9"/>
                <w:color w:val="auto"/>
              </w:rPr>
            </w:pPr>
          </w:p>
        </w:tc>
        <w:tc>
          <w:tcPr>
            <w:tcW w:w="16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780" w:type="dxa"/>
            <w:vAlign w:val="bottom"/>
            <w:gridSpan w:val="2"/>
            <w:vMerge w:val="restart"/>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740" w:type="dxa"/>
            <w:vAlign w:val="bottom"/>
            <w:gridSpan w:val="2"/>
            <w:vMerge w:val="restart"/>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vMerge w:val="restart"/>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vMerge w:val="restart"/>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2,941</w:t>
            </w:r>
          </w:p>
        </w:tc>
        <w:tc>
          <w:tcPr>
            <w:tcW w:w="10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8"/>
        </w:trPr>
        <w:tc>
          <w:tcPr>
            <w:tcW w:w="20" w:type="dxa"/>
            <w:vAlign w:val="bottom"/>
            <w:shd w:val="clear" w:color="auto" w:fill="CCEEFF"/>
          </w:tcPr>
          <w:p>
            <w:pPr>
              <w:spacing w:after="0"/>
              <w:rPr>
                <w:sz w:val="15"/>
                <w:szCs w:val="15"/>
                <w:color w:val="auto"/>
              </w:rPr>
            </w:pPr>
          </w:p>
        </w:tc>
        <w:tc>
          <w:tcPr>
            <w:tcW w:w="2120" w:type="dxa"/>
            <w:vAlign w:val="bottom"/>
            <w:gridSpan w:val="3"/>
            <w:shd w:val="clear" w:color="auto" w:fill="CCEEFF"/>
          </w:tcPr>
          <w:p>
            <w:pPr>
              <w:ind w:left="300"/>
              <w:spacing w:after="0" w:line="158" w:lineRule="exact"/>
              <w:rPr>
                <w:sz w:val="20"/>
                <w:szCs w:val="20"/>
                <w:color w:val="auto"/>
              </w:rPr>
            </w:pPr>
            <w:r>
              <w:rPr>
                <w:rFonts w:ascii="Arial" w:cs="Arial" w:eastAsia="Arial" w:hAnsi="Arial"/>
                <w:sz w:val="14"/>
                <w:szCs w:val="14"/>
                <w:b w:val="1"/>
                <w:bCs w:val="1"/>
                <w:color w:val="auto"/>
              </w:rPr>
              <w:t>value</w:t>
            </w:r>
          </w:p>
        </w:tc>
        <w:tc>
          <w:tcPr>
            <w:tcW w:w="100" w:type="dxa"/>
            <w:vAlign w:val="bottom"/>
            <w:vMerge w:val="continue"/>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ind w:left="160"/>
        <w:spacing w:after="0"/>
        <w:rPr>
          <w:sz w:val="20"/>
          <w:szCs w:val="20"/>
          <w:color w:val="auto"/>
        </w:rPr>
      </w:pPr>
      <w:r>
        <w:rPr>
          <w:rFonts w:ascii="Arial" w:cs="Arial" w:eastAsia="Arial" w:hAnsi="Arial"/>
          <w:sz w:val="14"/>
          <w:szCs w:val="14"/>
          <w:color w:val="auto"/>
        </w:rPr>
        <w:t>(a) The net transfers out of Level 3 during the three months ended June 30, 2022 were exclusively to Level 2.</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ectPr>
          <w:pgSz w:w="11900" w:h="16838" w:orient="portrait"/>
          <w:cols w:equalWidth="0" w:num="1">
            <w:col w:w="10960"/>
          </w:cols>
          <w:pgMar w:left="320" w:top="127" w:right="6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Assets</w:t>
      </w:r>
    </w:p>
    <w:p>
      <w:pPr>
        <w:spacing w:after="0" w:line="27" w:lineRule="exact"/>
        <w:rPr>
          <w:sz w:val="20"/>
          <w:szCs w:val="20"/>
          <w:color w:val="auto"/>
        </w:rPr>
      </w:pPr>
    </w:p>
    <w:p>
      <w:pPr>
        <w:ind w:left="20"/>
        <w:spacing w:after="0" w:line="231" w:lineRule="auto"/>
        <w:rPr>
          <w:sz w:val="20"/>
          <w:szCs w:val="20"/>
          <w:color w:val="auto"/>
        </w:rPr>
      </w:pPr>
      <w:r>
        <w:rPr>
          <w:rFonts w:ascii="Arial" w:cs="Arial" w:eastAsia="Arial" w:hAnsi="Arial"/>
          <w:sz w:val="14"/>
          <w:szCs w:val="14"/>
          <w:color w:val="auto"/>
        </w:rPr>
        <w:t>Fixed maturity securities available-for-sale:</w:t>
      </w:r>
    </w:p>
    <w:p>
      <w:pPr>
        <w:spacing w:after="0" w:line="6" w:lineRule="exact"/>
        <w:rPr>
          <w:sz w:val="20"/>
          <w:szCs w:val="20"/>
          <w:color w:val="auto"/>
        </w:rPr>
      </w:pPr>
    </w:p>
    <w:p>
      <w:pPr>
        <w:ind w:left="220"/>
        <w:spacing w:after="0"/>
        <w:rPr>
          <w:sz w:val="20"/>
          <w:szCs w:val="20"/>
          <w:color w:val="auto"/>
        </w:rPr>
      </w:pPr>
      <w:r>
        <w:rPr>
          <w:rFonts w:ascii="Arial" w:cs="Arial" w:eastAsia="Arial" w:hAnsi="Arial"/>
          <w:sz w:val="14"/>
          <w:szCs w:val="14"/>
          <w:color w:val="auto"/>
        </w:rPr>
        <w:t>Asset-backed securities</w:t>
      </w:r>
    </w:p>
    <w:p>
      <w:pPr>
        <w:spacing w:after="0" w:line="23" w:lineRule="exact"/>
        <w:rPr>
          <w:sz w:val="20"/>
          <w:szCs w:val="20"/>
          <w:color w:val="auto"/>
        </w:rPr>
      </w:pPr>
    </w:p>
    <w:p>
      <w:pPr>
        <w:ind w:left="220" w:right="80"/>
        <w:spacing w:after="0" w:line="231" w:lineRule="auto"/>
        <w:rPr>
          <w:sz w:val="20"/>
          <w:szCs w:val="20"/>
          <w:color w:val="auto"/>
        </w:rPr>
      </w:pPr>
      <w:r>
        <w:rPr>
          <w:rFonts w:ascii="Arial" w:cs="Arial" w:eastAsia="Arial" w:hAnsi="Arial"/>
          <w:sz w:val="14"/>
          <w:szCs w:val="14"/>
          <w:color w:val="auto"/>
        </w:rPr>
        <w:t>Commercial mortgage-backed securities</w:t>
      </w:r>
    </w:p>
    <w:p>
      <w:pPr>
        <w:spacing w:after="0" w:line="6" w:lineRule="exact"/>
        <w:rPr>
          <w:sz w:val="20"/>
          <w:szCs w:val="20"/>
          <w:color w:val="auto"/>
        </w:rPr>
      </w:pPr>
    </w:p>
    <w:p>
      <w:pPr>
        <w:ind w:left="220"/>
        <w:spacing w:after="0"/>
        <w:rPr>
          <w:sz w:val="20"/>
          <w:szCs w:val="20"/>
          <w:color w:val="auto"/>
        </w:rPr>
      </w:pPr>
      <w:r>
        <w:rPr>
          <w:rFonts w:ascii="Arial" w:cs="Arial" w:eastAsia="Arial" w:hAnsi="Arial"/>
          <w:sz w:val="14"/>
          <w:szCs w:val="14"/>
          <w:color w:val="auto"/>
        </w:rPr>
        <w:t>Corporates</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4"/>
          <w:szCs w:val="14"/>
          <w:color w:val="auto"/>
        </w:rPr>
        <w:t>Municipals</w:t>
      </w:r>
    </w:p>
    <w:p>
      <w:pPr>
        <w:spacing w:after="0" w:line="23" w:lineRule="exact"/>
        <w:rPr>
          <w:sz w:val="20"/>
          <w:szCs w:val="20"/>
          <w:color w:val="auto"/>
        </w:rPr>
      </w:pPr>
    </w:p>
    <w:p>
      <w:pPr>
        <w:ind w:left="220" w:right="140"/>
        <w:spacing w:after="0" w:line="231" w:lineRule="auto"/>
        <w:rPr>
          <w:sz w:val="20"/>
          <w:szCs w:val="20"/>
          <w:color w:val="auto"/>
        </w:rPr>
      </w:pPr>
      <w:r>
        <w:rPr>
          <w:rFonts w:ascii="Arial" w:cs="Arial" w:eastAsia="Arial" w:hAnsi="Arial"/>
          <w:sz w:val="14"/>
          <w:szCs w:val="14"/>
          <w:color w:val="auto"/>
        </w:rPr>
        <w:t>Residential mortgage-backed securities</w:t>
      </w:r>
    </w:p>
    <w:p>
      <w:pPr>
        <w:spacing w:after="0" w:line="6" w:lineRule="exact"/>
        <w:rPr>
          <w:sz w:val="20"/>
          <w:szCs w:val="20"/>
          <w:color w:val="auto"/>
        </w:rPr>
      </w:pPr>
    </w:p>
    <w:p>
      <w:pPr>
        <w:ind w:left="220"/>
        <w:spacing w:after="0"/>
        <w:rPr>
          <w:sz w:val="20"/>
          <w:szCs w:val="20"/>
          <w:color w:val="auto"/>
        </w:rPr>
      </w:pPr>
      <w:r>
        <w:rPr>
          <w:rFonts w:ascii="Arial" w:cs="Arial" w:eastAsia="Arial" w:hAnsi="Arial"/>
          <w:sz w:val="14"/>
          <w:szCs w:val="14"/>
          <w:color w:val="auto"/>
        </w:rPr>
        <w:t>Foreign Governments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Short-Term</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4"/>
          <w:szCs w:val="14"/>
          <w:color w:val="auto"/>
        </w:rPr>
        <w:t>Equity and preferred securities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long-term investments:</w:t>
      </w:r>
    </w:p>
    <w:p>
      <w:pPr>
        <w:spacing w:after="0" w:line="23" w:lineRule="exact"/>
        <w:rPr>
          <w:sz w:val="20"/>
          <w:szCs w:val="20"/>
          <w:color w:val="auto"/>
        </w:rPr>
      </w:pPr>
    </w:p>
    <w:p>
      <w:pPr>
        <w:ind w:left="220" w:right="160"/>
        <w:spacing w:after="0" w:line="231" w:lineRule="auto"/>
        <w:rPr>
          <w:sz w:val="20"/>
          <w:szCs w:val="20"/>
          <w:color w:val="auto"/>
        </w:rPr>
      </w:pPr>
      <w:r>
        <w:rPr>
          <w:rFonts w:ascii="Arial" w:cs="Arial" w:eastAsia="Arial" w:hAnsi="Arial"/>
          <w:sz w:val="14"/>
          <w:szCs w:val="14"/>
          <w:color w:val="auto"/>
        </w:rPr>
        <w:t>Available-for-sale embedded derivative</w:t>
      </w:r>
    </w:p>
    <w:p>
      <w:pPr>
        <w:spacing w:after="0" w:line="6" w:lineRule="exact"/>
        <w:rPr>
          <w:sz w:val="20"/>
          <w:szCs w:val="20"/>
          <w:color w:val="auto"/>
        </w:rPr>
      </w:pPr>
    </w:p>
    <w:p>
      <w:pPr>
        <w:ind w:left="220"/>
        <w:spacing w:after="0"/>
        <w:rPr>
          <w:sz w:val="20"/>
          <w:szCs w:val="20"/>
          <w:color w:val="auto"/>
        </w:rPr>
      </w:pPr>
      <w:r>
        <w:rPr>
          <w:rFonts w:ascii="Arial" w:cs="Arial" w:eastAsia="Arial" w:hAnsi="Arial"/>
          <w:sz w:val="14"/>
          <w:szCs w:val="14"/>
          <w:color w:val="auto"/>
        </w:rPr>
        <w:t>Credit linked note</w:t>
      </w:r>
    </w:p>
    <w:p>
      <w:pPr>
        <w:spacing w:after="0" w:line="19" w:lineRule="exact"/>
        <w:rPr>
          <w:sz w:val="20"/>
          <w:szCs w:val="20"/>
          <w:color w:val="auto"/>
        </w:rPr>
      </w:pPr>
    </w:p>
    <w:p>
      <w:pPr>
        <w:ind w:left="340" w:right="100"/>
        <w:spacing w:after="0" w:line="234" w:lineRule="auto"/>
        <w:rPr>
          <w:sz w:val="20"/>
          <w:szCs w:val="20"/>
          <w:color w:val="auto"/>
        </w:rPr>
      </w:pPr>
      <w:r>
        <w:rPr>
          <w:rFonts w:ascii="Arial" w:cs="Arial" w:eastAsia="Arial" w:hAnsi="Arial"/>
          <w:sz w:val="14"/>
          <w:szCs w:val="14"/>
          <w:b w:val="1"/>
          <w:bCs w:val="1"/>
          <w:color w:val="auto"/>
        </w:rPr>
        <w:t>Total assets at Level 3 fair value</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800"/>
        <w:spacing w:after="0"/>
        <w:rPr>
          <w:sz w:val="20"/>
          <w:szCs w:val="20"/>
          <w:color w:val="auto"/>
        </w:rPr>
      </w:pPr>
      <w:r>
        <w:rPr>
          <w:rFonts w:ascii="Arial" w:cs="Arial" w:eastAsia="Arial" w:hAnsi="Arial"/>
          <w:sz w:val="14"/>
          <w:szCs w:val="14"/>
          <w:b w:val="1"/>
          <w:bCs w:val="1"/>
          <w:color w:val="auto"/>
        </w:rPr>
        <w:t>Three months ended June 30, 2021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760" w:type="dxa"/>
            <w:vAlign w:val="bottom"/>
            <w:tcBorders>
              <w:top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Total Gains (Losses)</w:t>
            </w: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00"/>
        </w:trPr>
        <w:tc>
          <w:tcPr>
            <w:tcW w:w="120" w:type="dxa"/>
            <w:vAlign w:val="bottom"/>
          </w:tcPr>
          <w:p>
            <w:pPr>
              <w:spacing w:after="0"/>
              <w:rPr>
                <w:sz w:val="24"/>
                <w:szCs w:val="24"/>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8"/>
              </w:rPr>
              <w:t>Balance at</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Net transfer</w:t>
            </w:r>
          </w:p>
        </w:tc>
        <w:tc>
          <w:tcPr>
            <w:tcW w:w="80" w:type="dxa"/>
            <w:vAlign w:val="bottom"/>
          </w:tcPr>
          <w:p>
            <w:pPr>
              <w:spacing w:after="0"/>
              <w:rPr>
                <w:sz w:val="24"/>
                <w:szCs w:val="24"/>
                <w:color w:val="auto"/>
              </w:rPr>
            </w:pPr>
          </w:p>
        </w:tc>
        <w:tc>
          <w:tcPr>
            <w:tcW w:w="8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8"/>
              </w:rPr>
              <w:t>Balance at</w:t>
            </w:r>
          </w:p>
        </w:tc>
        <w:tc>
          <w:tcPr>
            <w:tcW w:w="140" w:type="dxa"/>
            <w:vAlign w:val="bottom"/>
          </w:tcPr>
          <w:p>
            <w:pPr>
              <w:spacing w:after="0"/>
              <w:rPr>
                <w:sz w:val="24"/>
                <w:szCs w:val="24"/>
                <w:color w:val="auto"/>
              </w:rPr>
            </w:pPr>
          </w:p>
        </w:tc>
        <w:tc>
          <w:tcPr>
            <w:tcW w:w="900" w:type="dxa"/>
            <w:vAlign w:val="bottom"/>
          </w:tcPr>
          <w:p>
            <w:pPr>
              <w:jc w:val="center"/>
              <w:ind w:right="70"/>
              <w:spacing w:after="0"/>
              <w:rPr>
                <w:sz w:val="20"/>
                <w:szCs w:val="20"/>
                <w:color w:val="auto"/>
              </w:rPr>
            </w:pPr>
            <w:r>
              <w:rPr>
                <w:rFonts w:ascii="Arial" w:cs="Arial" w:eastAsia="Arial" w:hAnsi="Arial"/>
                <w:sz w:val="14"/>
                <w:szCs w:val="14"/>
                <w:b w:val="1"/>
                <w:bCs w:val="1"/>
                <w:color w:val="auto"/>
                <w:w w:val="88"/>
              </w:rPr>
              <w:t>Change in</w:t>
            </w:r>
          </w:p>
        </w:tc>
        <w:tc>
          <w:tcPr>
            <w:tcW w:w="0" w:type="dxa"/>
            <w:vAlign w:val="bottom"/>
          </w:tcPr>
          <w:p>
            <w:pPr>
              <w:spacing w:after="0"/>
              <w:rPr>
                <w:sz w:val="1"/>
                <w:szCs w:val="1"/>
                <w:color w:val="auto"/>
              </w:rPr>
            </w:pPr>
          </w:p>
        </w:tc>
      </w:tr>
      <w:tr>
        <w:trPr>
          <w:trHeight w:val="132"/>
        </w:trPr>
        <w:tc>
          <w:tcPr>
            <w:tcW w:w="12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9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1"/>
              </w:rPr>
              <w:t>Included in</w:t>
            </w:r>
          </w:p>
        </w:tc>
        <w:tc>
          <w:tcPr>
            <w:tcW w:w="9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Included in</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70"/>
              <w:spacing w:after="0" w:line="132" w:lineRule="exact"/>
              <w:rPr>
                <w:sz w:val="20"/>
                <w:szCs w:val="20"/>
                <w:color w:val="auto"/>
              </w:rPr>
            </w:pPr>
            <w:r>
              <w:rPr>
                <w:rFonts w:ascii="Arial" w:cs="Arial" w:eastAsia="Arial" w:hAnsi="Arial"/>
                <w:sz w:val="14"/>
                <w:szCs w:val="14"/>
                <w:b w:val="1"/>
                <w:bCs w:val="1"/>
                <w:color w:val="auto"/>
                <w:w w:val="90"/>
              </w:rPr>
              <w:t>Unrealized</w:t>
            </w:r>
          </w:p>
        </w:tc>
        <w:tc>
          <w:tcPr>
            <w:tcW w:w="0" w:type="dxa"/>
            <w:vAlign w:val="bottom"/>
          </w:tcPr>
          <w:p>
            <w:pPr>
              <w:spacing w:after="0"/>
              <w:rPr>
                <w:sz w:val="1"/>
                <w:szCs w:val="1"/>
                <w:color w:val="auto"/>
              </w:rPr>
            </w:pPr>
          </w:p>
        </w:tc>
      </w:tr>
      <w:tr>
        <w:trPr>
          <w:trHeight w:val="132"/>
        </w:trPr>
        <w:tc>
          <w:tcPr>
            <w:tcW w:w="120" w:type="dxa"/>
            <w:vAlign w:val="bottom"/>
          </w:tcPr>
          <w:p>
            <w:pPr>
              <w:spacing w:after="0"/>
              <w:rPr>
                <w:sz w:val="11"/>
                <w:szCs w:val="11"/>
                <w:color w:val="auto"/>
              </w:rPr>
            </w:pPr>
          </w:p>
        </w:tc>
        <w:tc>
          <w:tcPr>
            <w:tcW w:w="900" w:type="dxa"/>
            <w:vAlign w:val="bottom"/>
            <w:gridSpan w:val="2"/>
          </w:tcPr>
          <w:p>
            <w:pPr>
              <w:jc w:val="center"/>
              <w:ind w:right="240"/>
              <w:spacing w:after="0" w:line="132" w:lineRule="exact"/>
              <w:rPr>
                <w:sz w:val="20"/>
                <w:szCs w:val="20"/>
                <w:color w:val="auto"/>
              </w:rPr>
            </w:pPr>
            <w:r>
              <w:rPr>
                <w:rFonts w:ascii="Arial" w:cs="Arial" w:eastAsia="Arial" w:hAnsi="Arial"/>
                <w:sz w:val="14"/>
                <w:szCs w:val="14"/>
                <w:b w:val="1"/>
                <w:bCs w:val="1"/>
                <w:color w:val="auto"/>
                <w:w w:val="90"/>
              </w:rPr>
              <w:t>Beginning</w:t>
            </w:r>
          </w:p>
        </w:tc>
        <w:tc>
          <w:tcPr>
            <w:tcW w:w="920" w:type="dxa"/>
            <w:vAlign w:val="bottom"/>
            <w:gridSpan w:val="3"/>
            <w:vMerge w:val="continue"/>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restart"/>
          </w:tcPr>
          <w:p>
            <w:pPr>
              <w:jc w:val="right"/>
              <w:ind w:right="70"/>
              <w:spacing w:after="0"/>
              <w:rPr>
                <w:sz w:val="20"/>
                <w:szCs w:val="20"/>
                <w:color w:val="auto"/>
              </w:rPr>
            </w:pPr>
            <w:r>
              <w:rPr>
                <w:rFonts w:ascii="Arial" w:cs="Arial" w:eastAsia="Arial" w:hAnsi="Arial"/>
                <w:sz w:val="14"/>
                <w:szCs w:val="14"/>
                <w:b w:val="1"/>
                <w:bCs w:val="1"/>
                <w:color w:val="auto"/>
                <w:w w:val="87"/>
              </w:rPr>
              <w:t>Purchases</w:t>
            </w:r>
          </w:p>
        </w:tc>
        <w:tc>
          <w:tcPr>
            <w:tcW w:w="12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Sales</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Settlements</w:t>
            </w:r>
          </w:p>
        </w:tc>
        <w:tc>
          <w:tcPr>
            <w:tcW w:w="10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spacing w:after="0" w:line="132" w:lineRule="exact"/>
              <w:rPr>
                <w:sz w:val="20"/>
                <w:szCs w:val="20"/>
                <w:color w:val="auto"/>
              </w:rPr>
            </w:pPr>
            <w:r>
              <w:rPr>
                <w:rFonts w:ascii="Arial" w:cs="Arial" w:eastAsia="Arial" w:hAnsi="Arial"/>
                <w:sz w:val="14"/>
                <w:szCs w:val="14"/>
                <w:b w:val="1"/>
                <w:bCs w:val="1"/>
                <w:color w:val="auto"/>
              </w:rPr>
              <w:t>In (Out) of</w:t>
            </w:r>
          </w:p>
        </w:tc>
        <w:tc>
          <w:tcPr>
            <w:tcW w:w="80" w:type="dxa"/>
            <w:vAlign w:val="bottom"/>
          </w:tcPr>
          <w:p>
            <w:pPr>
              <w:spacing w:after="0"/>
              <w:rPr>
                <w:sz w:val="11"/>
                <w:szCs w:val="11"/>
                <w:color w:val="auto"/>
              </w:rPr>
            </w:pPr>
          </w:p>
        </w:tc>
        <w:tc>
          <w:tcPr>
            <w:tcW w:w="840" w:type="dxa"/>
            <w:vAlign w:val="bottom"/>
            <w:gridSpan w:val="2"/>
          </w:tcPr>
          <w:p>
            <w:pPr>
              <w:jc w:val="center"/>
              <w:ind w:right="200"/>
              <w:spacing w:after="0" w:line="132" w:lineRule="exact"/>
              <w:rPr>
                <w:sz w:val="20"/>
                <w:szCs w:val="20"/>
                <w:color w:val="auto"/>
              </w:rPr>
            </w:pPr>
            <w:r>
              <w:rPr>
                <w:rFonts w:ascii="Arial" w:cs="Arial" w:eastAsia="Arial" w:hAnsi="Arial"/>
                <w:sz w:val="14"/>
                <w:szCs w:val="14"/>
                <w:b w:val="1"/>
                <w:bCs w:val="1"/>
                <w:color w:val="auto"/>
                <w:w w:val="91"/>
              </w:rPr>
              <w:t>End of</w:t>
            </w:r>
          </w:p>
        </w:tc>
        <w:tc>
          <w:tcPr>
            <w:tcW w:w="1040" w:type="dxa"/>
            <w:vAlign w:val="bottom"/>
            <w:gridSpan w:val="2"/>
          </w:tcPr>
          <w:p>
            <w:pPr>
              <w:jc w:val="center"/>
              <w:spacing w:after="0" w:line="132" w:lineRule="exact"/>
              <w:rPr>
                <w:sz w:val="20"/>
                <w:szCs w:val="20"/>
                <w:color w:val="auto"/>
              </w:rPr>
            </w:pPr>
            <w:r>
              <w:rPr>
                <w:rFonts w:ascii="Arial" w:cs="Arial" w:eastAsia="Arial" w:hAnsi="Arial"/>
                <w:sz w:val="14"/>
                <w:szCs w:val="14"/>
                <w:b w:val="1"/>
                <w:bCs w:val="1"/>
                <w:color w:val="auto"/>
                <w:w w:val="87"/>
              </w:rPr>
              <w:t>Gains (Losses)</w:t>
            </w:r>
          </w:p>
        </w:tc>
        <w:tc>
          <w:tcPr>
            <w:tcW w:w="0" w:type="dxa"/>
            <w:vAlign w:val="bottom"/>
          </w:tcPr>
          <w:p>
            <w:pPr>
              <w:spacing w:after="0"/>
              <w:rPr>
                <w:sz w:val="1"/>
                <w:szCs w:val="1"/>
                <w:color w:val="auto"/>
              </w:rPr>
            </w:pPr>
          </w:p>
        </w:tc>
      </w:tr>
      <w:tr>
        <w:trPr>
          <w:trHeight w:val="184"/>
        </w:trPr>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50"/>
              <w:spacing w:after="0"/>
              <w:rPr>
                <w:sz w:val="20"/>
                <w:szCs w:val="20"/>
                <w:color w:val="auto"/>
              </w:rPr>
            </w:pPr>
            <w:r>
              <w:rPr>
                <w:rFonts w:ascii="Arial" w:cs="Arial" w:eastAsia="Arial" w:hAnsi="Arial"/>
                <w:sz w:val="14"/>
                <w:szCs w:val="14"/>
                <w:b w:val="1"/>
                <w:bCs w:val="1"/>
                <w:color w:val="auto"/>
                <w:w w:val="88"/>
              </w:rPr>
              <w:t>of Period</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0"/>
              </w:rPr>
              <w:t>Earnings</w:t>
            </w: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b w:val="1"/>
                <w:bCs w:val="1"/>
                <w:color w:val="auto"/>
              </w:rPr>
              <w:t>AOCI</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auto"/>
                <w:w w:val="90"/>
              </w:rPr>
              <w:t>Level 3 (a)</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30"/>
              <w:spacing w:after="0"/>
              <w:rPr>
                <w:sz w:val="20"/>
                <w:szCs w:val="20"/>
                <w:color w:val="auto"/>
              </w:rPr>
            </w:pPr>
            <w:r>
              <w:rPr>
                <w:rFonts w:ascii="Arial" w:cs="Arial" w:eastAsia="Arial" w:hAnsi="Arial"/>
                <w:sz w:val="14"/>
                <w:szCs w:val="14"/>
                <w:b w:val="1"/>
                <w:bCs w:val="1"/>
                <w:color w:val="auto"/>
                <w:w w:val="91"/>
              </w:rPr>
              <w:t>Period</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70"/>
              <w:spacing w:after="0"/>
              <w:rPr>
                <w:sz w:val="20"/>
                <w:szCs w:val="20"/>
                <w:color w:val="auto"/>
              </w:rPr>
            </w:pPr>
            <w:r>
              <w:rPr>
                <w:rFonts w:ascii="Arial" w:cs="Arial" w:eastAsia="Arial" w:hAnsi="Arial"/>
                <w:sz w:val="14"/>
                <w:szCs w:val="14"/>
                <w:b w:val="1"/>
                <w:bCs w:val="1"/>
                <w:color w:val="auto"/>
                <w:w w:val="98"/>
              </w:rPr>
              <w:t>Incl in OCI</w:t>
            </w:r>
          </w:p>
        </w:tc>
        <w:tc>
          <w:tcPr>
            <w:tcW w:w="0" w:type="dxa"/>
            <w:vAlign w:val="bottom"/>
          </w:tcPr>
          <w:p>
            <w:pPr>
              <w:spacing w:after="0"/>
              <w:rPr>
                <w:sz w:val="1"/>
                <w:szCs w:val="1"/>
                <w:color w:val="auto"/>
              </w:rPr>
            </w:pPr>
          </w:p>
        </w:tc>
      </w:tr>
      <w:tr>
        <w:trPr>
          <w:trHeight w:val="654"/>
        </w:trPr>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1,593</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813</w:t>
            </w:r>
          </w:p>
        </w:tc>
        <w:tc>
          <w:tcPr>
            <w:tcW w:w="120" w:type="dxa"/>
            <w:vAlign w:val="bottom"/>
          </w:tcPr>
          <w:p>
            <w:pPr>
              <w:spacing w:after="0"/>
              <w:rPr>
                <w:sz w:val="24"/>
                <w:szCs w:val="24"/>
                <w:color w:val="auto"/>
              </w:rPr>
            </w:pP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24"/>
                <w:szCs w:val="24"/>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2,309</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316"/>
        </w:trPr>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1,247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ind w:left="440"/>
              <w:spacing w:after="0"/>
              <w:rPr>
                <w:sz w:val="20"/>
                <w:szCs w:val="20"/>
                <w:color w:val="auto"/>
              </w:rPr>
            </w:pPr>
            <w:r>
              <w:rPr>
                <w:rFonts w:ascii="Arial" w:cs="Arial" w:eastAsia="Arial" w:hAnsi="Arial"/>
                <w:sz w:val="14"/>
                <w:szCs w:val="14"/>
                <w:color w:val="auto"/>
                <w:w w:val="93"/>
              </w:rPr>
              <w:t>(7)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1,201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84"/>
        </w:trPr>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316"/>
        </w:trPr>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487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443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4"/>
        </w:trPr>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1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302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303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20" w:type="dxa"/>
            <w:vAlign w:val="bottom"/>
          </w:tcPr>
          <w:p>
            <w:pPr>
              <w:ind w:left="440"/>
              <w:spacing w:after="0"/>
              <w:rPr>
                <w:sz w:val="20"/>
                <w:szCs w:val="20"/>
                <w:color w:val="auto"/>
              </w:rPr>
            </w:pPr>
            <w:r>
              <w:rPr>
                <w:rFonts w:ascii="Arial" w:cs="Arial" w:eastAsia="Arial" w:hAnsi="Arial"/>
                <w:sz w:val="14"/>
                <w:szCs w:val="14"/>
                <w:color w:val="auto"/>
                <w:w w:val="93"/>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00"/>
        </w:trPr>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9"/>
        </w:trPr>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3,467</w:t>
            </w:r>
          </w:p>
        </w:tc>
        <w:tc>
          <w:tcPr>
            <w:tcW w:w="120" w:type="dxa"/>
            <w:vAlign w:val="bottom"/>
          </w:tcPr>
          <w:p>
            <w:pPr>
              <w:spacing w:after="0"/>
              <w:rPr>
                <w:sz w:val="23"/>
                <w:szCs w:val="2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3"/>
                <w:szCs w:val="23"/>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1,138</w:t>
            </w:r>
          </w:p>
        </w:tc>
        <w:tc>
          <w:tcPr>
            <w:tcW w:w="120" w:type="dxa"/>
            <w:vAlign w:val="bottom"/>
          </w:tcPr>
          <w:p>
            <w:pPr>
              <w:spacing w:after="0"/>
              <w:rPr>
                <w:sz w:val="23"/>
                <w:szCs w:val="23"/>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4"/>
                <w:szCs w:val="14"/>
                <w:color w:val="auto"/>
                <w:w w:val="93"/>
              </w:rPr>
              <w:t>(8)</w:t>
            </w:r>
          </w:p>
        </w:tc>
        <w:tc>
          <w:tcPr>
            <w:tcW w:w="100" w:type="dxa"/>
            <w:vAlign w:val="bottom"/>
          </w:tcPr>
          <w:p>
            <w:pPr>
              <w:spacing w:after="0"/>
              <w:rPr>
                <w:sz w:val="23"/>
                <w:szCs w:val="2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(205)</w:t>
            </w:r>
          </w:p>
        </w:tc>
        <w:tc>
          <w:tcPr>
            <w:tcW w:w="100" w:type="dxa"/>
            <w:vAlign w:val="bottom"/>
          </w:tcPr>
          <w:p>
            <w:pPr>
              <w:spacing w:after="0"/>
              <w:rPr>
                <w:sz w:val="23"/>
                <w:szCs w:val="23"/>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23"/>
                <w:szCs w:val="2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4,400</w:t>
            </w:r>
          </w:p>
        </w:tc>
        <w:tc>
          <w:tcPr>
            <w:tcW w:w="100" w:type="dxa"/>
            <w:vAlign w:val="bottom"/>
          </w:tcPr>
          <w:p>
            <w:pPr>
              <w:spacing w:after="0"/>
              <w:rPr>
                <w:sz w:val="23"/>
                <w:szCs w:val="2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5"/>
        </w:trPr>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-1355090</wp:posOffset>
            </wp:positionH>
            <wp:positionV relativeFrom="paragraph">
              <wp:posOffset>-1954530</wp:posOffset>
            </wp:positionV>
            <wp:extent cx="6951980" cy="2006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51980" cy="200660"/>
                    </a:xfrm>
                    <a:prstGeom prst="rect">
                      <a:avLst/>
                    </a:prstGeom>
                    <a:noFill/>
                  </pic:spPr>
                </pic:pic>
              </a:graphicData>
            </a:graphic>
          </wp:anchor>
        </w:drawing>
        <w:drawing>
          <wp:anchor simplePos="0" relativeHeight="251657728" behindDoc="1" locked="0" layoutInCell="0" allowOverlap="1">
            <wp:simplePos x="0" y="0"/>
            <wp:positionH relativeFrom="column">
              <wp:posOffset>-1355090</wp:posOffset>
            </wp:positionH>
            <wp:positionV relativeFrom="paragraph">
              <wp:posOffset>-1637030</wp:posOffset>
            </wp:positionV>
            <wp:extent cx="6951980" cy="2006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51980" cy="200660"/>
                    </a:xfrm>
                    <a:prstGeom prst="rect">
                      <a:avLst/>
                    </a:prstGeom>
                    <a:noFill/>
                  </pic:spPr>
                </pic:pic>
              </a:graphicData>
            </a:graphic>
          </wp:anchor>
        </w:drawing>
        <w:drawing>
          <wp:anchor simplePos="0" relativeHeight="251657728" behindDoc="1" locked="0" layoutInCell="0" allowOverlap="1">
            <wp:simplePos x="0" y="0"/>
            <wp:positionH relativeFrom="column">
              <wp:posOffset>-1355090</wp:posOffset>
            </wp:positionH>
            <wp:positionV relativeFrom="paragraph">
              <wp:posOffset>-1319530</wp:posOffset>
            </wp:positionV>
            <wp:extent cx="6951980" cy="1168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51980" cy="116840"/>
                    </a:xfrm>
                    <a:prstGeom prst="rect">
                      <a:avLst/>
                    </a:prstGeom>
                    <a:noFill/>
                  </pic:spPr>
                </pic:pic>
              </a:graphicData>
            </a:graphic>
          </wp:anchor>
        </w:drawing>
        <w:drawing>
          <wp:anchor simplePos="0" relativeHeight="251657728" behindDoc="1" locked="0" layoutInCell="0" allowOverlap="1">
            <wp:simplePos x="0" y="0"/>
            <wp:positionH relativeFrom="column">
              <wp:posOffset>-1355090</wp:posOffset>
            </wp:positionH>
            <wp:positionV relativeFrom="paragraph">
              <wp:posOffset>-1002030</wp:posOffset>
            </wp:positionV>
            <wp:extent cx="6951980" cy="1168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51980" cy="116840"/>
                    </a:xfrm>
                    <a:prstGeom prst="rect">
                      <a:avLst/>
                    </a:prstGeom>
                    <a:noFill/>
                  </pic:spPr>
                </pic:pic>
              </a:graphicData>
            </a:graphic>
          </wp:anchor>
        </w:drawing>
        <w:drawing>
          <wp:anchor simplePos="0" relativeHeight="251657728" behindDoc="1" locked="0" layoutInCell="0" allowOverlap="1">
            <wp:simplePos x="0" y="0"/>
            <wp:positionH relativeFrom="column">
              <wp:posOffset>-1355090</wp:posOffset>
            </wp:positionH>
            <wp:positionV relativeFrom="paragraph">
              <wp:posOffset>-768350</wp:posOffset>
            </wp:positionV>
            <wp:extent cx="6951980" cy="1168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51980" cy="116840"/>
                    </a:xfrm>
                    <a:prstGeom prst="rect">
                      <a:avLst/>
                    </a:prstGeom>
                    <a:noFill/>
                  </pic:spPr>
                </pic:pic>
              </a:graphicData>
            </a:graphic>
          </wp:anchor>
        </w:drawing>
        <w:drawing>
          <wp:anchor simplePos="0" relativeHeight="251657728" behindDoc="1" locked="0" layoutInCell="0" allowOverlap="1">
            <wp:simplePos x="0" y="0"/>
            <wp:positionH relativeFrom="column">
              <wp:posOffset>-1355090</wp:posOffset>
            </wp:positionH>
            <wp:positionV relativeFrom="paragraph">
              <wp:posOffset>-534035</wp:posOffset>
            </wp:positionV>
            <wp:extent cx="6951980" cy="2006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51980" cy="200660"/>
                    </a:xfrm>
                    <a:prstGeom prst="rect">
                      <a:avLst/>
                    </a:prstGeom>
                    <a:noFill/>
                  </pic:spPr>
                </pic:pic>
              </a:graphicData>
            </a:graphic>
          </wp:anchor>
        </w:drawing>
        <w:drawing>
          <wp:anchor simplePos="0" relativeHeight="251657728" behindDoc="1" locked="0" layoutInCell="0" allowOverlap="1">
            <wp:simplePos x="0" y="0"/>
            <wp:positionH relativeFrom="column">
              <wp:posOffset>-1355090</wp:posOffset>
            </wp:positionH>
            <wp:positionV relativeFrom="paragraph">
              <wp:posOffset>-216535</wp:posOffset>
            </wp:positionV>
            <wp:extent cx="6951980" cy="2006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51980" cy="200660"/>
                    </a:xfrm>
                    <a:prstGeom prst="rect">
                      <a:avLst/>
                    </a:prstGeom>
                    <a:noFill/>
                  </pic:spPr>
                </pic:pic>
              </a:graphicData>
            </a:graphic>
          </wp:anchor>
        </w:drawing>
      </w:r>
    </w:p>
    <w:p>
      <w:pPr>
        <w:spacing w:after="0" w:line="167" w:lineRule="exact"/>
        <w:rPr>
          <w:sz w:val="20"/>
          <w:szCs w:val="20"/>
          <w:color w:val="auto"/>
        </w:rPr>
      </w:pPr>
    </w:p>
    <w:p>
      <w:pPr>
        <w:sectPr>
          <w:pgSz w:w="11900" w:h="16838" w:orient="portrait"/>
          <w:cols w:equalWidth="0" w:num="2">
            <w:col w:w="2000" w:space="140"/>
            <w:col w:w="8820"/>
          </w:cols>
          <w:pgMar w:left="320" w:top="127" w:right="619" w:bottom="1440" w:gutter="0" w:footer="0" w:header="0"/>
          <w:type w:val="continuous"/>
        </w:sectPr>
      </w:pPr>
    </w:p>
    <w:tbl>
      <w:tblPr>
        <w:tblLayout w:type="fixed"/>
        <w:tblInd w:w="0" w:type="dxa"/>
        <w:tblCellMar>
          <w:top w:w="0" w:type="dxa"/>
          <w:left w:w="0" w:type="dxa"/>
          <w:bottom w:w="0" w:type="dxa"/>
          <w:right w:w="0" w:type="dxa"/>
        </w:tblCellMar>
      </w:tblPr>
      <w:tr>
        <w:trPr>
          <w:trHeight w:val="175"/>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Future policy benefits (FSRC)</w:t>
            </w:r>
          </w:p>
        </w:tc>
        <w:tc>
          <w:tcPr>
            <w:tcW w:w="30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250"/>
              <w:spacing w:after="0"/>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29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29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2"/>
        </w:trPr>
        <w:tc>
          <w:tcPr>
            <w:tcW w:w="2140" w:type="dxa"/>
            <w:vAlign w:val="bottom"/>
          </w:tcPr>
          <w:p>
            <w:pPr>
              <w:ind w:left="20"/>
              <w:spacing w:after="0" w:line="132" w:lineRule="exact"/>
              <w:rPr>
                <w:sz w:val="20"/>
                <w:szCs w:val="20"/>
                <w:color w:val="auto"/>
              </w:rPr>
            </w:pPr>
            <w:r>
              <w:rPr>
                <w:rFonts w:ascii="Arial" w:cs="Arial" w:eastAsia="Arial" w:hAnsi="Arial"/>
                <w:sz w:val="14"/>
                <w:szCs w:val="14"/>
                <w:color w:val="auto"/>
                <w:w w:val="94"/>
              </w:rPr>
              <w:t>FIA embedded derivatives, included</w:t>
            </w:r>
          </w:p>
        </w:tc>
        <w:tc>
          <w:tcPr>
            <w:tcW w:w="30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3,293</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466</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vMerge w:val="restart"/>
          </w:tcPr>
          <w:p>
            <w:pPr>
              <w:ind w:left="28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vMerge w:val="restart"/>
          </w:tcPr>
          <w:p>
            <w:pPr>
              <w:ind w:left="30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vMerge w:val="restart"/>
          </w:tcPr>
          <w:p>
            <w:pPr>
              <w:ind w:left="38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vMerge w:val="restart"/>
          </w:tcPr>
          <w:p>
            <w:pPr>
              <w:ind w:left="26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3,759</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vMerge w:val="restart"/>
          </w:tcPr>
          <w:p>
            <w:pPr>
              <w:ind w:left="3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contractholder funds</w:t>
            </w:r>
          </w:p>
        </w:tc>
        <w:tc>
          <w:tcPr>
            <w:tcW w:w="3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140" w:type="dxa"/>
            <w:vAlign w:val="bottom"/>
            <w:shd w:val="clear" w:color="auto" w:fill="CCEEFF"/>
          </w:tcPr>
          <w:p>
            <w:pPr>
              <w:ind w:left="340"/>
              <w:spacing w:after="0" w:line="114" w:lineRule="exact"/>
              <w:rPr>
                <w:sz w:val="20"/>
                <w:szCs w:val="20"/>
                <w:color w:val="auto"/>
              </w:rPr>
            </w:pPr>
            <w:r>
              <w:rPr>
                <w:rFonts w:ascii="Arial" w:cs="Arial" w:eastAsia="Arial" w:hAnsi="Arial"/>
                <w:sz w:val="13"/>
                <w:szCs w:val="13"/>
                <w:b w:val="1"/>
                <w:bCs w:val="1"/>
                <w:color w:val="auto"/>
              </w:rPr>
              <w:t>Total liabilities at Level 3 fair</w:t>
            </w:r>
          </w:p>
        </w:tc>
        <w:tc>
          <w:tcPr>
            <w:tcW w:w="300" w:type="dxa"/>
            <w:vAlign w:val="bottom"/>
            <w:vMerge w:val="restart"/>
            <w:shd w:val="clear" w:color="auto" w:fill="CCEEFF"/>
          </w:tcPr>
          <w:p>
            <w:pPr>
              <w:jc w:val="right"/>
              <w:ind w:right="150"/>
              <w:spacing w:after="0"/>
              <w:rPr>
                <w:sz w:val="20"/>
                <w:szCs w:val="20"/>
                <w:color w:val="auto"/>
              </w:rPr>
            </w:pPr>
            <w:r>
              <w:rPr>
                <w:rFonts w:ascii="Arial" w:cs="Arial" w:eastAsia="Arial" w:hAnsi="Arial"/>
                <w:sz w:val="14"/>
                <w:szCs w:val="14"/>
                <w:color w:val="auto"/>
                <w:w w:val="76"/>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3,297</w:t>
            </w:r>
          </w:p>
        </w:tc>
        <w:tc>
          <w:tcPr>
            <w:tcW w:w="120" w:type="dxa"/>
            <w:vAlign w:val="bottom"/>
            <w:shd w:val="clear" w:color="auto" w:fill="CCEEFF"/>
          </w:tcPr>
          <w:p>
            <w:pPr>
              <w:spacing w:after="0"/>
              <w:rPr>
                <w:sz w:val="9"/>
                <w:szCs w:val="9"/>
                <w:color w:val="auto"/>
              </w:rPr>
            </w:pPr>
          </w:p>
        </w:tc>
        <w:tc>
          <w:tcPr>
            <w:tcW w:w="320" w:type="dxa"/>
            <w:vAlign w:val="bottom"/>
            <w:vMerge w:val="restart"/>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466</w:t>
            </w:r>
          </w:p>
        </w:tc>
        <w:tc>
          <w:tcPr>
            <w:tcW w:w="100" w:type="dxa"/>
            <w:vAlign w:val="bottom"/>
            <w:shd w:val="clear" w:color="auto" w:fill="CCEEFF"/>
          </w:tcPr>
          <w:p>
            <w:pPr>
              <w:spacing w:after="0"/>
              <w:rPr>
                <w:sz w:val="9"/>
                <w:szCs w:val="9"/>
                <w:color w:val="auto"/>
              </w:rPr>
            </w:pPr>
          </w:p>
        </w:tc>
        <w:tc>
          <w:tcPr>
            <w:tcW w:w="360" w:type="dxa"/>
            <w:vAlign w:val="bottom"/>
            <w:vMerge w:val="restart"/>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580" w:type="dxa"/>
            <w:vAlign w:val="bottom"/>
            <w:gridSpan w:val="2"/>
            <w:vMerge w:val="restart"/>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400" w:type="dxa"/>
            <w:vAlign w:val="bottom"/>
            <w:vMerge w:val="restart"/>
            <w:shd w:val="clear" w:color="auto" w:fill="CCEEFF"/>
          </w:tcPr>
          <w:p>
            <w:pPr>
              <w:jc w:val="right"/>
              <w:ind w:right="250"/>
              <w:spacing w:after="0"/>
              <w:rPr>
                <w:sz w:val="20"/>
                <w:szCs w:val="20"/>
                <w:color w:val="auto"/>
              </w:rPr>
            </w:pPr>
            <w:r>
              <w:rPr>
                <w:rFonts w:ascii="Arial" w:cs="Arial" w:eastAsia="Arial" w:hAnsi="Arial"/>
                <w:sz w:val="14"/>
                <w:szCs w:val="14"/>
                <w:color w:val="auto"/>
                <w:w w:val="76"/>
              </w:rPr>
              <w:t>$</w:t>
            </w:r>
          </w:p>
        </w:tc>
        <w:tc>
          <w:tcPr>
            <w:tcW w:w="620" w:type="dxa"/>
            <w:vAlign w:val="bottom"/>
            <w:gridSpan w:val="2"/>
            <w:vMerge w:val="restart"/>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320" w:type="dxa"/>
            <w:vAlign w:val="bottom"/>
            <w:vMerge w:val="restart"/>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9"/>
                <w:szCs w:val="9"/>
                <w:color w:val="auto"/>
              </w:rPr>
            </w:pPr>
          </w:p>
        </w:tc>
        <w:tc>
          <w:tcPr>
            <w:tcW w:w="460" w:type="dxa"/>
            <w:vAlign w:val="bottom"/>
            <w:vMerge w:val="restart"/>
            <w:shd w:val="clear" w:color="auto" w:fill="CCEEFF"/>
          </w:tcPr>
          <w:p>
            <w:pPr>
              <w:jc w:val="right"/>
              <w:ind w:right="29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360" w:type="dxa"/>
            <w:vAlign w:val="bottom"/>
            <w:vMerge w:val="restart"/>
            <w:shd w:val="clear" w:color="auto" w:fill="CCEEFF"/>
          </w:tcPr>
          <w:p>
            <w:pPr>
              <w:jc w:val="right"/>
              <w:ind w:right="210"/>
              <w:spacing w:after="0"/>
              <w:rPr>
                <w:sz w:val="20"/>
                <w:szCs w:val="20"/>
                <w:color w:val="auto"/>
              </w:rPr>
            </w:pPr>
            <w:r>
              <w:rPr>
                <w:rFonts w:ascii="Arial" w:cs="Arial" w:eastAsia="Arial" w:hAnsi="Arial"/>
                <w:sz w:val="14"/>
                <w:szCs w:val="14"/>
                <w:color w:val="auto"/>
                <w:w w:val="76"/>
              </w:rPr>
              <w:t>$</w:t>
            </w:r>
          </w:p>
        </w:tc>
        <w:tc>
          <w:tcPr>
            <w:tcW w:w="580" w:type="dxa"/>
            <w:vAlign w:val="bottom"/>
            <w:gridSpan w:val="2"/>
            <w:vMerge w:val="restart"/>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260" w:type="dxa"/>
            <w:vAlign w:val="bottom"/>
            <w:vMerge w:val="restart"/>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3,759</w:t>
            </w:r>
          </w:p>
        </w:tc>
        <w:tc>
          <w:tcPr>
            <w:tcW w:w="100" w:type="dxa"/>
            <w:vAlign w:val="bottom"/>
            <w:shd w:val="clear" w:color="auto" w:fill="CCEEFF"/>
          </w:tcPr>
          <w:p>
            <w:pPr>
              <w:spacing w:after="0"/>
              <w:rPr>
                <w:sz w:val="9"/>
                <w:szCs w:val="9"/>
                <w:color w:val="auto"/>
              </w:rPr>
            </w:pPr>
          </w:p>
        </w:tc>
        <w:tc>
          <w:tcPr>
            <w:tcW w:w="460" w:type="dxa"/>
            <w:vAlign w:val="bottom"/>
            <w:vMerge w:val="restart"/>
            <w:shd w:val="clear" w:color="auto" w:fill="CCEEFF"/>
          </w:tcPr>
          <w:p>
            <w:pPr>
              <w:jc w:val="right"/>
              <w:ind w:right="290"/>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8"/>
        </w:trPr>
        <w:tc>
          <w:tcPr>
            <w:tcW w:w="2140" w:type="dxa"/>
            <w:vAlign w:val="bottom"/>
            <w:shd w:val="clear" w:color="auto" w:fill="CCEEFF"/>
          </w:tcPr>
          <w:p>
            <w:pPr>
              <w:ind w:left="340"/>
              <w:spacing w:after="0" w:line="158" w:lineRule="exact"/>
              <w:rPr>
                <w:sz w:val="20"/>
                <w:szCs w:val="20"/>
                <w:color w:val="auto"/>
              </w:rPr>
            </w:pPr>
            <w:r>
              <w:rPr>
                <w:rFonts w:ascii="Arial" w:cs="Arial" w:eastAsia="Arial" w:hAnsi="Arial"/>
                <w:sz w:val="14"/>
                <w:szCs w:val="14"/>
                <w:b w:val="1"/>
                <w:bCs w:val="1"/>
                <w:color w:val="auto"/>
              </w:rPr>
              <w:t>value</w:t>
            </w:r>
          </w:p>
        </w:tc>
        <w:tc>
          <w:tcPr>
            <w:tcW w:w="300" w:type="dxa"/>
            <w:vAlign w:val="bottom"/>
            <w:vMerge w:val="continue"/>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vMerge w:val="continue"/>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vMerge w:val="continue"/>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400" w:type="dxa"/>
            <w:vAlign w:val="bottom"/>
            <w:vMerge w:val="continue"/>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320" w:type="dxa"/>
            <w:vAlign w:val="bottom"/>
            <w:vMerge w:val="continue"/>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360" w:type="dxa"/>
            <w:vAlign w:val="bottom"/>
            <w:vMerge w:val="continue"/>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260" w:type="dxa"/>
            <w:vAlign w:val="bottom"/>
            <w:vMerge w:val="continue"/>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960"/>
          </w:cols>
          <w:pgMar w:left="320" w:top="127" w:right="61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left="1140"/>
        <w:spacing w:after="0"/>
        <w:rPr>
          <w:sz w:val="20"/>
          <w:szCs w:val="20"/>
          <w:color w:val="auto"/>
        </w:rPr>
      </w:pPr>
      <w:r>
        <w:rPr>
          <w:rFonts w:ascii="Arial" w:cs="Arial" w:eastAsia="Arial" w:hAnsi="Arial"/>
          <w:sz w:val="14"/>
          <w:szCs w:val="14"/>
          <w:b w:val="1"/>
          <w:bCs w:val="1"/>
          <w:color w:val="auto"/>
        </w:rPr>
        <w:t>Six months ended June 30, 2022</w:t>
      </w:r>
    </w:p>
    <w:p>
      <w:pPr>
        <w:spacing w:after="0" w:line="23" w:lineRule="exact"/>
        <w:rPr>
          <w:sz w:val="20"/>
          <w:szCs w:val="20"/>
          <w:color w:val="auto"/>
        </w:rPr>
      </w:pPr>
    </w:p>
    <w:p>
      <w:pPr>
        <w:jc w:val="center"/>
        <w:ind w:left="114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1507490</wp:posOffset>
            </wp:positionH>
            <wp:positionV relativeFrom="paragraph">
              <wp:posOffset>20955</wp:posOffset>
            </wp:positionV>
            <wp:extent cx="54476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447665" cy="8255"/>
                    </a:xfrm>
                    <a:prstGeom prst="rect">
                      <a:avLst/>
                    </a:prstGeom>
                    <a:noFill/>
                  </pic:spPr>
                </pic:pic>
              </a:graphicData>
            </a:graphic>
          </wp:anchor>
        </w:drawing>
      </w:r>
    </w:p>
    <w:p>
      <w:pPr>
        <w:spacing w:after="0" w:line="30" w:lineRule="exact"/>
        <w:rPr>
          <w:sz w:val="20"/>
          <w:szCs w:val="20"/>
          <w:color w:val="auto"/>
        </w:rPr>
      </w:pPr>
    </w:p>
    <w:p>
      <w:pPr>
        <w:ind w:left="3700"/>
        <w:spacing w:after="0"/>
        <w:rPr>
          <w:sz w:val="20"/>
          <w:szCs w:val="20"/>
          <w:color w:val="auto"/>
        </w:rPr>
      </w:pPr>
      <w:r>
        <w:rPr>
          <w:rFonts w:ascii="Arial" w:cs="Arial" w:eastAsia="Arial" w:hAnsi="Arial"/>
          <w:sz w:val="14"/>
          <w:szCs w:val="14"/>
          <w:b w:val="1"/>
          <w:bCs w:val="1"/>
          <w:color w:val="auto"/>
        </w:rPr>
        <w:t>Total Gains (Losses)</w:t>
      </w:r>
    </w:p>
    <w:p>
      <w:pPr>
        <w:spacing w:after="0" w:line="171" w:lineRule="exact"/>
        <w:rPr>
          <w:sz w:val="20"/>
          <w:szCs w:val="20"/>
          <w:color w:val="auto"/>
        </w:rPr>
      </w:pPr>
    </w:p>
    <w:tbl>
      <w:tblPr>
        <w:tblLayout w:type="fixed"/>
        <w:tblInd w:w="300" w:type="dxa"/>
        <w:tblCellMar>
          <w:top w:w="0" w:type="dxa"/>
          <w:left w:w="0" w:type="dxa"/>
          <w:bottom w:w="0" w:type="dxa"/>
          <w:right w:w="0" w:type="dxa"/>
        </w:tblCellMar>
      </w:tblPr>
      <w:tr>
        <w:trPr>
          <w:trHeight w:val="138"/>
        </w:trPr>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8"/>
              </w:rPr>
              <w:t>Balance at</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1"/>
              </w:rPr>
              <w:t>Net transfer</w:t>
            </w:r>
          </w:p>
        </w:tc>
        <w:tc>
          <w:tcPr>
            <w:tcW w:w="80" w:type="dxa"/>
            <w:vAlign w:val="bottom"/>
          </w:tcPr>
          <w:p>
            <w:pPr>
              <w:spacing w:after="0"/>
              <w:rPr>
                <w:sz w:val="12"/>
                <w:szCs w:val="12"/>
                <w:color w:val="auto"/>
              </w:rPr>
            </w:pPr>
          </w:p>
        </w:tc>
        <w:tc>
          <w:tcPr>
            <w:tcW w:w="8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Balance at</w:t>
            </w:r>
          </w:p>
        </w:tc>
        <w:tc>
          <w:tcPr>
            <w:tcW w:w="100" w:type="dxa"/>
            <w:vAlign w:val="bottom"/>
          </w:tcPr>
          <w:p>
            <w:pPr>
              <w:spacing w:after="0"/>
              <w:rPr>
                <w:sz w:val="12"/>
                <w:szCs w:val="12"/>
                <w:color w:val="auto"/>
              </w:rPr>
            </w:pPr>
          </w:p>
        </w:tc>
        <w:tc>
          <w:tcPr>
            <w:tcW w:w="740" w:type="dxa"/>
            <w:vAlign w:val="bottom"/>
          </w:tcPr>
          <w:p>
            <w:pPr>
              <w:jc w:val="center"/>
              <w:ind w:right="52"/>
              <w:spacing w:after="0"/>
              <w:rPr>
                <w:sz w:val="20"/>
                <w:szCs w:val="20"/>
                <w:color w:val="auto"/>
              </w:rPr>
            </w:pPr>
            <w:r>
              <w:rPr>
                <w:rFonts w:ascii="Arial" w:cs="Arial" w:eastAsia="Arial" w:hAnsi="Arial"/>
                <w:sz w:val="12"/>
                <w:szCs w:val="12"/>
                <w:b w:val="1"/>
                <w:bCs w:val="1"/>
                <w:color w:val="auto"/>
                <w:w w:val="93"/>
              </w:rPr>
              <w:t>Change in</w:t>
            </w:r>
          </w:p>
        </w:tc>
        <w:tc>
          <w:tcPr>
            <w:tcW w:w="0" w:type="dxa"/>
            <w:vAlign w:val="bottom"/>
          </w:tcPr>
          <w:p>
            <w:pPr>
              <w:spacing w:after="0"/>
              <w:rPr>
                <w:sz w:val="1"/>
                <w:szCs w:val="1"/>
                <w:color w:val="auto"/>
              </w:rPr>
            </w:pPr>
          </w:p>
        </w:tc>
      </w:tr>
      <w:tr>
        <w:trPr>
          <w:trHeight w:val="118"/>
        </w:trPr>
        <w:tc>
          <w:tcPr>
            <w:tcW w:w="2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9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1"/>
              </w:rPr>
              <w:t>Included in</w:t>
            </w:r>
          </w:p>
        </w:tc>
        <w:tc>
          <w:tcPr>
            <w:tcW w:w="92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7"/>
              </w:rPr>
              <w:t>Included in</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center"/>
              <w:ind w:right="52"/>
              <w:spacing w:after="0" w:line="118" w:lineRule="exact"/>
              <w:rPr>
                <w:sz w:val="20"/>
                <w:szCs w:val="20"/>
                <w:color w:val="auto"/>
              </w:rPr>
            </w:pPr>
            <w:r>
              <w:rPr>
                <w:rFonts w:ascii="Arial" w:cs="Arial" w:eastAsia="Arial" w:hAnsi="Arial"/>
                <w:sz w:val="12"/>
                <w:szCs w:val="12"/>
                <w:b w:val="1"/>
                <w:bCs w:val="1"/>
                <w:color w:val="auto"/>
                <w:w w:val="95"/>
              </w:rPr>
              <w:t>Unrealized</w:t>
            </w:r>
          </w:p>
        </w:tc>
        <w:tc>
          <w:tcPr>
            <w:tcW w:w="0" w:type="dxa"/>
            <w:vAlign w:val="bottom"/>
          </w:tcPr>
          <w:p>
            <w:pPr>
              <w:spacing w:after="0"/>
              <w:rPr>
                <w:sz w:val="1"/>
                <w:szCs w:val="1"/>
                <w:color w:val="auto"/>
              </w:rPr>
            </w:pPr>
          </w:p>
        </w:tc>
      </w:tr>
      <w:tr>
        <w:trPr>
          <w:trHeight w:val="118"/>
        </w:trPr>
        <w:tc>
          <w:tcPr>
            <w:tcW w:w="2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7"/>
              </w:rPr>
              <w:t>Beginning</w:t>
            </w:r>
          </w:p>
        </w:tc>
        <w:tc>
          <w:tcPr>
            <w:tcW w:w="920" w:type="dxa"/>
            <w:vAlign w:val="bottom"/>
            <w:gridSpan w:val="3"/>
            <w:vMerge w:val="continue"/>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Purchases</w:t>
            </w:r>
          </w:p>
        </w:tc>
        <w:tc>
          <w:tcPr>
            <w:tcW w:w="16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Sales</w:t>
            </w:r>
          </w:p>
        </w:tc>
        <w:tc>
          <w:tcPr>
            <w:tcW w:w="120" w:type="dxa"/>
            <w:vAlign w:val="bottom"/>
          </w:tcPr>
          <w:p>
            <w:pPr>
              <w:spacing w:after="0"/>
              <w:rPr>
                <w:sz w:val="10"/>
                <w:szCs w:val="10"/>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Settlements</w:t>
            </w:r>
          </w:p>
        </w:tc>
        <w:tc>
          <w:tcPr>
            <w:tcW w:w="920" w:type="dxa"/>
            <w:vAlign w:val="bottom"/>
            <w:gridSpan w:val="3"/>
          </w:tcPr>
          <w:p>
            <w:pPr>
              <w:jc w:val="center"/>
              <w:ind w:right="120"/>
              <w:spacing w:after="0" w:line="119" w:lineRule="exact"/>
              <w:rPr>
                <w:sz w:val="20"/>
                <w:szCs w:val="20"/>
                <w:color w:val="auto"/>
              </w:rPr>
            </w:pPr>
            <w:r>
              <w:rPr>
                <w:rFonts w:ascii="Arial" w:cs="Arial" w:eastAsia="Arial" w:hAnsi="Arial"/>
                <w:sz w:val="13"/>
                <w:szCs w:val="13"/>
                <w:b w:val="1"/>
                <w:bCs w:val="1"/>
                <w:color w:val="auto"/>
              </w:rPr>
              <w:t>In (Out) of</w:t>
            </w:r>
          </w:p>
        </w:tc>
        <w:tc>
          <w:tcPr>
            <w:tcW w:w="80" w:type="dxa"/>
            <w:vAlign w:val="bottom"/>
          </w:tcPr>
          <w:p>
            <w:pPr>
              <w:spacing w:after="0"/>
              <w:rPr>
                <w:sz w:val="10"/>
                <w:szCs w:val="10"/>
                <w:color w:val="auto"/>
              </w:rPr>
            </w:pPr>
          </w:p>
        </w:tc>
        <w:tc>
          <w:tcPr>
            <w:tcW w:w="82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98"/>
              </w:rPr>
              <w:t>End of</w:t>
            </w:r>
          </w:p>
        </w:tc>
        <w:tc>
          <w:tcPr>
            <w:tcW w:w="100" w:type="dxa"/>
            <w:vAlign w:val="bottom"/>
          </w:tcPr>
          <w:p>
            <w:pPr>
              <w:spacing w:after="0"/>
              <w:rPr>
                <w:sz w:val="10"/>
                <w:szCs w:val="10"/>
                <w:color w:val="auto"/>
              </w:rPr>
            </w:pPr>
          </w:p>
        </w:tc>
        <w:tc>
          <w:tcPr>
            <w:tcW w:w="740" w:type="dxa"/>
            <w:vAlign w:val="bottom"/>
          </w:tcPr>
          <w:p>
            <w:pPr>
              <w:jc w:val="center"/>
              <w:ind w:right="32"/>
              <w:spacing w:after="0" w:line="118" w:lineRule="exact"/>
              <w:rPr>
                <w:sz w:val="20"/>
                <w:szCs w:val="20"/>
                <w:color w:val="auto"/>
              </w:rPr>
            </w:pPr>
            <w:r>
              <w:rPr>
                <w:rFonts w:ascii="Arial" w:cs="Arial" w:eastAsia="Arial" w:hAnsi="Arial"/>
                <w:sz w:val="12"/>
                <w:szCs w:val="12"/>
                <w:b w:val="1"/>
                <w:bCs w:val="1"/>
                <w:color w:val="auto"/>
                <w:w w:val="94"/>
              </w:rPr>
              <w:t>Included in</w:t>
            </w:r>
          </w:p>
        </w:tc>
        <w:tc>
          <w:tcPr>
            <w:tcW w:w="0" w:type="dxa"/>
            <w:vAlign w:val="bottom"/>
          </w:tcPr>
          <w:p>
            <w:pPr>
              <w:spacing w:after="0"/>
              <w:rPr>
                <w:sz w:val="1"/>
                <w:szCs w:val="1"/>
                <w:color w:val="auto"/>
              </w:rPr>
            </w:pPr>
          </w:p>
        </w:tc>
      </w:tr>
      <w:tr>
        <w:trPr>
          <w:trHeight w:val="171"/>
        </w:trPr>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of Period</w:t>
            </w:r>
          </w:p>
        </w:tc>
        <w:tc>
          <w:tcPr>
            <w:tcW w:w="10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Earnings</w:t>
            </w:r>
          </w:p>
        </w:tc>
        <w:tc>
          <w:tcPr>
            <w:tcW w:w="14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AOCI</w:t>
            </w: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Level 3 (a)</w:t>
            </w:r>
          </w:p>
        </w:tc>
        <w:tc>
          <w:tcPr>
            <w:tcW w:w="8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Period</w:t>
            </w:r>
          </w:p>
        </w:tc>
        <w:tc>
          <w:tcPr>
            <w:tcW w:w="100" w:type="dxa"/>
            <w:vAlign w:val="bottom"/>
          </w:tcPr>
          <w:p>
            <w:pPr>
              <w:spacing w:after="0"/>
              <w:rPr>
                <w:sz w:val="14"/>
                <w:szCs w:val="14"/>
                <w:color w:val="auto"/>
              </w:rPr>
            </w:pPr>
          </w:p>
        </w:tc>
        <w:tc>
          <w:tcPr>
            <w:tcW w:w="740" w:type="dxa"/>
            <w:vAlign w:val="bottom"/>
          </w:tcPr>
          <w:p>
            <w:pPr>
              <w:jc w:val="center"/>
              <w:ind w:right="52"/>
              <w:spacing w:after="0"/>
              <w:rPr>
                <w:sz w:val="20"/>
                <w:szCs w:val="20"/>
                <w:color w:val="auto"/>
              </w:rPr>
            </w:pPr>
            <w:r>
              <w:rPr>
                <w:rFonts w:ascii="Arial" w:cs="Arial" w:eastAsia="Arial" w:hAnsi="Arial"/>
                <w:sz w:val="12"/>
                <w:szCs w:val="12"/>
                <w:b w:val="1"/>
                <w:bCs w:val="1"/>
                <w:color w:val="auto"/>
              </w:rPr>
              <w:t>OCI</w:t>
            </w:r>
          </w:p>
        </w:tc>
        <w:tc>
          <w:tcPr>
            <w:tcW w:w="0" w:type="dxa"/>
            <w:vAlign w:val="bottom"/>
          </w:tcPr>
          <w:p>
            <w:pPr>
              <w:spacing w:after="0"/>
              <w:rPr>
                <w:sz w:val="1"/>
                <w:szCs w:val="1"/>
                <w:color w:val="auto"/>
              </w:rPr>
            </w:pPr>
          </w:p>
        </w:tc>
      </w:tr>
      <w:tr>
        <w:trPr>
          <w:trHeight w:val="164"/>
        </w:trPr>
        <w:tc>
          <w:tcPr>
            <w:tcW w:w="2080" w:type="dxa"/>
            <w:vAlign w:val="bottom"/>
          </w:tcPr>
          <w:p>
            <w:pPr>
              <w:ind w:left="20"/>
              <w:spacing w:after="0"/>
              <w:rPr>
                <w:sz w:val="20"/>
                <w:szCs w:val="20"/>
                <w:color w:val="auto"/>
              </w:rPr>
            </w:pPr>
            <w:r>
              <w:rPr>
                <w:rFonts w:ascii="Arial" w:cs="Arial" w:eastAsia="Arial" w:hAnsi="Arial"/>
                <w:sz w:val="14"/>
                <w:szCs w:val="14"/>
                <w:b w:val="1"/>
                <w:bCs w:val="1"/>
                <w:color w:val="auto"/>
              </w:rPr>
              <w:t>Assets</w:t>
            </w: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8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w w:val="94"/>
              </w:rPr>
              <w:t>Fixed maturity securities available-</w:t>
            </w: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2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for-sale:</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80" w:type="dxa"/>
            <w:vAlign w:val="bottom"/>
          </w:tcPr>
          <w:p>
            <w:pPr>
              <w:ind w:left="220"/>
              <w:spacing w:after="0"/>
              <w:rPr>
                <w:sz w:val="20"/>
                <w:szCs w:val="20"/>
                <w:color w:val="auto"/>
              </w:rPr>
            </w:pPr>
            <w:r>
              <w:rPr>
                <w:rFonts w:ascii="Arial" w:cs="Arial" w:eastAsia="Arial" w:hAnsi="Arial"/>
                <w:sz w:val="14"/>
                <w:szCs w:val="14"/>
                <w:color w:val="auto"/>
              </w:rPr>
              <w:t>Asset-backed securities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3,959</w:t>
            </w:r>
          </w:p>
        </w:tc>
        <w:tc>
          <w:tcPr>
            <w:tcW w:w="2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(272)</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1,227</w:t>
            </w:r>
          </w:p>
        </w:tc>
        <w:tc>
          <w:tcPr>
            <w:tcW w:w="120" w:type="dxa"/>
            <w:vAlign w:val="bottom"/>
          </w:tcPr>
          <w:p>
            <w:pPr>
              <w:spacing w:after="0"/>
              <w:rPr>
                <w:sz w:val="15"/>
                <w:szCs w:val="15"/>
                <w:color w:val="auto"/>
              </w:rPr>
            </w:pP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620" w:type="dxa"/>
            <w:vAlign w:val="bottom"/>
          </w:tcPr>
          <w:p>
            <w:pPr>
              <w:jc w:val="center"/>
              <w:ind w:left="230"/>
              <w:spacing w:after="0"/>
              <w:rPr>
                <w:sz w:val="20"/>
                <w:szCs w:val="20"/>
                <w:color w:val="auto"/>
              </w:rPr>
            </w:pPr>
            <w:r>
              <w:rPr>
                <w:rFonts w:ascii="Arial" w:cs="Arial" w:eastAsia="Arial" w:hAnsi="Arial"/>
                <w:sz w:val="14"/>
                <w:szCs w:val="14"/>
                <w:color w:val="auto"/>
                <w:w w:val="96"/>
              </w:rPr>
              <w:t>(39)</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(278)</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10"/>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10"/>
              <w:spacing w:after="0"/>
              <w:rPr>
                <w:sz w:val="20"/>
                <w:szCs w:val="20"/>
                <w:color w:val="auto"/>
              </w:rPr>
            </w:pPr>
            <w:r>
              <w:rPr>
                <w:rFonts w:ascii="Arial" w:cs="Arial" w:eastAsia="Arial" w:hAnsi="Arial"/>
                <w:sz w:val="14"/>
                <w:szCs w:val="14"/>
                <w:color w:val="auto"/>
              </w:rPr>
              <w:t>4,677</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(291)</w:t>
            </w:r>
          </w:p>
        </w:tc>
        <w:tc>
          <w:tcPr>
            <w:tcW w:w="0" w:type="dxa"/>
            <w:vAlign w:val="bottom"/>
          </w:tcPr>
          <w:p>
            <w:pPr>
              <w:spacing w:after="0"/>
              <w:rPr>
                <w:sz w:val="1"/>
                <w:szCs w:val="1"/>
                <w:color w:val="auto"/>
              </w:rPr>
            </w:pPr>
          </w:p>
        </w:tc>
      </w:tr>
      <w:tr>
        <w:trPr>
          <w:trHeight w:val="134"/>
        </w:trPr>
        <w:tc>
          <w:tcPr>
            <w:tcW w:w="2080" w:type="dxa"/>
            <w:vAlign w:val="bottom"/>
            <w:shd w:val="clear" w:color="auto" w:fill="CCEEFF"/>
          </w:tcPr>
          <w:p>
            <w:pPr>
              <w:ind w:left="220"/>
              <w:spacing w:after="0" w:line="135" w:lineRule="exact"/>
              <w:rPr>
                <w:sz w:val="20"/>
                <w:szCs w:val="20"/>
                <w:color w:val="auto"/>
              </w:rPr>
            </w:pPr>
            <w:r>
              <w:rPr>
                <w:rFonts w:ascii="Arial" w:cs="Arial" w:eastAsia="Arial" w:hAnsi="Arial"/>
                <w:sz w:val="14"/>
                <w:szCs w:val="14"/>
                <w:color w:val="auto"/>
                <w:w w:val="98"/>
              </w:rPr>
              <w:t>Commercial mortgage-backed</w:t>
            </w:r>
          </w:p>
        </w:tc>
        <w:tc>
          <w:tcPr>
            <w:tcW w:w="1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35</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center"/>
              <w:ind w:left="15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37</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4"/>
        </w:trPr>
        <w:tc>
          <w:tcPr>
            <w:tcW w:w="20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securities</w:t>
            </w:r>
          </w:p>
        </w:tc>
        <w:tc>
          <w:tcPr>
            <w:tcW w:w="1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80" w:type="dxa"/>
            <w:vAlign w:val="bottom"/>
          </w:tcPr>
          <w:p>
            <w:pPr>
              <w:ind w:left="220"/>
              <w:spacing w:after="0"/>
              <w:rPr>
                <w:sz w:val="20"/>
                <w:szCs w:val="20"/>
                <w:color w:val="auto"/>
              </w:rPr>
            </w:pPr>
            <w:r>
              <w:rPr>
                <w:rFonts w:ascii="Arial" w:cs="Arial" w:eastAsia="Arial" w:hAnsi="Arial"/>
                <w:sz w:val="14"/>
                <w:szCs w:val="14"/>
                <w:color w:val="auto"/>
              </w:rPr>
              <w:t>Corporates</w:t>
            </w:r>
          </w:p>
        </w:tc>
        <w:tc>
          <w:tcPr>
            <w:tcW w:w="100" w:type="dxa"/>
            <w:vAlign w:val="bottom"/>
          </w:tcPr>
          <w:p>
            <w:pPr>
              <w:spacing w:after="0"/>
              <w:rPr>
                <w:sz w:val="15"/>
                <w:szCs w:val="15"/>
                <w:color w:val="auto"/>
              </w:rPr>
            </w:pP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1,135</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386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tcPr>
          <w:p>
            <w:pPr>
              <w:jc w:val="center"/>
              <w:ind w:left="15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ind w:right="10"/>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ind w:right="10"/>
              <w:spacing w:after="0"/>
              <w:rPr>
                <w:sz w:val="20"/>
                <w:szCs w:val="20"/>
                <w:color w:val="auto"/>
              </w:rPr>
            </w:pPr>
            <w:r>
              <w:rPr>
                <w:rFonts w:ascii="Arial" w:cs="Arial" w:eastAsia="Arial" w:hAnsi="Arial"/>
                <w:sz w:val="14"/>
                <w:szCs w:val="14"/>
                <w:color w:val="auto"/>
              </w:rPr>
              <w:t>1,374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187"/>
        </w:trPr>
        <w:tc>
          <w:tcPr>
            <w:tcW w:w="20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Hybrids</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center"/>
              <w:ind w:left="15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080" w:type="dxa"/>
            <w:vAlign w:val="bottom"/>
          </w:tcPr>
          <w:p>
            <w:pPr>
              <w:ind w:left="220"/>
              <w:spacing w:after="0"/>
              <w:rPr>
                <w:sz w:val="20"/>
                <w:szCs w:val="20"/>
                <w:color w:val="auto"/>
              </w:rPr>
            </w:pPr>
            <w:r>
              <w:rPr>
                <w:rFonts w:ascii="Arial" w:cs="Arial" w:eastAsia="Arial" w:hAnsi="Arial"/>
                <w:sz w:val="14"/>
                <w:szCs w:val="14"/>
                <w:color w:val="auto"/>
              </w:rPr>
              <w:t>Municipals</w:t>
            </w:r>
          </w:p>
        </w:tc>
        <w:tc>
          <w:tcPr>
            <w:tcW w:w="100" w:type="dxa"/>
            <w:vAlign w:val="bottom"/>
          </w:tcPr>
          <w:p>
            <w:pPr>
              <w:spacing w:after="0"/>
              <w:rPr>
                <w:sz w:val="15"/>
                <w:szCs w:val="15"/>
                <w:color w:val="auto"/>
              </w:rPr>
            </w:pP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43</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20" w:type="dxa"/>
            <w:vAlign w:val="bottom"/>
            <w:gridSpan w:val="2"/>
          </w:tcPr>
          <w:p>
            <w:pPr>
              <w:jc w:val="center"/>
              <w:ind w:left="15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5"/>
                <w:szCs w:val="15"/>
                <w:color w:val="auto"/>
              </w:rPr>
            </w:pPr>
          </w:p>
        </w:tc>
        <w:tc>
          <w:tcPr>
            <w:tcW w:w="100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40" w:type="dxa"/>
            <w:vAlign w:val="bottom"/>
          </w:tcPr>
          <w:p>
            <w:pPr>
              <w:jc w:val="right"/>
              <w:ind w:right="10"/>
              <w:spacing w:after="0"/>
              <w:rPr>
                <w:sz w:val="20"/>
                <w:szCs w:val="20"/>
                <w:color w:val="auto"/>
              </w:rPr>
            </w:pPr>
            <w:r>
              <w:rPr>
                <w:rFonts w:ascii="Arial" w:cs="Arial" w:eastAsia="Arial" w:hAnsi="Arial"/>
                <w:sz w:val="14"/>
                <w:szCs w:val="14"/>
                <w:color w:val="auto"/>
              </w:rPr>
              <w:t>33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34"/>
        </w:trPr>
        <w:tc>
          <w:tcPr>
            <w:tcW w:w="2080" w:type="dxa"/>
            <w:vAlign w:val="bottom"/>
            <w:shd w:val="clear" w:color="auto" w:fill="CCEEFF"/>
          </w:tcPr>
          <w:p>
            <w:pPr>
              <w:ind w:left="220"/>
              <w:spacing w:after="0" w:line="135" w:lineRule="exact"/>
              <w:rPr>
                <w:sz w:val="20"/>
                <w:szCs w:val="20"/>
                <w:color w:val="auto"/>
              </w:rPr>
            </w:pPr>
            <w:r>
              <w:rPr>
                <w:rFonts w:ascii="Arial" w:cs="Arial" w:eastAsia="Arial" w:hAnsi="Arial"/>
                <w:sz w:val="14"/>
                <w:szCs w:val="14"/>
                <w:color w:val="auto"/>
              </w:rPr>
              <w:t>Residential mortgage-backed</w:t>
            </w:r>
          </w:p>
        </w:tc>
        <w:tc>
          <w:tcPr>
            <w:tcW w:w="10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center"/>
              <w:ind w:left="15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20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securities</w:t>
            </w:r>
          </w:p>
        </w:tc>
        <w:tc>
          <w:tcPr>
            <w:tcW w:w="10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80" w:type="dxa"/>
            <w:vAlign w:val="bottom"/>
          </w:tcPr>
          <w:p>
            <w:pPr>
              <w:ind w:left="220"/>
              <w:spacing w:after="0"/>
              <w:rPr>
                <w:sz w:val="20"/>
                <w:szCs w:val="20"/>
                <w:color w:val="auto"/>
              </w:rPr>
            </w:pPr>
            <w:r>
              <w:rPr>
                <w:rFonts w:ascii="Arial" w:cs="Arial" w:eastAsia="Arial" w:hAnsi="Arial"/>
                <w:sz w:val="14"/>
                <w:szCs w:val="14"/>
                <w:color w:val="auto"/>
              </w:rPr>
              <w:t>Foreign Governments</w:t>
            </w:r>
          </w:p>
        </w:tc>
        <w:tc>
          <w:tcPr>
            <w:tcW w:w="100" w:type="dxa"/>
            <w:vAlign w:val="bottom"/>
          </w:tcPr>
          <w:p>
            <w:pPr>
              <w:spacing w:after="0"/>
              <w:rPr>
                <w:sz w:val="15"/>
                <w:szCs w:val="15"/>
                <w:color w:val="auto"/>
              </w:rPr>
            </w:pP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18</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20" w:type="dxa"/>
            <w:vAlign w:val="bottom"/>
            <w:gridSpan w:val="2"/>
          </w:tcPr>
          <w:p>
            <w:pPr>
              <w:jc w:val="center"/>
              <w:ind w:left="15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5"/>
                <w:szCs w:val="15"/>
                <w:color w:val="auto"/>
              </w:rPr>
            </w:pPr>
          </w:p>
        </w:tc>
        <w:tc>
          <w:tcPr>
            <w:tcW w:w="100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40" w:type="dxa"/>
            <w:vAlign w:val="bottom"/>
          </w:tcPr>
          <w:p>
            <w:pPr>
              <w:jc w:val="right"/>
              <w:ind w:right="10"/>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7"/>
        </w:trPr>
        <w:tc>
          <w:tcPr>
            <w:tcW w:w="20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Short-Term</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321</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center"/>
              <w:ind w:left="15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2"/>
        </w:trPr>
        <w:tc>
          <w:tcPr>
            <w:tcW w:w="2080" w:type="dxa"/>
            <w:vAlign w:val="bottom"/>
          </w:tcPr>
          <w:p>
            <w:pPr>
              <w:ind w:left="20"/>
              <w:spacing w:after="0"/>
              <w:rPr>
                <w:sz w:val="20"/>
                <w:szCs w:val="20"/>
                <w:color w:val="auto"/>
              </w:rPr>
            </w:pPr>
            <w:r>
              <w:rPr>
                <w:rFonts w:ascii="Arial" w:cs="Arial" w:eastAsia="Arial" w:hAnsi="Arial"/>
                <w:sz w:val="14"/>
                <w:szCs w:val="14"/>
                <w:color w:val="auto"/>
              </w:rPr>
              <w:t>Preferred securities</w:t>
            </w:r>
          </w:p>
        </w:tc>
        <w:tc>
          <w:tcPr>
            <w:tcW w:w="100" w:type="dxa"/>
            <w:vAlign w:val="bottom"/>
          </w:tcPr>
          <w:p>
            <w:pPr>
              <w:spacing w:after="0"/>
              <w:rPr>
                <w:sz w:val="15"/>
                <w:szCs w:val="15"/>
                <w:color w:val="auto"/>
              </w:rPr>
            </w:pP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2</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20" w:type="dxa"/>
            <w:vAlign w:val="bottom"/>
            <w:gridSpan w:val="2"/>
          </w:tcPr>
          <w:p>
            <w:pPr>
              <w:jc w:val="center"/>
              <w:ind w:left="15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5"/>
                <w:szCs w:val="15"/>
                <w:color w:val="auto"/>
              </w:rPr>
            </w:pPr>
          </w:p>
        </w:tc>
        <w:tc>
          <w:tcPr>
            <w:tcW w:w="100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40" w:type="dxa"/>
            <w:vAlign w:val="bottom"/>
          </w:tcPr>
          <w:p>
            <w:pPr>
              <w:jc w:val="right"/>
              <w:ind w:right="10"/>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7"/>
        </w:trPr>
        <w:tc>
          <w:tcPr>
            <w:tcW w:w="2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securities</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9</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center"/>
              <w:ind w:left="15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080" w:type="dxa"/>
            <w:vAlign w:val="bottom"/>
          </w:tcPr>
          <w:p>
            <w:pPr>
              <w:ind w:left="20"/>
              <w:spacing w:after="0"/>
              <w:rPr>
                <w:sz w:val="20"/>
                <w:szCs w:val="20"/>
                <w:color w:val="auto"/>
              </w:rPr>
            </w:pPr>
            <w:r>
              <w:rPr>
                <w:rFonts w:ascii="Arial" w:cs="Arial" w:eastAsia="Arial" w:hAnsi="Arial"/>
                <w:sz w:val="14"/>
                <w:szCs w:val="14"/>
                <w:color w:val="auto"/>
              </w:rPr>
              <w:t>Other long-term investments:</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80" w:type="dxa"/>
            <w:vAlign w:val="bottom"/>
            <w:shd w:val="clear" w:color="auto" w:fill="CCEEFF"/>
          </w:tcPr>
          <w:p>
            <w:pPr>
              <w:ind w:left="220"/>
              <w:spacing w:after="0" w:line="135" w:lineRule="exact"/>
              <w:rPr>
                <w:sz w:val="20"/>
                <w:szCs w:val="20"/>
                <w:color w:val="auto"/>
              </w:rPr>
            </w:pPr>
            <w:r>
              <w:rPr>
                <w:rFonts w:ascii="Arial" w:cs="Arial" w:eastAsia="Arial" w:hAnsi="Arial"/>
                <w:sz w:val="14"/>
                <w:szCs w:val="14"/>
                <w:color w:val="auto"/>
              </w:rPr>
              <w:t>Available-for-sale embedded</w:t>
            </w:r>
          </w:p>
        </w:tc>
        <w:tc>
          <w:tcPr>
            <w:tcW w:w="1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34</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center"/>
              <w:ind w:left="15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24</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20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derivative</w:t>
            </w:r>
          </w:p>
        </w:tc>
        <w:tc>
          <w:tcPr>
            <w:tcW w:w="1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80" w:type="dxa"/>
            <w:vAlign w:val="bottom"/>
          </w:tcPr>
          <w:p>
            <w:pPr>
              <w:ind w:left="220"/>
              <w:spacing w:after="0"/>
              <w:rPr>
                <w:sz w:val="20"/>
                <w:szCs w:val="20"/>
                <w:color w:val="auto"/>
              </w:rPr>
            </w:pPr>
            <w:r>
              <w:rPr>
                <w:rFonts w:ascii="Arial" w:cs="Arial" w:eastAsia="Arial" w:hAnsi="Arial"/>
                <w:sz w:val="14"/>
                <w:szCs w:val="14"/>
                <w:color w:val="auto"/>
              </w:rPr>
              <w:t>Investment in affiliate</w:t>
            </w:r>
          </w:p>
        </w:tc>
        <w:tc>
          <w:tcPr>
            <w:tcW w:w="100" w:type="dxa"/>
            <w:vAlign w:val="bottom"/>
          </w:tcPr>
          <w:p>
            <w:pPr>
              <w:spacing w:after="0"/>
              <w:rPr>
                <w:sz w:val="15"/>
                <w:szCs w:val="15"/>
                <w:color w:val="auto"/>
              </w:rPr>
            </w:pP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21</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20" w:type="dxa"/>
            <w:vAlign w:val="bottom"/>
            <w:gridSpan w:val="2"/>
          </w:tcPr>
          <w:p>
            <w:pPr>
              <w:jc w:val="center"/>
              <w:ind w:left="15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5"/>
                <w:szCs w:val="15"/>
                <w:color w:val="auto"/>
              </w:rPr>
            </w:pPr>
          </w:p>
        </w:tc>
        <w:tc>
          <w:tcPr>
            <w:tcW w:w="100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40" w:type="dxa"/>
            <w:vAlign w:val="bottom"/>
          </w:tcPr>
          <w:p>
            <w:pPr>
              <w:jc w:val="right"/>
              <w:ind w:right="10"/>
              <w:spacing w:after="0"/>
              <w:rPr>
                <w:sz w:val="20"/>
                <w:szCs w:val="20"/>
                <w:color w:val="auto"/>
              </w:rPr>
            </w:pPr>
            <w:r>
              <w:rPr>
                <w:rFonts w:ascii="Arial" w:cs="Arial" w:eastAsia="Arial" w:hAnsi="Arial"/>
                <w:sz w:val="14"/>
                <w:szCs w:val="14"/>
                <w:color w:val="auto"/>
              </w:rPr>
              <w:t>21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20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Credit linked note</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23</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center"/>
              <w:ind w:left="15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080" w:type="dxa"/>
            <w:vAlign w:val="bottom"/>
          </w:tcPr>
          <w:p>
            <w:pPr>
              <w:ind w:left="220"/>
              <w:spacing w:after="0"/>
              <w:rPr>
                <w:sz w:val="20"/>
                <w:szCs w:val="20"/>
                <w:color w:val="auto"/>
              </w:rPr>
            </w:pPr>
            <w:r>
              <w:rPr>
                <w:rFonts w:ascii="Arial" w:cs="Arial" w:eastAsia="Arial" w:hAnsi="Arial"/>
                <w:sz w:val="14"/>
                <w:szCs w:val="14"/>
                <w:color w:val="auto"/>
                <w:w w:val="99"/>
              </w:rPr>
              <w:t>Secured borrowing receivable</w:t>
            </w:r>
          </w:p>
        </w:tc>
        <w:tc>
          <w:tcPr>
            <w:tcW w:w="100" w:type="dxa"/>
            <w:vAlign w:val="bottom"/>
          </w:tcPr>
          <w:p>
            <w:pPr>
              <w:spacing w:after="0"/>
              <w:rPr>
                <w:sz w:val="15"/>
                <w:szCs w:val="15"/>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20" w:type="dxa"/>
            <w:vAlign w:val="bottom"/>
            <w:gridSpan w:val="2"/>
          </w:tcPr>
          <w:p>
            <w:pPr>
              <w:jc w:val="center"/>
              <w:ind w:left="15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5"/>
                <w:szCs w:val="15"/>
                <w:color w:val="auto"/>
              </w:rPr>
            </w:pPr>
          </w:p>
        </w:tc>
        <w:tc>
          <w:tcPr>
            <w:tcW w:w="100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40" w:type="dxa"/>
            <w:vAlign w:val="bottom"/>
          </w:tcPr>
          <w:p>
            <w:pPr>
              <w:jc w:val="right"/>
              <w:ind w:right="10"/>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ind w:right="10"/>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4"/>
        </w:trPr>
        <w:tc>
          <w:tcPr>
            <w:tcW w:w="2080" w:type="dxa"/>
            <w:vAlign w:val="bottom"/>
            <w:tcBorders>
              <w:top w:val="single" w:sz="8" w:color="CCEEFF"/>
            </w:tcBorders>
            <w:shd w:val="clear" w:color="auto" w:fill="CCEEFF"/>
          </w:tcPr>
          <w:p>
            <w:pPr>
              <w:ind w:left="340"/>
              <w:spacing w:after="0" w:line="114" w:lineRule="exact"/>
              <w:rPr>
                <w:sz w:val="20"/>
                <w:szCs w:val="20"/>
                <w:color w:val="auto"/>
              </w:rPr>
            </w:pPr>
            <w:r>
              <w:rPr>
                <w:rFonts w:ascii="Arial" w:cs="Arial" w:eastAsia="Arial" w:hAnsi="Arial"/>
                <w:sz w:val="13"/>
                <w:szCs w:val="13"/>
                <w:b w:val="1"/>
                <w:bCs w:val="1"/>
                <w:color w:val="auto"/>
              </w:rPr>
              <w:t>Total assets at Level 3 fair</w:t>
            </w: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5,600</w:t>
            </w:r>
          </w:p>
        </w:tc>
        <w:tc>
          <w:tcPr>
            <w:tcW w:w="2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(431)</w:t>
            </w: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1,643</w:t>
            </w:r>
          </w:p>
        </w:tc>
        <w:tc>
          <w:tcPr>
            <w:tcW w:w="1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vMerge w:val="restart"/>
            <w:shd w:val="clear" w:color="auto" w:fill="CCEEFF"/>
          </w:tcPr>
          <w:p>
            <w:pPr>
              <w:jc w:val="center"/>
              <w:ind w:left="230"/>
              <w:spacing w:after="0"/>
              <w:rPr>
                <w:sz w:val="20"/>
                <w:szCs w:val="20"/>
                <w:color w:val="auto"/>
              </w:rPr>
            </w:pPr>
            <w:r>
              <w:rPr>
                <w:rFonts w:ascii="Arial" w:cs="Arial" w:eastAsia="Arial" w:hAnsi="Arial"/>
                <w:sz w:val="14"/>
                <w:szCs w:val="14"/>
                <w:color w:val="auto"/>
                <w:w w:val="96"/>
              </w:rPr>
              <w:t>(39)</w:t>
            </w: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(313)</w:t>
            </w: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(222)</w:t>
            </w:r>
          </w:p>
        </w:tc>
        <w:tc>
          <w:tcPr>
            <w:tcW w:w="1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6,229</w:t>
            </w: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(441)</w:t>
            </w:r>
          </w:p>
        </w:tc>
        <w:tc>
          <w:tcPr>
            <w:tcW w:w="0" w:type="dxa"/>
            <w:vAlign w:val="bottom"/>
          </w:tcPr>
          <w:p>
            <w:pPr>
              <w:spacing w:after="0"/>
              <w:rPr>
                <w:sz w:val="1"/>
                <w:szCs w:val="1"/>
                <w:color w:val="auto"/>
              </w:rPr>
            </w:pPr>
          </w:p>
        </w:tc>
      </w:tr>
      <w:tr>
        <w:trPr>
          <w:trHeight w:val="178"/>
        </w:trPr>
        <w:tc>
          <w:tcPr>
            <w:tcW w:w="2080" w:type="dxa"/>
            <w:vAlign w:val="bottom"/>
            <w:tcBorders>
              <w:bottom w:val="single" w:sz="8" w:color="CCEEFF"/>
            </w:tcBorders>
            <w:shd w:val="clear" w:color="auto" w:fill="CCEEFF"/>
          </w:tcPr>
          <w:p>
            <w:pPr>
              <w:ind w:left="340"/>
              <w:spacing w:after="0" w:line="158" w:lineRule="exact"/>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8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vMerge w:val="continue"/>
            <w:shd w:val="clear" w:color="auto" w:fill="CCEEFF"/>
          </w:tcPr>
          <w:p>
            <w:pPr>
              <w:spacing w:after="0"/>
              <w:rPr>
                <w:sz w:val="15"/>
                <w:szCs w:val="15"/>
                <w:color w:val="auto"/>
              </w:rPr>
            </w:pPr>
          </w:p>
        </w:tc>
        <w:tc>
          <w:tcPr>
            <w:tcW w:w="7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vMerge w:val="continue"/>
            <w:shd w:val="clear" w:color="auto" w:fill="CCEEFF"/>
          </w:tcPr>
          <w:p>
            <w:pPr>
              <w:spacing w:after="0"/>
              <w:rPr>
                <w:sz w:val="15"/>
                <w:szCs w:val="15"/>
                <w:color w:val="auto"/>
              </w:rPr>
            </w:pPr>
          </w:p>
        </w:tc>
        <w:tc>
          <w:tcPr>
            <w:tcW w:w="74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74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Liabilities</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0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8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rPr>
              <w:t>FIA embedded derivatives,</w:t>
            </w:r>
          </w:p>
        </w:tc>
        <w:tc>
          <w:tcPr>
            <w:tcW w:w="1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3,883</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(942)</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center"/>
              <w:ind w:left="250"/>
              <w:spacing w:after="0"/>
              <w:rPr>
                <w:sz w:val="20"/>
                <w:szCs w:val="20"/>
                <w:color w:val="auto"/>
              </w:rPr>
            </w:pPr>
            <w:r>
              <w:rPr>
                <w:rFonts w:ascii="Arial" w:cs="Arial" w:eastAsia="Arial" w:hAnsi="Arial"/>
                <w:sz w:val="14"/>
                <w:szCs w:val="14"/>
                <w:color w:val="auto"/>
                <w:w w:val="99"/>
              </w:rPr>
              <w:t>—</w:t>
            </w:r>
          </w:p>
        </w:tc>
        <w:tc>
          <w:tcPr>
            <w:tcW w:w="100" w:type="dxa"/>
            <w:vAlign w:val="bottom"/>
            <w:vMerge w:val="restart"/>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2,941</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2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included in contractholder funds</w:t>
            </w: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2"/>
        </w:trPr>
        <w:tc>
          <w:tcPr>
            <w:tcW w:w="2080" w:type="dxa"/>
            <w:vAlign w:val="bottom"/>
          </w:tcPr>
          <w:p>
            <w:pPr>
              <w:ind w:left="340"/>
              <w:spacing w:after="0" w:line="112" w:lineRule="exact"/>
              <w:rPr>
                <w:sz w:val="20"/>
                <w:szCs w:val="20"/>
                <w:color w:val="auto"/>
              </w:rPr>
            </w:pPr>
            <w:r>
              <w:rPr>
                <w:rFonts w:ascii="Arial" w:cs="Arial" w:eastAsia="Arial" w:hAnsi="Arial"/>
                <w:sz w:val="12"/>
                <w:szCs w:val="12"/>
                <w:b w:val="1"/>
                <w:bCs w:val="1"/>
                <w:color w:val="auto"/>
              </w:rPr>
              <w:t>Total liabilities at Level 3</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vMerge w:val="restart"/>
          </w:tcPr>
          <w:p>
            <w:pPr>
              <w:jc w:val="right"/>
              <w:ind w:right="10"/>
              <w:spacing w:after="0"/>
              <w:rPr>
                <w:sz w:val="20"/>
                <w:szCs w:val="20"/>
                <w:color w:val="auto"/>
              </w:rPr>
            </w:pPr>
            <w:r>
              <w:rPr>
                <w:rFonts w:ascii="Arial" w:cs="Arial" w:eastAsia="Arial" w:hAnsi="Arial"/>
                <w:sz w:val="14"/>
                <w:szCs w:val="14"/>
                <w:color w:val="auto"/>
              </w:rPr>
              <w:t>3,883</w:t>
            </w:r>
          </w:p>
        </w:tc>
        <w:tc>
          <w:tcPr>
            <w:tcW w:w="20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(942)</w:t>
            </w:r>
          </w:p>
        </w:tc>
        <w:tc>
          <w:tcPr>
            <w:tcW w:w="120" w:type="dxa"/>
            <w:vAlign w:val="bottom"/>
          </w:tcPr>
          <w:p>
            <w:pPr>
              <w:spacing w:after="0"/>
              <w:rPr>
                <w:sz w:val="9"/>
                <w:szCs w:val="9"/>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jc w:val="right"/>
              <w:ind w:right="10"/>
              <w:spacing w:after="0"/>
              <w:rPr>
                <w:sz w:val="20"/>
                <w:szCs w:val="20"/>
                <w:color w:val="auto"/>
              </w:rPr>
            </w:pPr>
            <w:r>
              <w:rPr>
                <w:rFonts w:ascii="Arial" w:cs="Arial" w:eastAsia="Arial" w:hAnsi="Arial"/>
                <w:sz w:val="14"/>
                <w:szCs w:val="14"/>
                <w:color w:val="auto"/>
                <w:w w:val="76"/>
              </w:rPr>
              <w:t>$</w:t>
            </w:r>
          </w:p>
        </w:tc>
        <w:tc>
          <w:tcPr>
            <w:tcW w:w="720" w:type="dxa"/>
            <w:vAlign w:val="bottom"/>
            <w:gridSpan w:val="2"/>
            <w:vMerge w:val="restart"/>
          </w:tcPr>
          <w:p>
            <w:pPr>
              <w:jc w:val="center"/>
              <w:ind w:left="150"/>
              <w:spacing w:after="0"/>
              <w:rPr>
                <w:sz w:val="20"/>
                <w:szCs w:val="20"/>
                <w:color w:val="auto"/>
              </w:rPr>
            </w:pPr>
            <w:r>
              <w:rPr>
                <w:rFonts w:ascii="Arial" w:cs="Arial" w:eastAsia="Arial" w:hAnsi="Arial"/>
                <w:sz w:val="14"/>
                <w:szCs w:val="14"/>
                <w:color w:val="auto"/>
                <w:w w:val="99"/>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vMerge w:val="restart"/>
          </w:tcPr>
          <w:p>
            <w:pPr>
              <w:ind w:left="68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vMerge w:val="restart"/>
          </w:tcPr>
          <w:p>
            <w:pPr>
              <w:jc w:val="right"/>
              <w:ind w:right="10"/>
              <w:spacing w:after="0"/>
              <w:rPr>
                <w:sz w:val="20"/>
                <w:szCs w:val="20"/>
                <w:color w:val="auto"/>
              </w:rPr>
            </w:pPr>
            <w:r>
              <w:rPr>
                <w:rFonts w:ascii="Arial" w:cs="Arial" w:eastAsia="Arial" w:hAnsi="Arial"/>
                <w:sz w:val="14"/>
                <w:szCs w:val="14"/>
                <w:color w:val="auto"/>
              </w:rPr>
              <w:t>2,941</w:t>
            </w:r>
          </w:p>
        </w:tc>
        <w:tc>
          <w:tcPr>
            <w:tcW w:w="8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vMerge w:val="restart"/>
          </w:tcPr>
          <w:p>
            <w:pPr>
              <w:jc w:val="right"/>
              <w:ind w:right="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2080" w:type="dxa"/>
            <w:vAlign w:val="bottom"/>
          </w:tcPr>
          <w:p>
            <w:pPr>
              <w:ind w:left="340"/>
              <w:spacing w:after="0" w:line="158" w:lineRule="exact"/>
              <w:rPr>
                <w:sz w:val="20"/>
                <w:szCs w:val="20"/>
                <w:color w:val="auto"/>
              </w:rPr>
            </w:pPr>
            <w:r>
              <w:rPr>
                <w:rFonts w:ascii="Arial" w:cs="Arial" w:eastAsia="Arial" w:hAnsi="Arial"/>
                <w:sz w:val="14"/>
                <w:szCs w:val="14"/>
                <w:b w:val="1"/>
                <w:bCs w:val="1"/>
                <w:color w:val="auto"/>
              </w:rPr>
              <w:t>fair value</w:t>
            </w:r>
          </w:p>
        </w:tc>
        <w:tc>
          <w:tcPr>
            <w:tcW w:w="10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ind w:left="160"/>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2"/>
          <w:szCs w:val="12"/>
          <w:color w:val="auto"/>
        </w:rPr>
        <w:t>a) The net transfers out of Level 3 during the six months ended June 30, 2022 were to Level 2, except for the net transfers out related to our other long-term investment, which was to Level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960"/>
          </w:cols>
          <w:pgMar w:left="320" w:top="127" w:right="61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260"/>
        <w:spacing w:after="0"/>
        <w:rPr>
          <w:sz w:val="20"/>
          <w:szCs w:val="20"/>
          <w:color w:val="auto"/>
        </w:rPr>
      </w:pPr>
      <w:r>
        <w:rPr>
          <w:rFonts w:ascii="Arial" w:cs="Arial" w:eastAsia="Arial" w:hAnsi="Arial"/>
          <w:sz w:val="14"/>
          <w:szCs w:val="14"/>
          <w:b w:val="1"/>
          <w:bCs w:val="1"/>
          <w:color w:val="auto"/>
        </w:rPr>
        <w:t>Six months ended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1507490</wp:posOffset>
            </wp:positionH>
            <wp:positionV relativeFrom="paragraph">
              <wp:posOffset>20955</wp:posOffset>
            </wp:positionV>
            <wp:extent cx="5481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481320" cy="8255"/>
                    </a:xfrm>
                    <a:prstGeom prst="rect">
                      <a:avLst/>
                    </a:prstGeom>
                    <a:noFill/>
                  </pic:spPr>
                </pic:pic>
              </a:graphicData>
            </a:graphic>
          </wp:anchor>
        </w:drawing>
      </w:r>
    </w:p>
    <w:p>
      <w:pPr>
        <w:spacing w:after="0" w:line="30" w:lineRule="exact"/>
        <w:rPr>
          <w:sz w:val="20"/>
          <w:szCs w:val="20"/>
          <w:color w:val="auto"/>
        </w:rPr>
      </w:pPr>
    </w:p>
    <w:p>
      <w:pPr>
        <w:ind w:left="3660"/>
        <w:spacing w:after="0"/>
        <w:rPr>
          <w:sz w:val="20"/>
          <w:szCs w:val="20"/>
          <w:color w:val="auto"/>
        </w:rPr>
      </w:pPr>
      <w:r>
        <w:rPr>
          <w:rFonts w:ascii="Arial" w:cs="Arial" w:eastAsia="Arial" w:hAnsi="Arial"/>
          <w:sz w:val="14"/>
          <w:szCs w:val="14"/>
          <w:b w:val="1"/>
          <w:bCs w:val="1"/>
          <w:color w:val="auto"/>
        </w:rPr>
        <w:t>Total Gains (Losses)</w:t>
      </w:r>
    </w:p>
    <w:p>
      <w:pPr>
        <w:spacing w:after="0" w:line="263" w:lineRule="exact"/>
        <w:rPr>
          <w:sz w:val="20"/>
          <w:szCs w:val="20"/>
          <w:color w:val="auto"/>
        </w:rPr>
      </w:pPr>
    </w:p>
    <w:tbl>
      <w:tblPr>
        <w:tblLayout w:type="fixed"/>
        <w:tblInd w:w="260" w:type="dxa"/>
        <w:tblCellMar>
          <w:top w:w="0" w:type="dxa"/>
          <w:left w:w="0" w:type="dxa"/>
          <w:bottom w:w="0" w:type="dxa"/>
          <w:right w:w="0" w:type="dxa"/>
        </w:tblCellMar>
      </w:tblPr>
      <w:tr>
        <w:trPr>
          <w:trHeight w:val="138"/>
        </w:trPr>
        <w:tc>
          <w:tcPr>
            <w:tcW w:w="2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Balance at</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1"/>
              </w:rPr>
              <w:t>Net transfer</w:t>
            </w:r>
          </w:p>
        </w:tc>
        <w:tc>
          <w:tcPr>
            <w:tcW w:w="100" w:type="dxa"/>
            <w:vAlign w:val="bottom"/>
          </w:tcPr>
          <w:p>
            <w:pPr>
              <w:spacing w:after="0"/>
              <w:rPr>
                <w:sz w:val="12"/>
                <w:szCs w:val="12"/>
                <w:color w:val="auto"/>
              </w:rPr>
            </w:pPr>
          </w:p>
        </w:tc>
        <w:tc>
          <w:tcPr>
            <w:tcW w:w="8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Balance at</w:t>
            </w:r>
          </w:p>
        </w:tc>
        <w:tc>
          <w:tcPr>
            <w:tcW w:w="100" w:type="dxa"/>
            <w:vAlign w:val="bottom"/>
          </w:tcPr>
          <w:p>
            <w:pPr>
              <w:spacing w:after="0"/>
              <w:rPr>
                <w:sz w:val="12"/>
                <w:szCs w:val="12"/>
                <w:color w:val="auto"/>
              </w:rPr>
            </w:pPr>
          </w:p>
        </w:tc>
        <w:tc>
          <w:tcPr>
            <w:tcW w:w="740" w:type="dxa"/>
            <w:vAlign w:val="bottom"/>
          </w:tcPr>
          <w:p>
            <w:pPr>
              <w:jc w:val="center"/>
              <w:ind w:right="32"/>
              <w:spacing w:after="0"/>
              <w:rPr>
                <w:sz w:val="20"/>
                <w:szCs w:val="20"/>
                <w:color w:val="auto"/>
              </w:rPr>
            </w:pPr>
            <w:r>
              <w:rPr>
                <w:rFonts w:ascii="Arial" w:cs="Arial" w:eastAsia="Arial" w:hAnsi="Arial"/>
                <w:sz w:val="12"/>
                <w:szCs w:val="12"/>
                <w:b w:val="1"/>
                <w:bCs w:val="1"/>
                <w:color w:val="auto"/>
                <w:w w:val="89"/>
              </w:rPr>
              <w:t>Change in</w:t>
            </w:r>
          </w:p>
        </w:tc>
        <w:tc>
          <w:tcPr>
            <w:tcW w:w="0" w:type="dxa"/>
            <w:vAlign w:val="bottom"/>
          </w:tcPr>
          <w:p>
            <w:pPr>
              <w:spacing w:after="0"/>
              <w:rPr>
                <w:sz w:val="1"/>
                <w:szCs w:val="1"/>
                <w:color w:val="auto"/>
              </w:rPr>
            </w:pPr>
          </w:p>
        </w:tc>
      </w:tr>
      <w:tr>
        <w:trPr>
          <w:trHeight w:val="118"/>
        </w:trPr>
        <w:tc>
          <w:tcPr>
            <w:tcW w:w="2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9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Included in</w:t>
            </w:r>
          </w:p>
        </w:tc>
        <w:tc>
          <w:tcPr>
            <w:tcW w:w="9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4"/>
              </w:rPr>
              <w:t>Included in</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center"/>
              <w:ind w:right="32"/>
              <w:spacing w:after="0" w:line="118" w:lineRule="exact"/>
              <w:rPr>
                <w:sz w:val="20"/>
                <w:szCs w:val="20"/>
                <w:color w:val="auto"/>
              </w:rPr>
            </w:pPr>
            <w:r>
              <w:rPr>
                <w:rFonts w:ascii="Arial" w:cs="Arial" w:eastAsia="Arial" w:hAnsi="Arial"/>
                <w:sz w:val="12"/>
                <w:szCs w:val="12"/>
                <w:b w:val="1"/>
                <w:bCs w:val="1"/>
                <w:color w:val="auto"/>
                <w:w w:val="92"/>
              </w:rPr>
              <w:t>Unrealized</w:t>
            </w:r>
          </w:p>
        </w:tc>
        <w:tc>
          <w:tcPr>
            <w:tcW w:w="0" w:type="dxa"/>
            <w:vAlign w:val="bottom"/>
          </w:tcPr>
          <w:p>
            <w:pPr>
              <w:spacing w:after="0"/>
              <w:rPr>
                <w:sz w:val="1"/>
                <w:szCs w:val="1"/>
                <w:color w:val="auto"/>
              </w:rPr>
            </w:pPr>
          </w:p>
        </w:tc>
      </w:tr>
      <w:tr>
        <w:trPr>
          <w:trHeight w:val="118"/>
        </w:trPr>
        <w:tc>
          <w:tcPr>
            <w:tcW w:w="2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4"/>
              </w:rPr>
              <w:t>Beginning</w:t>
            </w:r>
          </w:p>
        </w:tc>
        <w:tc>
          <w:tcPr>
            <w:tcW w:w="940" w:type="dxa"/>
            <w:vAlign w:val="bottom"/>
            <w:gridSpan w:val="3"/>
            <w:vMerge w:val="continue"/>
          </w:tcPr>
          <w:p>
            <w:pPr>
              <w:spacing w:after="0"/>
              <w:rPr>
                <w:sz w:val="10"/>
                <w:szCs w:val="10"/>
                <w:color w:val="auto"/>
              </w:rPr>
            </w:pPr>
          </w:p>
        </w:tc>
        <w:tc>
          <w:tcPr>
            <w:tcW w:w="94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Purchases</w:t>
            </w:r>
          </w:p>
        </w:tc>
        <w:tc>
          <w:tcPr>
            <w:tcW w:w="160" w:type="dxa"/>
            <w:vAlign w:val="bottom"/>
          </w:tcPr>
          <w:p>
            <w:pPr>
              <w:spacing w:after="0"/>
              <w:rPr>
                <w:sz w:val="10"/>
                <w:szCs w:val="10"/>
                <w:color w:val="auto"/>
              </w:rPr>
            </w:pPr>
          </w:p>
        </w:tc>
        <w:tc>
          <w:tcPr>
            <w:tcW w:w="7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Sales</w:t>
            </w:r>
          </w:p>
        </w:tc>
        <w:tc>
          <w:tcPr>
            <w:tcW w:w="120" w:type="dxa"/>
            <w:vAlign w:val="bottom"/>
          </w:tcPr>
          <w:p>
            <w:pPr>
              <w:spacing w:after="0"/>
              <w:rPr>
                <w:sz w:val="10"/>
                <w:szCs w:val="10"/>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Settlements</w:t>
            </w:r>
          </w:p>
        </w:tc>
        <w:tc>
          <w:tcPr>
            <w:tcW w:w="80" w:type="dxa"/>
            <w:vAlign w:val="bottom"/>
          </w:tcPr>
          <w:p>
            <w:pPr>
              <w:spacing w:after="0"/>
              <w:rPr>
                <w:sz w:val="10"/>
                <w:szCs w:val="10"/>
                <w:color w:val="auto"/>
              </w:rPr>
            </w:pPr>
          </w:p>
        </w:tc>
        <w:tc>
          <w:tcPr>
            <w:tcW w:w="84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In (Out) of</w:t>
            </w:r>
          </w:p>
        </w:tc>
        <w:tc>
          <w:tcPr>
            <w:tcW w:w="100" w:type="dxa"/>
            <w:vAlign w:val="bottom"/>
          </w:tcPr>
          <w:p>
            <w:pPr>
              <w:spacing w:after="0"/>
              <w:rPr>
                <w:sz w:val="10"/>
                <w:szCs w:val="10"/>
                <w:color w:val="auto"/>
              </w:rPr>
            </w:pPr>
          </w:p>
        </w:tc>
        <w:tc>
          <w:tcPr>
            <w:tcW w:w="84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w w:val="98"/>
              </w:rPr>
              <w:t>End of</w:t>
            </w:r>
          </w:p>
        </w:tc>
        <w:tc>
          <w:tcPr>
            <w:tcW w:w="100" w:type="dxa"/>
            <w:vAlign w:val="bottom"/>
          </w:tcPr>
          <w:p>
            <w:pPr>
              <w:spacing w:after="0"/>
              <w:rPr>
                <w:sz w:val="10"/>
                <w:szCs w:val="10"/>
                <w:color w:val="auto"/>
              </w:rPr>
            </w:pPr>
          </w:p>
        </w:tc>
        <w:tc>
          <w:tcPr>
            <w:tcW w:w="740" w:type="dxa"/>
            <w:vAlign w:val="bottom"/>
          </w:tcPr>
          <w:p>
            <w:pPr>
              <w:jc w:val="center"/>
              <w:ind w:right="32"/>
              <w:spacing w:after="0" w:line="118" w:lineRule="exact"/>
              <w:rPr>
                <w:sz w:val="20"/>
                <w:szCs w:val="20"/>
                <w:color w:val="auto"/>
              </w:rPr>
            </w:pPr>
            <w:r>
              <w:rPr>
                <w:rFonts w:ascii="Arial" w:cs="Arial" w:eastAsia="Arial" w:hAnsi="Arial"/>
                <w:sz w:val="12"/>
                <w:szCs w:val="12"/>
                <w:b w:val="1"/>
                <w:bCs w:val="1"/>
                <w:color w:val="auto"/>
                <w:w w:val="94"/>
              </w:rPr>
              <w:t>Included in</w:t>
            </w:r>
          </w:p>
        </w:tc>
        <w:tc>
          <w:tcPr>
            <w:tcW w:w="0" w:type="dxa"/>
            <w:vAlign w:val="bottom"/>
          </w:tcPr>
          <w:p>
            <w:pPr>
              <w:spacing w:after="0"/>
              <w:rPr>
                <w:sz w:val="1"/>
                <w:szCs w:val="1"/>
                <w:color w:val="auto"/>
              </w:rPr>
            </w:pPr>
          </w:p>
        </w:tc>
      </w:tr>
      <w:tr>
        <w:trPr>
          <w:trHeight w:val="171"/>
        </w:trPr>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of Period</w:t>
            </w:r>
          </w:p>
        </w:tc>
        <w:tc>
          <w:tcPr>
            <w:tcW w:w="12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Earnings</w:t>
            </w:r>
          </w:p>
        </w:tc>
        <w:tc>
          <w:tcPr>
            <w:tcW w:w="160" w:type="dxa"/>
            <w:vAlign w:val="bottom"/>
          </w:tcPr>
          <w:p>
            <w:pPr>
              <w:spacing w:after="0"/>
              <w:rPr>
                <w:sz w:val="14"/>
                <w:szCs w:val="14"/>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AOCI</w:t>
            </w: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Level 3 (a)</w:t>
            </w:r>
          </w:p>
        </w:tc>
        <w:tc>
          <w:tcPr>
            <w:tcW w:w="10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Period</w:t>
            </w:r>
          </w:p>
        </w:tc>
        <w:tc>
          <w:tcPr>
            <w:tcW w:w="100" w:type="dxa"/>
            <w:vAlign w:val="bottom"/>
          </w:tcPr>
          <w:p>
            <w:pPr>
              <w:spacing w:after="0"/>
              <w:rPr>
                <w:sz w:val="14"/>
                <w:szCs w:val="14"/>
                <w:color w:val="auto"/>
              </w:rPr>
            </w:pPr>
          </w:p>
        </w:tc>
        <w:tc>
          <w:tcPr>
            <w:tcW w:w="740" w:type="dxa"/>
            <w:vAlign w:val="bottom"/>
          </w:tcPr>
          <w:p>
            <w:pPr>
              <w:jc w:val="center"/>
              <w:ind w:right="32"/>
              <w:spacing w:after="0"/>
              <w:rPr>
                <w:sz w:val="20"/>
                <w:szCs w:val="20"/>
                <w:color w:val="auto"/>
              </w:rPr>
            </w:pPr>
            <w:r>
              <w:rPr>
                <w:rFonts w:ascii="Arial" w:cs="Arial" w:eastAsia="Arial" w:hAnsi="Arial"/>
                <w:sz w:val="12"/>
                <w:szCs w:val="12"/>
                <w:b w:val="1"/>
                <w:bCs w:val="1"/>
                <w:color w:val="auto"/>
              </w:rPr>
              <w:t>OCI</w:t>
            </w:r>
          </w:p>
        </w:tc>
        <w:tc>
          <w:tcPr>
            <w:tcW w:w="0" w:type="dxa"/>
            <w:vAlign w:val="bottom"/>
          </w:tcPr>
          <w:p>
            <w:pPr>
              <w:spacing w:after="0"/>
              <w:rPr>
                <w:sz w:val="1"/>
                <w:szCs w:val="1"/>
                <w:color w:val="auto"/>
              </w:rPr>
            </w:pPr>
          </w:p>
        </w:tc>
      </w:tr>
      <w:tr>
        <w:trPr>
          <w:trHeight w:val="164"/>
        </w:trPr>
        <w:tc>
          <w:tcPr>
            <w:tcW w:w="212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120" w:type="dxa"/>
            <w:vAlign w:val="bottom"/>
            <w:shd w:val="clear" w:color="auto" w:fill="CCEEFF"/>
          </w:tcPr>
          <w:p>
            <w:pPr>
              <w:spacing w:after="0" w:line="133" w:lineRule="exact"/>
              <w:rPr>
                <w:sz w:val="20"/>
                <w:szCs w:val="20"/>
                <w:color w:val="auto"/>
              </w:rPr>
            </w:pPr>
            <w:r>
              <w:rPr>
                <w:rFonts w:ascii="Arial" w:cs="Arial" w:eastAsia="Arial" w:hAnsi="Arial"/>
                <w:sz w:val="14"/>
                <w:szCs w:val="14"/>
                <w:color w:val="auto"/>
                <w:w w:val="97"/>
              </w:rPr>
              <w:t>Fixed maturity securities available-</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2120" w:type="dxa"/>
            <w:vAlign w:val="bottom"/>
            <w:shd w:val="clear" w:color="auto" w:fill="CCEEFF"/>
          </w:tcPr>
          <w:p>
            <w:pPr>
              <w:spacing w:after="0"/>
              <w:rPr>
                <w:sz w:val="20"/>
                <w:szCs w:val="20"/>
                <w:color w:val="auto"/>
              </w:rPr>
            </w:pPr>
            <w:r>
              <w:rPr>
                <w:rFonts w:ascii="Arial" w:cs="Arial" w:eastAsia="Arial" w:hAnsi="Arial"/>
                <w:sz w:val="14"/>
                <w:szCs w:val="14"/>
                <w:color w:val="auto"/>
              </w:rPr>
              <w:t>for-sale:</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120" w:type="dxa"/>
            <w:vAlign w:val="bottom"/>
          </w:tcPr>
          <w:p>
            <w:pPr>
              <w:ind w:left="200"/>
              <w:spacing w:after="0"/>
              <w:rPr>
                <w:sz w:val="20"/>
                <w:szCs w:val="20"/>
                <w:color w:val="auto"/>
              </w:rPr>
            </w:pPr>
            <w:r>
              <w:rPr>
                <w:rFonts w:ascii="Arial" w:cs="Arial" w:eastAsia="Arial" w:hAnsi="Arial"/>
                <w:sz w:val="14"/>
                <w:szCs w:val="14"/>
                <w:color w:val="auto"/>
              </w:rPr>
              <w:t>Asset-backed securities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1,350</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1,171</w:t>
            </w:r>
          </w:p>
        </w:tc>
        <w:tc>
          <w:tcPr>
            <w:tcW w:w="100" w:type="dxa"/>
            <w:vAlign w:val="bottom"/>
          </w:tcPr>
          <w:p>
            <w:pPr>
              <w:spacing w:after="0"/>
              <w:rPr>
                <w:sz w:val="15"/>
                <w:szCs w:val="15"/>
                <w:color w:val="auto"/>
              </w:rPr>
            </w:pP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(182)</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center"/>
              <w:ind w:left="390"/>
              <w:spacing w:after="0"/>
              <w:rPr>
                <w:sz w:val="20"/>
                <w:szCs w:val="20"/>
                <w:color w:val="auto"/>
              </w:rPr>
            </w:pPr>
            <w:r>
              <w:rPr>
                <w:rFonts w:ascii="Arial" w:cs="Arial" w:eastAsia="Arial" w:hAnsi="Arial"/>
                <w:sz w:val="14"/>
                <w:szCs w:val="14"/>
                <w:color w:val="auto"/>
                <w:w w:val="96"/>
              </w:rPr>
              <w:t>(27)</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2,309</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34"/>
        </w:trPr>
        <w:tc>
          <w:tcPr>
            <w:tcW w:w="2120" w:type="dxa"/>
            <w:vAlign w:val="bottom"/>
            <w:shd w:val="clear" w:color="auto" w:fill="CCEEFF"/>
          </w:tcPr>
          <w:p>
            <w:pPr>
              <w:ind w:left="200"/>
              <w:spacing w:after="0" w:line="135" w:lineRule="exact"/>
              <w:rPr>
                <w:sz w:val="20"/>
                <w:szCs w:val="20"/>
                <w:color w:val="auto"/>
              </w:rPr>
            </w:pPr>
            <w:r>
              <w:rPr>
                <w:rFonts w:ascii="Arial" w:cs="Arial" w:eastAsia="Arial" w:hAnsi="Arial"/>
                <w:sz w:val="14"/>
                <w:szCs w:val="14"/>
                <w:color w:val="auto"/>
              </w:rPr>
              <w:t>Commercial mortgage-backed</w:t>
            </w: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center"/>
              <w:ind w:left="31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4"/>
        </w:trPr>
        <w:tc>
          <w:tcPr>
            <w:tcW w:w="21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securities</w:t>
            </w: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120" w:type="dxa"/>
            <w:vAlign w:val="bottom"/>
          </w:tcPr>
          <w:p>
            <w:pPr>
              <w:ind w:left="200"/>
              <w:spacing w:after="0"/>
              <w:rPr>
                <w:sz w:val="20"/>
                <w:szCs w:val="20"/>
                <w:color w:val="auto"/>
              </w:rPr>
            </w:pPr>
            <w:r>
              <w:rPr>
                <w:rFonts w:ascii="Arial" w:cs="Arial" w:eastAsia="Arial" w:hAnsi="Arial"/>
                <w:sz w:val="14"/>
                <w:szCs w:val="14"/>
                <w:color w:val="auto"/>
              </w:rPr>
              <w:t>Corporates</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1,289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ind w:left="440"/>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(107)</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center"/>
              <w:ind w:left="390"/>
              <w:spacing w:after="0"/>
              <w:rPr>
                <w:sz w:val="20"/>
                <w:szCs w:val="20"/>
                <w:color w:val="auto"/>
              </w:rPr>
            </w:pPr>
            <w:r>
              <w:rPr>
                <w:rFonts w:ascii="Arial" w:cs="Arial" w:eastAsia="Arial" w:hAnsi="Arial"/>
                <w:sz w:val="14"/>
                <w:szCs w:val="14"/>
                <w:color w:val="auto"/>
                <w:w w:val="96"/>
              </w:rPr>
              <w:t>(13)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1,201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87"/>
        </w:trPr>
        <w:tc>
          <w:tcPr>
            <w:tcW w:w="21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Hybrids</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center"/>
              <w:ind w:left="31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120" w:type="dxa"/>
            <w:vAlign w:val="bottom"/>
          </w:tcPr>
          <w:p>
            <w:pPr>
              <w:ind w:left="200"/>
              <w:spacing w:after="0"/>
              <w:rPr>
                <w:sz w:val="20"/>
                <w:szCs w:val="20"/>
                <w:color w:val="auto"/>
              </w:rPr>
            </w:pPr>
            <w:r>
              <w:rPr>
                <w:rFonts w:ascii="Arial" w:cs="Arial" w:eastAsia="Arial" w:hAnsi="Arial"/>
                <w:sz w:val="14"/>
                <w:szCs w:val="14"/>
                <w:color w:val="auto"/>
              </w:rPr>
              <w:t>Municipals</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4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2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40" w:type="dxa"/>
            <w:vAlign w:val="bottom"/>
            <w:gridSpan w:val="2"/>
          </w:tcPr>
          <w:p>
            <w:pPr>
              <w:jc w:val="center"/>
              <w:ind w:left="31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34"/>
        </w:trPr>
        <w:tc>
          <w:tcPr>
            <w:tcW w:w="2120" w:type="dxa"/>
            <w:vAlign w:val="bottom"/>
            <w:shd w:val="clear" w:color="auto" w:fill="CCEEFF"/>
          </w:tcPr>
          <w:p>
            <w:pPr>
              <w:ind w:left="200"/>
              <w:spacing w:after="0" w:line="135" w:lineRule="exact"/>
              <w:rPr>
                <w:sz w:val="20"/>
                <w:szCs w:val="20"/>
                <w:color w:val="auto"/>
              </w:rPr>
            </w:pPr>
            <w:r>
              <w:rPr>
                <w:rFonts w:ascii="Arial" w:cs="Arial" w:eastAsia="Arial" w:hAnsi="Arial"/>
                <w:sz w:val="14"/>
                <w:szCs w:val="14"/>
                <w:color w:val="auto"/>
              </w:rPr>
              <w:t>Residential mortgage-backed</w:t>
            </w: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483</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center"/>
              <w:ind w:left="31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84"/>
        </w:trPr>
        <w:tc>
          <w:tcPr>
            <w:tcW w:w="21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securities</w:t>
            </w: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120" w:type="dxa"/>
            <w:vAlign w:val="bottom"/>
          </w:tcPr>
          <w:p>
            <w:pPr>
              <w:ind w:left="200"/>
              <w:spacing w:after="0"/>
              <w:rPr>
                <w:sz w:val="20"/>
                <w:szCs w:val="20"/>
                <w:color w:val="auto"/>
              </w:rPr>
            </w:pPr>
            <w:r>
              <w:rPr>
                <w:rFonts w:ascii="Arial" w:cs="Arial" w:eastAsia="Arial" w:hAnsi="Arial"/>
                <w:sz w:val="14"/>
                <w:szCs w:val="14"/>
                <w:color w:val="auto"/>
              </w:rPr>
              <w:t>Foreign Governments</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4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2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40" w:type="dxa"/>
            <w:vAlign w:val="bottom"/>
            <w:gridSpan w:val="2"/>
          </w:tcPr>
          <w:p>
            <w:pPr>
              <w:jc w:val="center"/>
              <w:ind w:left="31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7"/>
        </w:trPr>
        <w:tc>
          <w:tcPr>
            <w:tcW w:w="2120" w:type="dxa"/>
            <w:vAlign w:val="bottom"/>
            <w:shd w:val="clear" w:color="auto" w:fill="CCEEFF"/>
          </w:tcPr>
          <w:p>
            <w:pPr>
              <w:spacing w:after="0"/>
              <w:rPr>
                <w:sz w:val="20"/>
                <w:szCs w:val="20"/>
                <w:color w:val="auto"/>
              </w:rPr>
            </w:pPr>
            <w:r>
              <w:rPr>
                <w:rFonts w:ascii="Arial" w:cs="Arial" w:eastAsia="Arial" w:hAnsi="Arial"/>
                <w:sz w:val="14"/>
                <w:szCs w:val="14"/>
                <w:color w:val="auto"/>
              </w:rPr>
              <w:t>Short-Term</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center"/>
              <w:ind w:left="31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120" w:type="dxa"/>
            <w:vAlign w:val="bottom"/>
          </w:tcPr>
          <w:p>
            <w:pPr>
              <w:spacing w:after="0"/>
              <w:rPr>
                <w:sz w:val="20"/>
                <w:szCs w:val="20"/>
                <w:color w:val="auto"/>
              </w:rPr>
            </w:pPr>
            <w:r>
              <w:rPr>
                <w:rFonts w:ascii="Arial" w:cs="Arial" w:eastAsia="Arial" w:hAnsi="Arial"/>
                <w:sz w:val="14"/>
                <w:szCs w:val="14"/>
                <w:color w:val="auto"/>
              </w:rPr>
              <w:t>Equity and preferred securities</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ind w:right="10"/>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2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40" w:type="dxa"/>
            <w:vAlign w:val="bottom"/>
            <w:gridSpan w:val="2"/>
          </w:tcPr>
          <w:p>
            <w:pPr>
              <w:jc w:val="center"/>
              <w:ind w:left="31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2120" w:type="dxa"/>
            <w:vAlign w:val="bottom"/>
            <w:shd w:val="clear" w:color="auto" w:fill="CCEEFF"/>
          </w:tcPr>
          <w:p>
            <w:pPr>
              <w:spacing w:after="0"/>
              <w:rPr>
                <w:sz w:val="20"/>
                <w:szCs w:val="20"/>
                <w:color w:val="auto"/>
              </w:rPr>
            </w:pPr>
            <w:r>
              <w:rPr>
                <w:rFonts w:ascii="Arial" w:cs="Arial" w:eastAsia="Arial" w:hAnsi="Arial"/>
                <w:sz w:val="14"/>
                <w:szCs w:val="14"/>
                <w:color w:val="auto"/>
              </w:rPr>
              <w:t>Other long-term investments:</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120" w:type="dxa"/>
            <w:vAlign w:val="bottom"/>
          </w:tcPr>
          <w:p>
            <w:pPr>
              <w:ind w:left="200"/>
              <w:spacing w:after="0" w:line="132" w:lineRule="exact"/>
              <w:rPr>
                <w:sz w:val="20"/>
                <w:szCs w:val="20"/>
                <w:color w:val="auto"/>
              </w:rPr>
            </w:pPr>
            <w:r>
              <w:rPr>
                <w:rFonts w:ascii="Arial" w:cs="Arial" w:eastAsia="Arial" w:hAnsi="Arial"/>
                <w:sz w:val="14"/>
                <w:szCs w:val="14"/>
                <w:color w:val="auto"/>
              </w:rPr>
              <w:t>Available-for-sale embedded</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jc w:val="right"/>
              <w:ind w:right="10"/>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40" w:type="dxa"/>
            <w:vAlign w:val="bottom"/>
            <w:gridSpan w:val="2"/>
            <w:vMerge w:val="restart"/>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2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840" w:type="dxa"/>
            <w:vAlign w:val="bottom"/>
            <w:gridSpan w:val="2"/>
            <w:vMerge w:val="restart"/>
          </w:tcPr>
          <w:p>
            <w:pPr>
              <w:jc w:val="center"/>
              <w:ind w:left="31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120" w:type="dxa"/>
            <w:vAlign w:val="bottom"/>
          </w:tcPr>
          <w:p>
            <w:pPr>
              <w:ind w:left="200"/>
              <w:spacing w:after="0"/>
              <w:rPr>
                <w:sz w:val="20"/>
                <w:szCs w:val="20"/>
                <w:color w:val="auto"/>
              </w:rPr>
            </w:pPr>
            <w:r>
              <w:rPr>
                <w:rFonts w:ascii="Arial" w:cs="Arial" w:eastAsia="Arial" w:hAnsi="Arial"/>
                <w:sz w:val="14"/>
                <w:szCs w:val="14"/>
                <w:color w:val="auto"/>
              </w:rPr>
              <w:t>derivative</w:t>
            </w:r>
          </w:p>
        </w:tc>
        <w:tc>
          <w:tcPr>
            <w:tcW w:w="1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1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Credit linked note</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center"/>
              <w:ind w:left="31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2"/>
        </w:trPr>
        <w:tc>
          <w:tcPr>
            <w:tcW w:w="2120" w:type="dxa"/>
            <w:vAlign w:val="bottom"/>
          </w:tcPr>
          <w:p>
            <w:pPr>
              <w:ind w:left="320"/>
              <w:spacing w:after="0" w:line="112" w:lineRule="exact"/>
              <w:rPr>
                <w:sz w:val="20"/>
                <w:szCs w:val="20"/>
                <w:color w:val="auto"/>
              </w:rPr>
            </w:pPr>
            <w:r>
              <w:rPr>
                <w:rFonts w:ascii="Arial" w:cs="Arial" w:eastAsia="Arial" w:hAnsi="Arial"/>
                <w:sz w:val="12"/>
                <w:szCs w:val="12"/>
                <w:b w:val="1"/>
                <w:bCs w:val="1"/>
                <w:color w:val="auto"/>
              </w:rPr>
              <w:t>Total assets at Level 3 fair</w:t>
            </w: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3,267</w:t>
            </w:r>
          </w:p>
        </w:tc>
        <w:tc>
          <w:tcPr>
            <w:tcW w:w="100" w:type="dxa"/>
            <w:vAlign w:val="bottom"/>
          </w:tcPr>
          <w:p>
            <w:pPr>
              <w:spacing w:after="0"/>
              <w:rPr>
                <w:sz w:val="9"/>
                <w:szCs w:val="9"/>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9"/>
                <w:szCs w:val="9"/>
                <w:color w:val="auto"/>
              </w:rPr>
            </w:pPr>
          </w:p>
        </w:tc>
        <w:tc>
          <w:tcPr>
            <w:tcW w:w="16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9"/>
                <w:szCs w:val="9"/>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1,542</w:t>
            </w:r>
          </w:p>
        </w:tc>
        <w:tc>
          <w:tcPr>
            <w:tcW w:w="100" w:type="dxa"/>
            <w:vAlign w:val="bottom"/>
          </w:tcPr>
          <w:p>
            <w:pPr>
              <w:spacing w:after="0"/>
              <w:rPr>
                <w:sz w:val="9"/>
                <w:szCs w:val="9"/>
                <w:color w:val="auto"/>
              </w:rPr>
            </w:pPr>
          </w:p>
        </w:tc>
        <w:tc>
          <w:tcPr>
            <w:tcW w:w="16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vMerge w:val="restart"/>
          </w:tcPr>
          <w:p>
            <w:pPr>
              <w:ind w:left="440"/>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9"/>
                <w:szCs w:val="9"/>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(345)</w:t>
            </w:r>
          </w:p>
        </w:tc>
        <w:tc>
          <w:tcPr>
            <w:tcW w:w="120" w:type="dxa"/>
            <w:vAlign w:val="bottom"/>
          </w:tcPr>
          <w:p>
            <w:pPr>
              <w:spacing w:after="0"/>
              <w:rPr>
                <w:sz w:val="9"/>
                <w:szCs w:val="9"/>
                <w:color w:val="auto"/>
              </w:rPr>
            </w:pPr>
          </w:p>
        </w:tc>
        <w:tc>
          <w:tcPr>
            <w:tcW w:w="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vMerge w:val="restart"/>
          </w:tcPr>
          <w:p>
            <w:pPr>
              <w:jc w:val="center"/>
              <w:ind w:left="390"/>
              <w:spacing w:after="0"/>
              <w:rPr>
                <w:sz w:val="20"/>
                <w:szCs w:val="20"/>
                <w:color w:val="auto"/>
              </w:rPr>
            </w:pPr>
            <w:r>
              <w:rPr>
                <w:rFonts w:ascii="Arial" w:cs="Arial" w:eastAsia="Arial" w:hAnsi="Arial"/>
                <w:sz w:val="14"/>
                <w:szCs w:val="14"/>
                <w:color w:val="auto"/>
                <w:w w:val="96"/>
              </w:rPr>
              <w:t>(40)</w:t>
            </w:r>
          </w:p>
        </w:tc>
        <w:tc>
          <w:tcPr>
            <w:tcW w:w="100" w:type="dxa"/>
            <w:vAlign w:val="bottom"/>
          </w:tcPr>
          <w:p>
            <w:pPr>
              <w:spacing w:after="0"/>
              <w:rPr>
                <w:sz w:val="9"/>
                <w:szCs w:val="9"/>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4,400</w:t>
            </w:r>
          </w:p>
        </w:tc>
        <w:tc>
          <w:tcPr>
            <w:tcW w:w="100" w:type="dxa"/>
            <w:vAlign w:val="bottom"/>
          </w:tcPr>
          <w:p>
            <w:pPr>
              <w:spacing w:after="0"/>
              <w:rPr>
                <w:sz w:val="9"/>
                <w:szCs w:val="9"/>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63"/>
        </w:trPr>
        <w:tc>
          <w:tcPr>
            <w:tcW w:w="2120" w:type="dxa"/>
            <w:vAlign w:val="bottom"/>
          </w:tcPr>
          <w:p>
            <w:pPr>
              <w:ind w:left="320"/>
              <w:spacing w:after="0" w:line="158" w:lineRule="exact"/>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auto"/>
            </w:tcBorders>
            <w:vMerge w:val="continue"/>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vMerge w:val="continue"/>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vMerge w:val="continue"/>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vMerge w:val="continue"/>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120" w:type="dxa"/>
            <w:vAlign w:val="bottom"/>
            <w:shd w:val="clear" w:color="auto" w:fill="CCEEFF"/>
          </w:tcPr>
          <w:p>
            <w:pPr>
              <w:spacing w:after="0" w:line="151" w:lineRule="exact"/>
              <w:rPr>
                <w:sz w:val="20"/>
                <w:szCs w:val="20"/>
                <w:color w:val="auto"/>
              </w:rPr>
            </w:pPr>
            <w:r>
              <w:rPr>
                <w:rFonts w:ascii="Arial" w:cs="Arial" w:eastAsia="Arial" w:hAnsi="Arial"/>
                <w:sz w:val="14"/>
                <w:szCs w:val="14"/>
                <w:b w:val="1"/>
                <w:bCs w:val="1"/>
                <w:color w:val="auto"/>
              </w:rPr>
              <w:t>Liabilities</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120" w:type="dxa"/>
            <w:vAlign w:val="bottom"/>
          </w:tcPr>
          <w:p>
            <w:pPr>
              <w:spacing w:after="0"/>
              <w:rPr>
                <w:sz w:val="20"/>
                <w:szCs w:val="20"/>
                <w:color w:val="auto"/>
              </w:rPr>
            </w:pPr>
            <w:r>
              <w:rPr>
                <w:rFonts w:ascii="Arial" w:cs="Arial" w:eastAsia="Arial" w:hAnsi="Arial"/>
                <w:sz w:val="14"/>
                <w:szCs w:val="14"/>
                <w:color w:val="auto"/>
              </w:rPr>
              <w:t>Future policy benefits (FSRC)</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640" w:type="dxa"/>
            <w:vAlign w:val="bottom"/>
          </w:tcPr>
          <w:p>
            <w:pPr>
              <w:ind w:left="440"/>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center"/>
              <w:ind w:left="310"/>
              <w:spacing w:after="0"/>
              <w:rPr>
                <w:sz w:val="20"/>
                <w:szCs w:val="20"/>
                <w:color w:val="auto"/>
              </w:rPr>
            </w:pPr>
            <w:r>
              <w:rPr>
                <w:rFonts w:ascii="Arial" w:cs="Arial" w:eastAsia="Arial" w:hAnsi="Arial"/>
                <w:sz w:val="14"/>
                <w:szCs w:val="14"/>
                <w:color w:val="auto"/>
                <w:w w:val="99"/>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4"/>
        </w:trPr>
        <w:tc>
          <w:tcPr>
            <w:tcW w:w="212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w w:val="94"/>
              </w:rPr>
              <w:t>FIA embedded derivatives, included</w:t>
            </w: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3,404</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355</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center"/>
              <w:ind w:left="410"/>
              <w:spacing w:after="0"/>
              <w:rPr>
                <w:sz w:val="20"/>
                <w:szCs w:val="20"/>
                <w:color w:val="auto"/>
              </w:rPr>
            </w:pPr>
            <w:r>
              <w:rPr>
                <w:rFonts w:ascii="Arial" w:cs="Arial" w:eastAsia="Arial" w:hAnsi="Arial"/>
                <w:sz w:val="14"/>
                <w:szCs w:val="14"/>
                <w:color w:val="auto"/>
                <w:w w:val="99"/>
              </w:rPr>
              <w:t>—</w:t>
            </w:r>
          </w:p>
        </w:tc>
        <w:tc>
          <w:tcPr>
            <w:tcW w:w="100" w:type="dxa"/>
            <w:vAlign w:val="bottom"/>
            <w:vMerge w:val="restart"/>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3,759</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2120" w:type="dxa"/>
            <w:vAlign w:val="bottom"/>
            <w:shd w:val="clear" w:color="auto" w:fill="CCEEFF"/>
          </w:tcPr>
          <w:p>
            <w:pPr>
              <w:spacing w:after="0"/>
              <w:rPr>
                <w:sz w:val="20"/>
                <w:szCs w:val="20"/>
                <w:color w:val="auto"/>
              </w:rPr>
            </w:pPr>
            <w:r>
              <w:rPr>
                <w:rFonts w:ascii="Arial" w:cs="Arial" w:eastAsia="Arial" w:hAnsi="Arial"/>
                <w:sz w:val="14"/>
                <w:szCs w:val="14"/>
                <w:color w:val="auto"/>
              </w:rPr>
              <w:t>in contractholder funds</w:t>
            </w:r>
          </w:p>
        </w:tc>
        <w:tc>
          <w:tcPr>
            <w:tcW w:w="1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2"/>
        </w:trPr>
        <w:tc>
          <w:tcPr>
            <w:tcW w:w="2120" w:type="dxa"/>
            <w:vAlign w:val="bottom"/>
          </w:tcPr>
          <w:p>
            <w:pPr>
              <w:ind w:left="320"/>
              <w:spacing w:after="0" w:line="112" w:lineRule="exact"/>
              <w:rPr>
                <w:sz w:val="20"/>
                <w:szCs w:val="20"/>
                <w:color w:val="auto"/>
              </w:rPr>
            </w:pPr>
            <w:r>
              <w:rPr>
                <w:rFonts w:ascii="Arial" w:cs="Arial" w:eastAsia="Arial" w:hAnsi="Arial"/>
                <w:sz w:val="12"/>
                <w:szCs w:val="12"/>
                <w:b w:val="1"/>
                <w:bCs w:val="1"/>
                <w:color w:val="auto"/>
              </w:rPr>
              <w:t>Total liabilities at Level 3 fair</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3,409</w:t>
            </w:r>
          </w:p>
        </w:tc>
        <w:tc>
          <w:tcPr>
            <w:tcW w:w="100" w:type="dxa"/>
            <w:vAlign w:val="bottom"/>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vMerge w:val="restart"/>
          </w:tcPr>
          <w:p>
            <w:pPr>
              <w:jc w:val="right"/>
              <w:ind w:right="10"/>
              <w:spacing w:after="0"/>
              <w:rPr>
                <w:sz w:val="20"/>
                <w:szCs w:val="20"/>
                <w:color w:val="auto"/>
              </w:rPr>
            </w:pPr>
            <w:r>
              <w:rPr>
                <w:rFonts w:ascii="Arial" w:cs="Arial" w:eastAsia="Arial" w:hAnsi="Arial"/>
                <w:sz w:val="14"/>
                <w:szCs w:val="14"/>
                <w:color w:val="auto"/>
              </w:rPr>
              <w:t>355</w:t>
            </w:r>
          </w:p>
        </w:tc>
        <w:tc>
          <w:tcPr>
            <w:tcW w:w="100" w:type="dxa"/>
            <w:vAlign w:val="bottom"/>
          </w:tcPr>
          <w:p>
            <w:pPr>
              <w:spacing w:after="0"/>
              <w:rPr>
                <w:sz w:val="9"/>
                <w:szCs w:val="9"/>
                <w:color w:val="auto"/>
              </w:rPr>
            </w:pPr>
          </w:p>
        </w:tc>
        <w:tc>
          <w:tcPr>
            <w:tcW w:w="160" w:type="dxa"/>
            <w:vAlign w:val="bottom"/>
            <w:vMerge w:val="restart"/>
          </w:tcPr>
          <w:p>
            <w:pPr>
              <w:jc w:val="right"/>
              <w:ind w:right="10"/>
              <w:spacing w:after="0"/>
              <w:rPr>
                <w:sz w:val="20"/>
                <w:szCs w:val="20"/>
                <w:color w:val="auto"/>
              </w:rPr>
            </w:pPr>
            <w:r>
              <w:rPr>
                <w:rFonts w:ascii="Arial" w:cs="Arial" w:eastAsia="Arial" w:hAnsi="Arial"/>
                <w:sz w:val="14"/>
                <w:szCs w:val="14"/>
                <w:color w:val="auto"/>
                <w:w w:val="76"/>
              </w:rPr>
              <w:t>$</w:t>
            </w: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jc w:val="right"/>
              <w:ind w:right="10"/>
              <w:spacing w:after="0"/>
              <w:rPr>
                <w:sz w:val="20"/>
                <w:szCs w:val="20"/>
                <w:color w:val="auto"/>
              </w:rPr>
            </w:pPr>
            <w:r>
              <w:rPr>
                <w:rFonts w:ascii="Arial" w:cs="Arial" w:eastAsia="Arial" w:hAnsi="Arial"/>
                <w:sz w:val="14"/>
                <w:szCs w:val="14"/>
                <w:color w:val="auto"/>
                <w:w w:val="76"/>
              </w:rPr>
              <w:t>$</w:t>
            </w:r>
          </w:p>
        </w:tc>
        <w:tc>
          <w:tcPr>
            <w:tcW w:w="640" w:type="dxa"/>
            <w:vAlign w:val="bottom"/>
            <w:vMerge w:val="restart"/>
          </w:tcPr>
          <w:p>
            <w:pPr>
              <w:ind w:left="440"/>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vMerge w:val="restart"/>
          </w:tcPr>
          <w:p>
            <w:pPr>
              <w:jc w:val="center"/>
              <w:ind w:left="310"/>
              <w:spacing w:after="0"/>
              <w:rPr>
                <w:sz w:val="20"/>
                <w:szCs w:val="20"/>
                <w:color w:val="auto"/>
              </w:rPr>
            </w:pPr>
            <w:r>
              <w:rPr>
                <w:rFonts w:ascii="Arial" w:cs="Arial" w:eastAsia="Arial" w:hAnsi="Arial"/>
                <w:sz w:val="14"/>
                <w:szCs w:val="14"/>
                <w:color w:val="auto"/>
                <w:w w:val="99"/>
              </w:rPr>
              <w: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3,759</w:t>
            </w:r>
          </w:p>
        </w:tc>
        <w:tc>
          <w:tcPr>
            <w:tcW w:w="10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2120" w:type="dxa"/>
            <w:vAlign w:val="bottom"/>
          </w:tcPr>
          <w:p>
            <w:pPr>
              <w:ind w:left="320"/>
              <w:spacing w:after="0" w:line="158" w:lineRule="exact"/>
              <w:rPr>
                <w:sz w:val="20"/>
                <w:szCs w:val="20"/>
                <w:color w:val="auto"/>
              </w:rPr>
            </w:pPr>
            <w:r>
              <w:rPr>
                <w:rFonts w:ascii="Arial" w:cs="Arial" w:eastAsia="Arial" w:hAnsi="Arial"/>
                <w:sz w:val="14"/>
                <w:szCs w:val="14"/>
                <w:b w:val="1"/>
                <w:bCs w:val="1"/>
                <w:color w:val="auto"/>
              </w:rPr>
              <w:t>value</w:t>
            </w:r>
          </w:p>
        </w:tc>
        <w:tc>
          <w:tcPr>
            <w:tcW w:w="10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Methodologies and Associated Inputs for Financial Instruments Not Carried at Fair Value</w:t>
      </w:r>
    </w:p>
    <w:p>
      <w:pPr>
        <w:spacing w:after="0" w:line="24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following discussion outlines the methodologies and assumptions used to determine the fair value of our financial instruments not carried at fair value. Considerable judgment is required to develop these assumptions used to measure fair value. Accordingly, the estimates shown are not necessarily indicative of the amounts that would be realized in a one-time, current market exchange of all of our financial instruments.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Mortgage Loans</w:t>
      </w:r>
    </w:p>
    <w:p>
      <w:pPr>
        <w:spacing w:after="0" w:line="24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fair value of mortgage loans is established using a discounted cash flow method based on internal credit rating, maturity and future income. This yield-based approach is sourced from our third-party vendor. The internal ratings for mortgages in good standing are based on property type, location, market conditions, occupancy, debt service coverage, loan-to-value, quality of tenancy, borrower, and payment record. The inputs used to measure the fair value of our mortgage loans are classified as Level 3 within the fair value hierarchy.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Policy Loans (included within Other long-term investments)</w:t>
      </w:r>
    </w:p>
    <w:p>
      <w:pPr>
        <w:spacing w:after="0" w:line="109"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Fair values for policy loans are estimated from a discounted cash flow analysis, using interest rates currently being offered for loans with similar credit risk. Loans with similar characteristics are aggregated for purposes of the calculations.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 Owned Life Insurance</w:t>
      </w:r>
    </w:p>
    <w:p>
      <w:pPr>
        <w:spacing w:after="0" w:line="109"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Company owned life insurance ("COLI") is a life insurance program used to finance certain employee benefit expenses. The fair value of COLI is based on net realizable value, which is generally cash surrender value. COLI is classified as Level 3 within the fair value hierarchy.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Invested Assets (included within Other long-term investments)</w:t>
      </w:r>
    </w:p>
    <w:p>
      <w:pPr>
        <w:spacing w:after="0" w:line="161"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The fair value of bank loans is estimated using a discounted cash flow method with the discount rate based on weighted average cost of capital ("WACC"). This yield-based approach is sourced from a third-party vendor and the WACC establishes a market participant discount rate by determining the hypothetical capital structure for the asset should it be underwritten as of each period end. Other invested assets are classified as Level 3 within the fair value hierarchy.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Contracts</w:t>
      </w:r>
    </w:p>
    <w:p>
      <w:pPr>
        <w:spacing w:after="0" w:line="109" w:lineRule="exact"/>
        <w:rPr>
          <w:sz w:val="20"/>
          <w:szCs w:val="20"/>
          <w:color w:val="auto"/>
        </w:rPr>
      </w:pPr>
    </w:p>
    <w:p>
      <w:pPr>
        <w:jc w:val="both"/>
        <w:ind w:firstLine="395"/>
        <w:spacing w:after="0" w:line="281" w:lineRule="auto"/>
        <w:rPr>
          <w:sz w:val="20"/>
          <w:szCs w:val="20"/>
          <w:color w:val="auto"/>
        </w:rPr>
      </w:pPr>
      <w:r>
        <w:rPr>
          <w:rFonts w:ascii="Arial" w:cs="Arial" w:eastAsia="Arial" w:hAnsi="Arial"/>
          <w:sz w:val="16"/>
          <w:szCs w:val="16"/>
          <w:color w:val="auto"/>
        </w:rPr>
        <w:t>Investment contracts include deferred annuities (FIAs and fixed rate annuities), indexed universal life policies ("IULs"), funding agreements and PRT and immediate annuity contracts without life contingencies. The FIA/ IUL embedded derivatives, included in contractholder funds, are excluded as they are carried at fair value. The fair value of the FIA, fixed rate annuity and IUL contracts is based on their cash surrender value (i.e. the cost the Company would incur to extinguish the liability) as these contracts are generally issued without an annuitization date. The fair value of funding agreements and PRT and immediate annuity contracts without life contingencies is derived by calculating a new fair value interest rate using the updated yield curve and treasury spreads as of the respective reporting date. The Company is not required to, and has not, estimated the fair value of the liabilities under contracts that involve significant mortality or morbidity risks, as these liabilities fall within the definition of insurance contracts that are exceptions from financial instruments that require disclosures of fair value.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35"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Federal Home Loan Bank of Atlanta ("FHLB") common stock, Accounts receivable and Notes receivable are carried at cost, which approximates fair value. FHLB common stock is classified as Level 2 within the fair value hierarchy. Accounts receivable and Notes receivable are classified as Level 3 within the fair value hierarchy.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161"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The fair value of debt is based on quoted market prices. The inputs used to measure the fair value of our outstanding debt are classified as Level 2 within the fair value hierarchy.</w:t>
      </w:r>
    </w:p>
    <w:p>
      <w:pPr>
        <w:spacing w:after="0" w:line="89"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color w:val="auto"/>
        </w:rPr>
        <w:t>The following tables provide the carrying value and estimated fair value of our financial instruments that are carried on the unaudited Condensed Consolidated Balance Sheets at amounts other than fair value, summarized according to the fair value hierarchy previously described.</w:t>
      </w:r>
    </w:p>
    <w:p>
      <w:pPr>
        <w:spacing w:after="0" w:line="164" w:lineRule="exact"/>
        <w:rPr>
          <w:sz w:val="20"/>
          <w:szCs w:val="20"/>
          <w:color w:val="auto"/>
        </w:rPr>
      </w:pPr>
    </w:p>
    <w:tbl>
      <w:tblPr>
        <w:tblLayout w:type="fixed"/>
        <w:tblInd w:w="600" w:type="dxa"/>
        <w:tblCellMar>
          <w:top w:w="0" w:type="dxa"/>
          <w:left w:w="0" w:type="dxa"/>
          <w:bottom w:w="0" w:type="dxa"/>
          <w:right w:w="0" w:type="dxa"/>
        </w:tblCellMar>
      </w:tblPr>
      <w:tr>
        <w:trPr>
          <w:trHeight w:val="183"/>
        </w:trPr>
        <w:tc>
          <w:tcPr>
            <w:tcW w:w="3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tcPr>
          <w:p>
            <w:pPr>
              <w:jc w:val="center"/>
              <w:ind w:left="50"/>
              <w:spacing w:after="0"/>
              <w:rPr>
                <w:sz w:val="20"/>
                <w:szCs w:val="20"/>
                <w:color w:val="auto"/>
              </w:rPr>
            </w:pPr>
            <w:r>
              <w:rPr>
                <w:rFonts w:ascii="Arial" w:cs="Arial" w:eastAsia="Arial" w:hAnsi="Arial"/>
                <w:sz w:val="14"/>
                <w:szCs w:val="14"/>
                <w:b w:val="1"/>
                <w:bCs w:val="1"/>
                <w:color w:val="auto"/>
                <w:w w:val="87"/>
              </w:rPr>
              <w:t>June 30, 2022</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7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left="50"/>
              <w:spacing w:after="0"/>
              <w:rPr>
                <w:sz w:val="20"/>
                <w:szCs w:val="20"/>
                <w:color w:val="auto"/>
              </w:rPr>
            </w:pPr>
            <w:r>
              <w:rPr>
                <w:rFonts w:ascii="Arial" w:cs="Arial" w:eastAsia="Arial" w:hAnsi="Arial"/>
                <w:sz w:val="14"/>
                <w:szCs w:val="14"/>
                <w:b w:val="1"/>
                <w:bCs w:val="1"/>
                <w:color w:val="auto"/>
                <w:w w:val="91"/>
              </w:rPr>
              <w:t>(in millions)</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7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1"/>
                <w:szCs w:val="11"/>
                <w:color w:val="auto"/>
              </w:rPr>
            </w:pPr>
          </w:p>
        </w:tc>
        <w:tc>
          <w:tcPr>
            <w:tcW w:w="10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Level 3</w:t>
            </w:r>
          </w:p>
        </w:tc>
        <w:tc>
          <w:tcPr>
            <w:tcW w:w="1420" w:type="dxa"/>
            <w:vAlign w:val="bottom"/>
            <w:gridSpan w:val="3"/>
          </w:tcPr>
          <w:p>
            <w:pPr>
              <w:jc w:val="center"/>
              <w:ind w:right="100"/>
              <w:spacing w:after="0" w:line="130" w:lineRule="exact"/>
              <w:rPr>
                <w:sz w:val="20"/>
                <w:szCs w:val="20"/>
                <w:color w:val="auto"/>
              </w:rPr>
            </w:pPr>
            <w:r>
              <w:rPr>
                <w:rFonts w:ascii="Arial" w:cs="Arial" w:eastAsia="Arial" w:hAnsi="Arial"/>
                <w:sz w:val="14"/>
                <w:szCs w:val="14"/>
                <w:b w:val="1"/>
                <w:bCs w:val="1"/>
                <w:color w:val="auto"/>
                <w:w w:val="92"/>
              </w:rPr>
              <w:t>Total Estimated Fair</w:t>
            </w:r>
          </w:p>
        </w:tc>
        <w:tc>
          <w:tcPr>
            <w:tcW w:w="100" w:type="dxa"/>
            <w:vAlign w:val="bottom"/>
          </w:tcPr>
          <w:p>
            <w:pPr>
              <w:spacing w:after="0"/>
              <w:rPr>
                <w:sz w:val="11"/>
                <w:szCs w:val="11"/>
                <w:color w:val="auto"/>
              </w:rPr>
            </w:pPr>
          </w:p>
        </w:tc>
        <w:tc>
          <w:tcPr>
            <w:tcW w:w="1220" w:type="dxa"/>
            <w:vAlign w:val="bottom"/>
            <w:vMerge w:val="restart"/>
          </w:tcPr>
          <w:p>
            <w:pPr>
              <w:jc w:val="right"/>
              <w:ind w:right="50"/>
              <w:spacing w:after="0"/>
              <w:rPr>
                <w:sz w:val="20"/>
                <w:szCs w:val="20"/>
                <w:color w:val="auto"/>
              </w:rPr>
            </w:pPr>
            <w:r>
              <w:rPr>
                <w:rFonts w:ascii="Arial" w:cs="Arial" w:eastAsia="Arial" w:hAnsi="Arial"/>
                <w:sz w:val="14"/>
                <w:szCs w:val="14"/>
                <w:b w:val="1"/>
                <w:bCs w:val="1"/>
                <w:color w:val="auto"/>
                <w:w w:val="94"/>
              </w:rPr>
              <w:t>Carrying Amount</w:t>
            </w:r>
          </w:p>
        </w:tc>
        <w:tc>
          <w:tcPr>
            <w:tcW w:w="0" w:type="dxa"/>
            <w:vAlign w:val="bottom"/>
          </w:tcPr>
          <w:p>
            <w:pPr>
              <w:spacing w:after="0"/>
              <w:rPr>
                <w:sz w:val="1"/>
                <w:szCs w:val="1"/>
                <w:color w:val="auto"/>
              </w:rPr>
            </w:pPr>
          </w:p>
        </w:tc>
      </w:tr>
      <w:tr>
        <w:trPr>
          <w:trHeight w:val="184"/>
        </w:trPr>
        <w:tc>
          <w:tcPr>
            <w:tcW w:w="37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84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700" w:type="dxa"/>
            <w:vAlign w:val="bottom"/>
          </w:tcPr>
          <w:p>
            <w:pPr>
              <w:ind w:left="20"/>
              <w:spacing w:after="0"/>
              <w:rPr>
                <w:sz w:val="20"/>
                <w:szCs w:val="20"/>
                <w:color w:val="auto"/>
              </w:rPr>
            </w:pPr>
            <w:r>
              <w:rPr>
                <w:rFonts w:ascii="Arial" w:cs="Arial" w:eastAsia="Arial" w:hAnsi="Arial"/>
                <w:sz w:val="14"/>
                <w:szCs w:val="14"/>
                <w:color w:val="auto"/>
              </w:rPr>
              <w:t>FHLB common stock</w:t>
            </w:r>
          </w:p>
        </w:tc>
        <w:tc>
          <w:tcPr>
            <w:tcW w:w="840" w:type="dxa"/>
            <w:vAlign w:val="bottom"/>
          </w:tcPr>
          <w:p>
            <w:pPr>
              <w:jc w:val="right"/>
              <w:ind w:right="670"/>
              <w:spacing w:after="0"/>
              <w:rPr>
                <w:sz w:val="20"/>
                <w:szCs w:val="20"/>
                <w:color w:val="auto"/>
              </w:rPr>
            </w:pPr>
            <w:r>
              <w:rPr>
                <w:rFonts w:ascii="Arial" w:cs="Arial" w:eastAsia="Arial" w:hAnsi="Arial"/>
                <w:sz w:val="14"/>
                <w:szCs w:val="14"/>
                <w:color w:val="auto"/>
              </w:rPr>
              <w:t>$</w:t>
            </w:r>
          </w:p>
        </w:tc>
        <w:tc>
          <w:tcPr>
            <w:tcW w:w="3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15"/>
                <w:szCs w:val="15"/>
                <w:color w:val="auto"/>
              </w:rPr>
            </w:pPr>
          </w:p>
        </w:tc>
        <w:tc>
          <w:tcPr>
            <w:tcW w:w="2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30"/>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ind w:right="10"/>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87"/>
        </w:trPr>
        <w:tc>
          <w:tcPr>
            <w:tcW w:w="3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Commercial mortgage loans</w:t>
            </w:r>
          </w:p>
        </w:tc>
        <w:tc>
          <w:tcPr>
            <w:tcW w:w="840" w:type="dxa"/>
            <w:vAlign w:val="bottom"/>
            <w:shd w:val="clear" w:color="auto" w:fill="CCEEFF"/>
          </w:tcPr>
          <w:p>
            <w:pPr>
              <w:spacing w:after="0"/>
              <w:rPr>
                <w:sz w:val="16"/>
                <w:szCs w:val="16"/>
                <w:color w:val="auto"/>
              </w:rPr>
            </w:pP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2,119</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2,315</w:t>
            </w:r>
          </w:p>
        </w:tc>
        <w:tc>
          <w:tcPr>
            <w:tcW w:w="0" w:type="dxa"/>
            <w:vAlign w:val="bottom"/>
          </w:tcPr>
          <w:p>
            <w:pPr>
              <w:spacing w:after="0"/>
              <w:rPr>
                <w:sz w:val="1"/>
                <w:szCs w:val="1"/>
                <w:color w:val="auto"/>
              </w:rPr>
            </w:pPr>
          </w:p>
        </w:tc>
      </w:tr>
      <w:tr>
        <w:trPr>
          <w:trHeight w:val="182"/>
        </w:trPr>
        <w:tc>
          <w:tcPr>
            <w:tcW w:w="3700" w:type="dxa"/>
            <w:vAlign w:val="bottom"/>
          </w:tcPr>
          <w:p>
            <w:pPr>
              <w:ind w:left="20"/>
              <w:spacing w:after="0"/>
              <w:rPr>
                <w:sz w:val="20"/>
                <w:szCs w:val="20"/>
                <w:color w:val="auto"/>
              </w:rPr>
            </w:pPr>
            <w:r>
              <w:rPr>
                <w:rFonts w:ascii="Arial" w:cs="Arial" w:eastAsia="Arial" w:hAnsi="Arial"/>
                <w:sz w:val="14"/>
                <w:szCs w:val="14"/>
                <w:color w:val="auto"/>
              </w:rPr>
              <w:t>Residential mortgage loans</w:t>
            </w:r>
          </w:p>
        </w:tc>
        <w:tc>
          <w:tcPr>
            <w:tcW w:w="840" w:type="dxa"/>
            <w:vAlign w:val="bottom"/>
          </w:tcPr>
          <w:p>
            <w:pPr>
              <w:spacing w:after="0"/>
              <w:rPr>
                <w:sz w:val="15"/>
                <w:szCs w:val="15"/>
                <w:color w:val="auto"/>
              </w:rPr>
            </w:pPr>
          </w:p>
        </w:tc>
        <w:tc>
          <w:tcPr>
            <w:tcW w:w="3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1,971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1,971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right"/>
              <w:ind w:right="10"/>
              <w:spacing w:after="0"/>
              <w:rPr>
                <w:sz w:val="20"/>
                <w:szCs w:val="20"/>
                <w:color w:val="auto"/>
              </w:rPr>
            </w:pPr>
            <w:r>
              <w:rPr>
                <w:rFonts w:ascii="Arial" w:cs="Arial" w:eastAsia="Arial" w:hAnsi="Arial"/>
                <w:sz w:val="14"/>
                <w:szCs w:val="14"/>
                <w:color w:val="auto"/>
              </w:rPr>
              <w:t>2,122</w:t>
            </w:r>
          </w:p>
        </w:tc>
        <w:tc>
          <w:tcPr>
            <w:tcW w:w="0" w:type="dxa"/>
            <w:vAlign w:val="bottom"/>
          </w:tcPr>
          <w:p>
            <w:pPr>
              <w:spacing w:after="0"/>
              <w:rPr>
                <w:sz w:val="1"/>
                <w:szCs w:val="1"/>
                <w:color w:val="auto"/>
              </w:rPr>
            </w:pPr>
          </w:p>
        </w:tc>
      </w:tr>
      <w:tr>
        <w:trPr>
          <w:trHeight w:val="187"/>
        </w:trPr>
        <w:tc>
          <w:tcPr>
            <w:tcW w:w="3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Policy loans</w:t>
            </w:r>
          </w:p>
        </w:tc>
        <w:tc>
          <w:tcPr>
            <w:tcW w:w="840" w:type="dxa"/>
            <w:vAlign w:val="bottom"/>
            <w:shd w:val="clear" w:color="auto" w:fill="CCEEFF"/>
          </w:tcPr>
          <w:p>
            <w:pPr>
              <w:spacing w:after="0"/>
              <w:rPr>
                <w:sz w:val="16"/>
                <w:szCs w:val="16"/>
                <w:color w:val="auto"/>
              </w:rPr>
            </w:pP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82"/>
        </w:trPr>
        <w:tc>
          <w:tcPr>
            <w:tcW w:w="3700" w:type="dxa"/>
            <w:vAlign w:val="bottom"/>
          </w:tcPr>
          <w:p>
            <w:pPr>
              <w:ind w:left="20"/>
              <w:spacing w:after="0"/>
              <w:rPr>
                <w:sz w:val="20"/>
                <w:szCs w:val="20"/>
                <w:color w:val="auto"/>
              </w:rPr>
            </w:pPr>
            <w:r>
              <w:rPr>
                <w:rFonts w:ascii="Arial" w:cs="Arial" w:eastAsia="Arial" w:hAnsi="Arial"/>
                <w:sz w:val="14"/>
                <w:szCs w:val="14"/>
                <w:color w:val="auto"/>
              </w:rPr>
              <w:t>Other invested assets</w:t>
            </w:r>
          </w:p>
        </w:tc>
        <w:tc>
          <w:tcPr>
            <w:tcW w:w="840" w:type="dxa"/>
            <w:vAlign w:val="bottom"/>
          </w:tcPr>
          <w:p>
            <w:pPr>
              <w:spacing w:after="0"/>
              <w:rPr>
                <w:sz w:val="15"/>
                <w:szCs w:val="15"/>
                <w:color w:val="auto"/>
              </w:rPr>
            </w:pPr>
          </w:p>
        </w:tc>
        <w:tc>
          <w:tcPr>
            <w:tcW w:w="3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right"/>
              <w:ind w:right="10"/>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87"/>
        </w:trPr>
        <w:tc>
          <w:tcPr>
            <w:tcW w:w="3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Company-owned life insurance</w:t>
            </w:r>
          </w:p>
        </w:tc>
        <w:tc>
          <w:tcPr>
            <w:tcW w:w="840" w:type="dxa"/>
            <w:vAlign w:val="bottom"/>
            <w:shd w:val="clear" w:color="auto" w:fill="CCEEFF"/>
          </w:tcPr>
          <w:p>
            <w:pPr>
              <w:spacing w:after="0"/>
              <w:rPr>
                <w:sz w:val="16"/>
                <w:szCs w:val="16"/>
                <w:color w:val="auto"/>
              </w:rPr>
            </w:pP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352</w:t>
            </w:r>
          </w:p>
        </w:tc>
        <w:tc>
          <w:tcPr>
            <w:tcW w:w="0" w:type="dxa"/>
            <w:vAlign w:val="bottom"/>
          </w:tcPr>
          <w:p>
            <w:pPr>
              <w:spacing w:after="0"/>
              <w:rPr>
                <w:sz w:val="1"/>
                <w:szCs w:val="1"/>
                <w:color w:val="auto"/>
              </w:rPr>
            </w:pPr>
          </w:p>
        </w:tc>
      </w:tr>
      <w:tr>
        <w:trPr>
          <w:trHeight w:val="182"/>
        </w:trPr>
        <w:tc>
          <w:tcPr>
            <w:tcW w:w="3700" w:type="dxa"/>
            <w:vAlign w:val="bottom"/>
          </w:tcPr>
          <w:p>
            <w:pPr>
              <w:ind w:left="20"/>
              <w:spacing w:after="0"/>
              <w:rPr>
                <w:sz w:val="20"/>
                <w:szCs w:val="20"/>
                <w:color w:val="auto"/>
              </w:rPr>
            </w:pPr>
            <w:r>
              <w:rPr>
                <w:rFonts w:ascii="Arial" w:cs="Arial" w:eastAsia="Arial" w:hAnsi="Arial"/>
                <w:sz w:val="14"/>
                <w:szCs w:val="14"/>
                <w:color w:val="auto"/>
              </w:rPr>
              <w:t>Trade and notes receivables, net of allowance</w:t>
            </w:r>
          </w:p>
        </w:tc>
        <w:tc>
          <w:tcPr>
            <w:tcW w:w="840" w:type="dxa"/>
            <w:vAlign w:val="bottom"/>
          </w:tcPr>
          <w:p>
            <w:pPr>
              <w:spacing w:after="0"/>
              <w:rPr>
                <w:sz w:val="15"/>
                <w:szCs w:val="15"/>
                <w:color w:val="auto"/>
              </w:rPr>
            </w:pPr>
          </w:p>
        </w:tc>
        <w:tc>
          <w:tcPr>
            <w:tcW w:w="3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616</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616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right"/>
              <w:ind w:right="10"/>
              <w:spacing w:after="0"/>
              <w:rPr>
                <w:sz w:val="20"/>
                <w:szCs w:val="20"/>
                <w:color w:val="auto"/>
              </w:rPr>
            </w:pPr>
            <w:r>
              <w:rPr>
                <w:rFonts w:ascii="Arial" w:cs="Arial" w:eastAsia="Arial" w:hAnsi="Arial"/>
                <w:sz w:val="14"/>
                <w:szCs w:val="14"/>
                <w:color w:val="auto"/>
              </w:rPr>
              <w:t>616</w:t>
            </w:r>
          </w:p>
        </w:tc>
        <w:tc>
          <w:tcPr>
            <w:tcW w:w="0" w:type="dxa"/>
            <w:vAlign w:val="bottom"/>
          </w:tcPr>
          <w:p>
            <w:pPr>
              <w:spacing w:after="0"/>
              <w:rPr>
                <w:sz w:val="1"/>
                <w:szCs w:val="1"/>
                <w:color w:val="auto"/>
              </w:rPr>
            </w:pPr>
          </w:p>
        </w:tc>
      </w:tr>
      <w:tr>
        <w:trPr>
          <w:trHeight w:val="205"/>
        </w:trPr>
        <w:tc>
          <w:tcPr>
            <w:tcW w:w="37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4"/>
                <w:szCs w:val="14"/>
                <w:b w:val="1"/>
                <w:bCs w:val="1"/>
                <w:color w:val="auto"/>
              </w:rPr>
              <w:t>Total</w:t>
            </w:r>
          </w:p>
        </w:tc>
        <w:tc>
          <w:tcPr>
            <w:tcW w:w="840" w:type="dxa"/>
            <w:vAlign w:val="bottom"/>
            <w:tcBorders>
              <w:top w:val="single" w:sz="8" w:color="auto"/>
              <w:bottom w:val="single" w:sz="8" w:color="auto"/>
            </w:tcBorders>
            <w:shd w:val="clear" w:color="auto" w:fill="CCEEFF"/>
          </w:tcPr>
          <w:p>
            <w:pPr>
              <w:jc w:val="right"/>
              <w:ind w:right="670"/>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5,171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5,261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5,608</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37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8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700" w:type="dxa"/>
            <w:vAlign w:val="bottom"/>
          </w:tcPr>
          <w:p>
            <w:pPr>
              <w:ind w:left="20"/>
              <w:spacing w:after="0"/>
              <w:rPr>
                <w:sz w:val="20"/>
                <w:szCs w:val="20"/>
                <w:color w:val="auto"/>
              </w:rPr>
            </w:pPr>
            <w:r>
              <w:rPr>
                <w:rFonts w:ascii="Arial" w:cs="Arial" w:eastAsia="Arial" w:hAnsi="Arial"/>
                <w:sz w:val="14"/>
                <w:szCs w:val="14"/>
                <w:color w:val="auto"/>
              </w:rPr>
              <w:t>Investment contracts, included in contractholder funds</w:t>
            </w:r>
          </w:p>
        </w:tc>
        <w:tc>
          <w:tcPr>
            <w:tcW w:w="840" w:type="dxa"/>
            <w:vAlign w:val="bottom"/>
          </w:tcPr>
          <w:p>
            <w:pPr>
              <w:jc w:val="right"/>
              <w:ind w:right="670"/>
              <w:spacing w:after="0"/>
              <w:rPr>
                <w:sz w:val="20"/>
                <w:szCs w:val="20"/>
                <w:color w:val="auto"/>
              </w:rPr>
            </w:pPr>
            <w:r>
              <w:rPr>
                <w:rFonts w:ascii="Arial" w:cs="Arial" w:eastAsia="Arial" w:hAnsi="Arial"/>
                <w:sz w:val="14"/>
                <w:szCs w:val="14"/>
                <w:color w:val="auto"/>
              </w:rPr>
              <w:t>$</w:t>
            </w:r>
          </w:p>
        </w:tc>
        <w:tc>
          <w:tcPr>
            <w:tcW w:w="3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31,550</w:t>
            </w:r>
          </w:p>
        </w:tc>
        <w:tc>
          <w:tcPr>
            <w:tcW w:w="120" w:type="dxa"/>
            <w:vAlign w:val="bottom"/>
          </w:tcPr>
          <w:p>
            <w:pPr>
              <w:spacing w:after="0"/>
              <w:rPr>
                <w:sz w:val="15"/>
                <w:szCs w:val="15"/>
                <w:color w:val="auto"/>
              </w:rPr>
            </w:pPr>
          </w:p>
        </w:tc>
        <w:tc>
          <w:tcPr>
            <w:tcW w:w="280" w:type="dxa"/>
            <w:vAlign w:val="bottom"/>
          </w:tcPr>
          <w:p>
            <w:pPr>
              <w:jc w:val="right"/>
              <w:ind w:right="130"/>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31,550</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ind w:right="10"/>
              <w:spacing w:after="0"/>
              <w:rPr>
                <w:sz w:val="20"/>
                <w:szCs w:val="20"/>
                <w:color w:val="auto"/>
              </w:rPr>
            </w:pPr>
            <w:r>
              <w:rPr>
                <w:rFonts w:ascii="Arial" w:cs="Arial" w:eastAsia="Arial" w:hAnsi="Arial"/>
                <w:sz w:val="14"/>
                <w:szCs w:val="14"/>
                <w:color w:val="auto"/>
              </w:rPr>
              <w:t>34,990</w:t>
            </w:r>
          </w:p>
        </w:tc>
        <w:tc>
          <w:tcPr>
            <w:tcW w:w="0" w:type="dxa"/>
            <w:vAlign w:val="bottom"/>
          </w:tcPr>
          <w:p>
            <w:pPr>
              <w:spacing w:after="0"/>
              <w:rPr>
                <w:sz w:val="1"/>
                <w:szCs w:val="1"/>
                <w:color w:val="auto"/>
              </w:rPr>
            </w:pPr>
          </w:p>
        </w:tc>
      </w:tr>
      <w:tr>
        <w:trPr>
          <w:trHeight w:val="187"/>
        </w:trPr>
        <w:tc>
          <w:tcPr>
            <w:tcW w:w="3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Debt</w:t>
            </w:r>
          </w:p>
        </w:tc>
        <w:tc>
          <w:tcPr>
            <w:tcW w:w="840" w:type="dxa"/>
            <w:vAlign w:val="bottom"/>
            <w:shd w:val="clear" w:color="auto" w:fill="CCEEFF"/>
          </w:tcPr>
          <w:p>
            <w:pPr>
              <w:spacing w:after="0"/>
              <w:rPr>
                <w:sz w:val="16"/>
                <w:szCs w:val="16"/>
                <w:color w:val="auto"/>
              </w:rPr>
            </w:pP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3,094</w:t>
            </w:r>
          </w:p>
        </w:tc>
        <w:tc>
          <w:tcPr>
            <w:tcW w:w="0" w:type="dxa"/>
            <w:vAlign w:val="bottom"/>
          </w:tcPr>
          <w:p>
            <w:pPr>
              <w:spacing w:after="0"/>
              <w:rPr>
                <w:sz w:val="1"/>
                <w:szCs w:val="1"/>
                <w:color w:val="auto"/>
              </w:rPr>
            </w:pPr>
          </w:p>
        </w:tc>
      </w:tr>
      <w:tr>
        <w:trPr>
          <w:trHeight w:val="177"/>
        </w:trPr>
        <w:tc>
          <w:tcPr>
            <w:tcW w:w="3700" w:type="dxa"/>
            <w:vAlign w:val="bottom"/>
          </w:tcPr>
          <w:p>
            <w:pPr>
              <w:ind w:left="220"/>
              <w:spacing w:after="0"/>
              <w:rPr>
                <w:sz w:val="20"/>
                <w:szCs w:val="20"/>
                <w:color w:val="auto"/>
              </w:rPr>
            </w:pPr>
            <w:r>
              <w:rPr>
                <w:rFonts w:ascii="Arial" w:cs="Arial" w:eastAsia="Arial" w:hAnsi="Arial"/>
                <w:sz w:val="14"/>
                <w:szCs w:val="14"/>
                <w:b w:val="1"/>
                <w:bCs w:val="1"/>
                <w:color w:val="auto"/>
              </w:rPr>
              <w:t>Total</w:t>
            </w:r>
          </w:p>
        </w:tc>
        <w:tc>
          <w:tcPr>
            <w:tcW w:w="84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2,711</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31,550</w:t>
            </w:r>
          </w:p>
        </w:tc>
        <w:tc>
          <w:tcPr>
            <w:tcW w:w="12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34,261</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38,084</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600" w:type="dxa"/>
        <w:tblCellMar>
          <w:top w:w="0" w:type="dxa"/>
          <w:left w:w="0" w:type="dxa"/>
          <w:bottom w:w="0" w:type="dxa"/>
          <w:right w:w="0" w:type="dxa"/>
        </w:tblCellMar>
      </w:tblPr>
      <w:tr>
        <w:trPr>
          <w:trHeight w:val="183"/>
        </w:trPr>
        <w:tc>
          <w:tcPr>
            <w:tcW w:w="3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3"/>
          </w:tcPr>
          <w:p>
            <w:pPr>
              <w:jc w:val="center"/>
              <w:ind w:right="50"/>
              <w:spacing w:after="0"/>
              <w:rPr>
                <w:sz w:val="20"/>
                <w:szCs w:val="20"/>
                <w:color w:val="auto"/>
              </w:rPr>
            </w:pPr>
            <w:r>
              <w:rPr>
                <w:rFonts w:ascii="Arial" w:cs="Arial" w:eastAsia="Arial" w:hAnsi="Arial"/>
                <w:sz w:val="14"/>
                <w:szCs w:val="14"/>
                <w:b w:val="1"/>
                <w:bCs w:val="1"/>
                <w:color w:val="auto"/>
                <w:w w:val="88"/>
              </w:rPr>
              <w:t>December 31, 2021</w:t>
            </w: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7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left="110"/>
              <w:spacing w:after="0"/>
              <w:rPr>
                <w:sz w:val="20"/>
                <w:szCs w:val="20"/>
                <w:color w:val="auto"/>
              </w:rPr>
            </w:pPr>
            <w:r>
              <w:rPr>
                <w:rFonts w:ascii="Arial" w:cs="Arial" w:eastAsia="Arial" w:hAnsi="Arial"/>
                <w:sz w:val="14"/>
                <w:szCs w:val="14"/>
                <w:b w:val="1"/>
                <w:bCs w:val="1"/>
                <w:color w:val="auto"/>
                <w:w w:val="91"/>
              </w:rPr>
              <w:t>(in millions)</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7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1"/>
                <w:szCs w:val="11"/>
                <w:color w:val="auto"/>
              </w:rPr>
            </w:pPr>
          </w:p>
        </w:tc>
        <w:tc>
          <w:tcPr>
            <w:tcW w:w="10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Level 3</w:t>
            </w:r>
          </w:p>
        </w:tc>
        <w:tc>
          <w:tcPr>
            <w:tcW w:w="1420" w:type="dxa"/>
            <w:vAlign w:val="bottom"/>
            <w:gridSpan w:val="3"/>
          </w:tcPr>
          <w:p>
            <w:pPr>
              <w:jc w:val="center"/>
              <w:ind w:right="100"/>
              <w:spacing w:after="0" w:line="130" w:lineRule="exact"/>
              <w:rPr>
                <w:sz w:val="20"/>
                <w:szCs w:val="20"/>
                <w:color w:val="auto"/>
              </w:rPr>
            </w:pPr>
            <w:r>
              <w:rPr>
                <w:rFonts w:ascii="Arial" w:cs="Arial" w:eastAsia="Arial" w:hAnsi="Arial"/>
                <w:sz w:val="14"/>
                <w:szCs w:val="14"/>
                <w:b w:val="1"/>
                <w:bCs w:val="1"/>
                <w:color w:val="auto"/>
                <w:w w:val="92"/>
              </w:rPr>
              <w:t>Total Estimated Fair</w:t>
            </w:r>
          </w:p>
        </w:tc>
        <w:tc>
          <w:tcPr>
            <w:tcW w:w="100" w:type="dxa"/>
            <w:vAlign w:val="bottom"/>
          </w:tcPr>
          <w:p>
            <w:pPr>
              <w:spacing w:after="0"/>
              <w:rPr>
                <w:sz w:val="11"/>
                <w:szCs w:val="11"/>
                <w:color w:val="auto"/>
              </w:rPr>
            </w:pPr>
          </w:p>
        </w:tc>
        <w:tc>
          <w:tcPr>
            <w:tcW w:w="1220" w:type="dxa"/>
            <w:vAlign w:val="bottom"/>
            <w:vMerge w:val="restart"/>
          </w:tcPr>
          <w:p>
            <w:pPr>
              <w:jc w:val="right"/>
              <w:ind w:right="50"/>
              <w:spacing w:after="0"/>
              <w:rPr>
                <w:sz w:val="20"/>
                <w:szCs w:val="20"/>
                <w:color w:val="auto"/>
              </w:rPr>
            </w:pPr>
            <w:r>
              <w:rPr>
                <w:rFonts w:ascii="Arial" w:cs="Arial" w:eastAsia="Arial" w:hAnsi="Arial"/>
                <w:sz w:val="14"/>
                <w:szCs w:val="14"/>
                <w:b w:val="1"/>
                <w:bCs w:val="1"/>
                <w:color w:val="auto"/>
                <w:w w:val="94"/>
              </w:rPr>
              <w:t>Carrying Amount</w:t>
            </w:r>
          </w:p>
        </w:tc>
        <w:tc>
          <w:tcPr>
            <w:tcW w:w="0" w:type="dxa"/>
            <w:vAlign w:val="bottom"/>
          </w:tcPr>
          <w:p>
            <w:pPr>
              <w:spacing w:after="0"/>
              <w:rPr>
                <w:sz w:val="1"/>
                <w:szCs w:val="1"/>
                <w:color w:val="auto"/>
              </w:rPr>
            </w:pPr>
          </w:p>
        </w:tc>
      </w:tr>
      <w:tr>
        <w:trPr>
          <w:trHeight w:val="184"/>
        </w:trPr>
        <w:tc>
          <w:tcPr>
            <w:tcW w:w="37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84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700" w:type="dxa"/>
            <w:vAlign w:val="bottom"/>
          </w:tcPr>
          <w:p>
            <w:pPr>
              <w:ind w:left="20"/>
              <w:spacing w:after="0"/>
              <w:rPr>
                <w:sz w:val="20"/>
                <w:szCs w:val="20"/>
                <w:color w:val="auto"/>
              </w:rPr>
            </w:pPr>
            <w:r>
              <w:rPr>
                <w:rFonts w:ascii="Arial" w:cs="Arial" w:eastAsia="Arial" w:hAnsi="Arial"/>
                <w:sz w:val="14"/>
                <w:szCs w:val="14"/>
                <w:color w:val="auto"/>
              </w:rPr>
              <w:t>FHLB common stock</w:t>
            </w:r>
          </w:p>
        </w:tc>
        <w:tc>
          <w:tcPr>
            <w:tcW w:w="840" w:type="dxa"/>
            <w:vAlign w:val="bottom"/>
          </w:tcPr>
          <w:p>
            <w:pPr>
              <w:jc w:val="right"/>
              <w:ind w:right="670"/>
              <w:spacing w:after="0"/>
              <w:rPr>
                <w:sz w:val="20"/>
                <w:szCs w:val="20"/>
                <w:color w:val="auto"/>
              </w:rPr>
            </w:pPr>
            <w:r>
              <w:rPr>
                <w:rFonts w:ascii="Arial" w:cs="Arial" w:eastAsia="Arial" w:hAnsi="Arial"/>
                <w:sz w:val="14"/>
                <w:szCs w:val="14"/>
                <w:color w:val="auto"/>
              </w:rPr>
              <w:t>$</w:t>
            </w:r>
          </w:p>
        </w:tc>
        <w:tc>
          <w:tcPr>
            <w:tcW w:w="3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50"/>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72</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ind w:right="10"/>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87"/>
        </w:trPr>
        <w:tc>
          <w:tcPr>
            <w:tcW w:w="3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Commercial mortgage loans</w:t>
            </w:r>
          </w:p>
        </w:tc>
        <w:tc>
          <w:tcPr>
            <w:tcW w:w="840" w:type="dxa"/>
            <w:vAlign w:val="bottom"/>
            <w:shd w:val="clear" w:color="auto" w:fill="CCEEFF"/>
          </w:tcPr>
          <w:p>
            <w:pPr>
              <w:spacing w:after="0"/>
              <w:rPr>
                <w:sz w:val="16"/>
                <w:szCs w:val="16"/>
                <w:color w:val="auto"/>
              </w:rPr>
            </w:pP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2,265</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2,168</w:t>
            </w:r>
          </w:p>
        </w:tc>
        <w:tc>
          <w:tcPr>
            <w:tcW w:w="0" w:type="dxa"/>
            <w:vAlign w:val="bottom"/>
          </w:tcPr>
          <w:p>
            <w:pPr>
              <w:spacing w:after="0"/>
              <w:rPr>
                <w:sz w:val="1"/>
                <w:szCs w:val="1"/>
                <w:color w:val="auto"/>
              </w:rPr>
            </w:pPr>
          </w:p>
        </w:tc>
      </w:tr>
      <w:tr>
        <w:trPr>
          <w:trHeight w:val="182"/>
        </w:trPr>
        <w:tc>
          <w:tcPr>
            <w:tcW w:w="3700" w:type="dxa"/>
            <w:vAlign w:val="bottom"/>
          </w:tcPr>
          <w:p>
            <w:pPr>
              <w:ind w:left="20"/>
              <w:spacing w:after="0"/>
              <w:rPr>
                <w:sz w:val="20"/>
                <w:szCs w:val="20"/>
                <w:color w:val="auto"/>
              </w:rPr>
            </w:pPr>
            <w:r>
              <w:rPr>
                <w:rFonts w:ascii="Arial" w:cs="Arial" w:eastAsia="Arial" w:hAnsi="Arial"/>
                <w:sz w:val="14"/>
                <w:szCs w:val="14"/>
                <w:color w:val="auto"/>
              </w:rPr>
              <w:t>Residential mortgage loans</w:t>
            </w:r>
          </w:p>
        </w:tc>
        <w:tc>
          <w:tcPr>
            <w:tcW w:w="840" w:type="dxa"/>
            <w:vAlign w:val="bottom"/>
          </w:tcPr>
          <w:p>
            <w:pPr>
              <w:spacing w:after="0"/>
              <w:rPr>
                <w:sz w:val="15"/>
                <w:szCs w:val="15"/>
                <w:color w:val="auto"/>
              </w:rPr>
            </w:pPr>
          </w:p>
        </w:tc>
        <w:tc>
          <w:tcPr>
            <w:tcW w:w="3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1,549</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1,549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right"/>
              <w:ind w:right="10"/>
              <w:spacing w:after="0"/>
              <w:rPr>
                <w:sz w:val="20"/>
                <w:szCs w:val="20"/>
                <w:color w:val="auto"/>
              </w:rPr>
            </w:pPr>
            <w:r>
              <w:rPr>
                <w:rFonts w:ascii="Arial" w:cs="Arial" w:eastAsia="Arial" w:hAnsi="Arial"/>
                <w:sz w:val="14"/>
                <w:szCs w:val="14"/>
                <w:color w:val="auto"/>
              </w:rPr>
              <w:t>1,581</w:t>
            </w:r>
          </w:p>
        </w:tc>
        <w:tc>
          <w:tcPr>
            <w:tcW w:w="0" w:type="dxa"/>
            <w:vAlign w:val="bottom"/>
          </w:tcPr>
          <w:p>
            <w:pPr>
              <w:spacing w:after="0"/>
              <w:rPr>
                <w:sz w:val="1"/>
                <w:szCs w:val="1"/>
                <w:color w:val="auto"/>
              </w:rPr>
            </w:pPr>
          </w:p>
        </w:tc>
      </w:tr>
      <w:tr>
        <w:trPr>
          <w:trHeight w:val="187"/>
        </w:trPr>
        <w:tc>
          <w:tcPr>
            <w:tcW w:w="3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Policy loans</w:t>
            </w:r>
          </w:p>
        </w:tc>
        <w:tc>
          <w:tcPr>
            <w:tcW w:w="840" w:type="dxa"/>
            <w:vAlign w:val="bottom"/>
            <w:shd w:val="clear" w:color="auto" w:fill="CCEEFF"/>
          </w:tcPr>
          <w:p>
            <w:pPr>
              <w:spacing w:after="0"/>
              <w:rPr>
                <w:sz w:val="16"/>
                <w:szCs w:val="16"/>
                <w:color w:val="auto"/>
              </w:rPr>
            </w:pP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82"/>
        </w:trPr>
        <w:tc>
          <w:tcPr>
            <w:tcW w:w="3700" w:type="dxa"/>
            <w:vAlign w:val="bottom"/>
          </w:tcPr>
          <w:p>
            <w:pPr>
              <w:ind w:left="20"/>
              <w:spacing w:after="0"/>
              <w:rPr>
                <w:sz w:val="20"/>
                <w:szCs w:val="20"/>
                <w:color w:val="auto"/>
              </w:rPr>
            </w:pPr>
            <w:r>
              <w:rPr>
                <w:rFonts w:ascii="Arial" w:cs="Arial" w:eastAsia="Arial" w:hAnsi="Arial"/>
                <w:sz w:val="14"/>
                <w:szCs w:val="14"/>
                <w:color w:val="auto"/>
              </w:rPr>
              <w:t>Other invested assets</w:t>
            </w:r>
          </w:p>
        </w:tc>
        <w:tc>
          <w:tcPr>
            <w:tcW w:w="840" w:type="dxa"/>
            <w:vAlign w:val="bottom"/>
          </w:tcPr>
          <w:p>
            <w:pPr>
              <w:spacing w:after="0"/>
              <w:rPr>
                <w:sz w:val="15"/>
                <w:szCs w:val="15"/>
                <w:color w:val="auto"/>
              </w:rPr>
            </w:pPr>
          </w:p>
        </w:tc>
        <w:tc>
          <w:tcPr>
            <w:tcW w:w="3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right"/>
              <w:ind w:right="10"/>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87"/>
        </w:trPr>
        <w:tc>
          <w:tcPr>
            <w:tcW w:w="3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Company-owned life insurance</w:t>
            </w:r>
          </w:p>
        </w:tc>
        <w:tc>
          <w:tcPr>
            <w:tcW w:w="840" w:type="dxa"/>
            <w:vAlign w:val="bottom"/>
            <w:shd w:val="clear" w:color="auto" w:fill="CCEEFF"/>
          </w:tcPr>
          <w:p>
            <w:pPr>
              <w:spacing w:after="0"/>
              <w:rPr>
                <w:sz w:val="16"/>
                <w:szCs w:val="16"/>
                <w:color w:val="auto"/>
              </w:rPr>
            </w:pP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333</w:t>
            </w:r>
          </w:p>
        </w:tc>
        <w:tc>
          <w:tcPr>
            <w:tcW w:w="0" w:type="dxa"/>
            <w:vAlign w:val="bottom"/>
          </w:tcPr>
          <w:p>
            <w:pPr>
              <w:spacing w:after="0"/>
              <w:rPr>
                <w:sz w:val="1"/>
                <w:szCs w:val="1"/>
                <w:color w:val="auto"/>
              </w:rPr>
            </w:pPr>
          </w:p>
        </w:tc>
      </w:tr>
      <w:tr>
        <w:trPr>
          <w:trHeight w:val="182"/>
        </w:trPr>
        <w:tc>
          <w:tcPr>
            <w:tcW w:w="3700" w:type="dxa"/>
            <w:vAlign w:val="bottom"/>
          </w:tcPr>
          <w:p>
            <w:pPr>
              <w:ind w:left="20"/>
              <w:spacing w:after="0"/>
              <w:rPr>
                <w:sz w:val="20"/>
                <w:szCs w:val="20"/>
                <w:color w:val="auto"/>
              </w:rPr>
            </w:pPr>
            <w:r>
              <w:rPr>
                <w:rFonts w:ascii="Arial" w:cs="Arial" w:eastAsia="Arial" w:hAnsi="Arial"/>
                <w:sz w:val="14"/>
                <w:szCs w:val="14"/>
                <w:color w:val="auto"/>
              </w:rPr>
              <w:t>Trade and notes receivables, net of allowance</w:t>
            </w:r>
          </w:p>
        </w:tc>
        <w:tc>
          <w:tcPr>
            <w:tcW w:w="840" w:type="dxa"/>
            <w:vAlign w:val="bottom"/>
          </w:tcPr>
          <w:p>
            <w:pPr>
              <w:spacing w:after="0"/>
              <w:rPr>
                <w:sz w:val="15"/>
                <w:szCs w:val="15"/>
                <w:color w:val="auto"/>
              </w:rPr>
            </w:pPr>
          </w:p>
        </w:tc>
        <w:tc>
          <w:tcPr>
            <w:tcW w:w="3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557</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557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right"/>
              <w:ind w:right="10"/>
              <w:spacing w:after="0"/>
              <w:rPr>
                <w:sz w:val="20"/>
                <w:szCs w:val="20"/>
                <w:color w:val="auto"/>
              </w:rPr>
            </w:pPr>
            <w:r>
              <w:rPr>
                <w:rFonts w:ascii="Arial" w:cs="Arial" w:eastAsia="Arial" w:hAnsi="Arial"/>
                <w:sz w:val="14"/>
                <w:szCs w:val="14"/>
                <w:color w:val="auto"/>
              </w:rPr>
              <w:t>557</w:t>
            </w:r>
          </w:p>
        </w:tc>
        <w:tc>
          <w:tcPr>
            <w:tcW w:w="0" w:type="dxa"/>
            <w:vAlign w:val="bottom"/>
          </w:tcPr>
          <w:p>
            <w:pPr>
              <w:spacing w:after="0"/>
              <w:rPr>
                <w:sz w:val="1"/>
                <w:szCs w:val="1"/>
                <w:color w:val="auto"/>
              </w:rPr>
            </w:pPr>
          </w:p>
        </w:tc>
      </w:tr>
      <w:tr>
        <w:trPr>
          <w:trHeight w:val="205"/>
        </w:trPr>
        <w:tc>
          <w:tcPr>
            <w:tcW w:w="37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w:t>
            </w:r>
          </w:p>
        </w:tc>
        <w:tc>
          <w:tcPr>
            <w:tcW w:w="840" w:type="dxa"/>
            <w:vAlign w:val="bottom"/>
            <w:tcBorders>
              <w:top w:val="single" w:sz="8" w:color="auto"/>
              <w:bottom w:val="single" w:sz="8" w:color="auto"/>
            </w:tcBorders>
            <w:shd w:val="clear" w:color="auto" w:fill="CCEEFF"/>
          </w:tcPr>
          <w:p>
            <w:pPr>
              <w:jc w:val="right"/>
              <w:ind w:right="670"/>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4,800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4,872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4,807</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37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8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700" w:type="dxa"/>
            <w:vAlign w:val="bottom"/>
          </w:tcPr>
          <w:p>
            <w:pPr>
              <w:ind w:left="20"/>
              <w:spacing w:after="0"/>
              <w:rPr>
                <w:sz w:val="20"/>
                <w:szCs w:val="20"/>
                <w:color w:val="auto"/>
              </w:rPr>
            </w:pPr>
            <w:r>
              <w:rPr>
                <w:rFonts w:ascii="Arial" w:cs="Arial" w:eastAsia="Arial" w:hAnsi="Arial"/>
                <w:sz w:val="14"/>
                <w:szCs w:val="14"/>
                <w:color w:val="auto"/>
              </w:rPr>
              <w:t>Investment contracts, included in contractholder funds</w:t>
            </w:r>
          </w:p>
        </w:tc>
        <w:tc>
          <w:tcPr>
            <w:tcW w:w="840" w:type="dxa"/>
            <w:vAlign w:val="bottom"/>
          </w:tcPr>
          <w:p>
            <w:pPr>
              <w:jc w:val="right"/>
              <w:ind w:right="670"/>
              <w:spacing w:after="0"/>
              <w:rPr>
                <w:sz w:val="20"/>
                <w:szCs w:val="20"/>
                <w:color w:val="auto"/>
              </w:rPr>
            </w:pPr>
            <w:r>
              <w:rPr>
                <w:rFonts w:ascii="Arial" w:cs="Arial" w:eastAsia="Arial" w:hAnsi="Arial"/>
                <w:sz w:val="14"/>
                <w:szCs w:val="14"/>
                <w:color w:val="auto"/>
              </w:rPr>
              <w:t>$</w:t>
            </w:r>
          </w:p>
        </w:tc>
        <w:tc>
          <w:tcPr>
            <w:tcW w:w="3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27,448</w:t>
            </w:r>
          </w:p>
        </w:tc>
        <w:tc>
          <w:tcPr>
            <w:tcW w:w="120" w:type="dxa"/>
            <w:vAlign w:val="bottom"/>
          </w:tcPr>
          <w:p>
            <w:pPr>
              <w:spacing w:after="0"/>
              <w:rPr>
                <w:sz w:val="15"/>
                <w:szCs w:val="15"/>
                <w:color w:val="auto"/>
              </w:rPr>
            </w:pPr>
          </w:p>
        </w:tc>
        <w:tc>
          <w:tcPr>
            <w:tcW w:w="300" w:type="dxa"/>
            <w:vAlign w:val="bottom"/>
          </w:tcPr>
          <w:p>
            <w:pPr>
              <w:jc w:val="right"/>
              <w:ind w:right="150"/>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27,448</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ind w:right="10"/>
              <w:spacing w:after="0"/>
              <w:rPr>
                <w:sz w:val="20"/>
                <w:szCs w:val="20"/>
                <w:color w:val="auto"/>
              </w:rPr>
            </w:pPr>
            <w:r>
              <w:rPr>
                <w:rFonts w:ascii="Arial" w:cs="Arial" w:eastAsia="Arial" w:hAnsi="Arial"/>
                <w:sz w:val="14"/>
                <w:szCs w:val="14"/>
                <w:color w:val="auto"/>
              </w:rPr>
              <w:t>31,529</w:t>
            </w:r>
          </w:p>
        </w:tc>
        <w:tc>
          <w:tcPr>
            <w:tcW w:w="0" w:type="dxa"/>
            <w:vAlign w:val="bottom"/>
          </w:tcPr>
          <w:p>
            <w:pPr>
              <w:spacing w:after="0"/>
              <w:rPr>
                <w:sz w:val="1"/>
                <w:szCs w:val="1"/>
                <w:color w:val="auto"/>
              </w:rPr>
            </w:pPr>
          </w:p>
        </w:tc>
      </w:tr>
      <w:tr>
        <w:trPr>
          <w:trHeight w:val="187"/>
        </w:trPr>
        <w:tc>
          <w:tcPr>
            <w:tcW w:w="3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Debt</w:t>
            </w:r>
          </w:p>
        </w:tc>
        <w:tc>
          <w:tcPr>
            <w:tcW w:w="840" w:type="dxa"/>
            <w:vAlign w:val="bottom"/>
            <w:shd w:val="clear" w:color="auto" w:fill="CCEEFF"/>
          </w:tcPr>
          <w:p>
            <w:pPr>
              <w:spacing w:after="0"/>
              <w:rPr>
                <w:sz w:val="16"/>
                <w:szCs w:val="16"/>
                <w:color w:val="auto"/>
              </w:rPr>
            </w:pP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3,218</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3,096</w:t>
            </w:r>
          </w:p>
        </w:tc>
        <w:tc>
          <w:tcPr>
            <w:tcW w:w="0" w:type="dxa"/>
            <w:vAlign w:val="bottom"/>
          </w:tcPr>
          <w:p>
            <w:pPr>
              <w:spacing w:after="0"/>
              <w:rPr>
                <w:sz w:val="1"/>
                <w:szCs w:val="1"/>
                <w:color w:val="auto"/>
              </w:rPr>
            </w:pPr>
          </w:p>
        </w:tc>
      </w:tr>
      <w:tr>
        <w:trPr>
          <w:trHeight w:val="177"/>
        </w:trPr>
        <w:tc>
          <w:tcPr>
            <w:tcW w:w="3700" w:type="dxa"/>
            <w:vAlign w:val="bottom"/>
          </w:tcPr>
          <w:p>
            <w:pPr>
              <w:ind w:left="220"/>
              <w:spacing w:after="0"/>
              <w:rPr>
                <w:sz w:val="20"/>
                <w:szCs w:val="20"/>
                <w:color w:val="auto"/>
              </w:rPr>
            </w:pPr>
            <w:r>
              <w:rPr>
                <w:rFonts w:ascii="Arial" w:cs="Arial" w:eastAsia="Arial" w:hAnsi="Arial"/>
                <w:sz w:val="14"/>
                <w:szCs w:val="14"/>
                <w:color w:val="auto"/>
              </w:rPr>
              <w:t>Total</w:t>
            </w:r>
          </w:p>
        </w:tc>
        <w:tc>
          <w:tcPr>
            <w:tcW w:w="84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3,218</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27,448</w:t>
            </w:r>
          </w:p>
        </w:tc>
        <w:tc>
          <w:tcPr>
            <w:tcW w:w="12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30,666</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34,625</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The following table includes assets that have not been classified in the fair value hierarchy as the value of these investments are measured using the equity method of accounting or net asset value ("NAV") is used as a practical expedient in determining fair value:</w:t>
      </w:r>
    </w:p>
    <w:p>
      <w:pPr>
        <w:spacing w:after="0" w:line="7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00" w:type="dxa"/>
            <w:vAlign w:val="bottom"/>
            <w:gridSpan w:val="4"/>
          </w:tcPr>
          <w:p>
            <w:pPr>
              <w:jc w:val="right"/>
              <w:ind w:right="1250"/>
              <w:spacing w:after="0"/>
              <w:rPr>
                <w:sz w:val="20"/>
                <w:szCs w:val="20"/>
                <w:color w:val="auto"/>
              </w:rPr>
            </w:pPr>
            <w:r>
              <w:rPr>
                <w:rFonts w:ascii="Arial" w:cs="Arial" w:eastAsia="Arial" w:hAnsi="Arial"/>
                <w:sz w:val="14"/>
                <w:szCs w:val="14"/>
                <w:b w:val="1"/>
                <w:bCs w:val="1"/>
                <w:color w:val="auto"/>
                <w:w w:val="92"/>
              </w:rPr>
              <w:t>Carrying Amount</w:t>
            </w:r>
          </w:p>
        </w:tc>
      </w:tr>
      <w:tr>
        <w:trPr>
          <w:trHeight w:val="184"/>
        </w:trPr>
        <w:tc>
          <w:tcPr>
            <w:tcW w:w="6620" w:type="dxa"/>
            <w:vAlign w:val="bottom"/>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480" w:type="dxa"/>
            <w:vAlign w:val="bottom"/>
            <w:tcBorders>
              <w:bottom w:val="single" w:sz="8" w:color="auto"/>
            </w:tcBorders>
          </w:tcPr>
          <w:p>
            <w:pPr>
              <w:spacing w:after="0"/>
              <w:rPr>
                <w:sz w:val="15"/>
                <w:szCs w:val="15"/>
                <w:color w:val="auto"/>
              </w:rPr>
            </w:pPr>
          </w:p>
        </w:tc>
      </w:tr>
      <w:tr>
        <w:trPr>
          <w:trHeight w:val="177"/>
        </w:trPr>
        <w:tc>
          <w:tcPr>
            <w:tcW w:w="6620" w:type="dxa"/>
            <w:vAlign w:val="bottom"/>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2022</w:t>
            </w: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b w:val="1"/>
                <w:bCs w:val="1"/>
                <w:color w:val="auto"/>
                <w:w w:val="88"/>
              </w:rPr>
              <w:t>December 31, 2021</w:t>
            </w:r>
          </w:p>
        </w:tc>
      </w:tr>
      <w:tr>
        <w:trPr>
          <w:trHeight w:val="176"/>
        </w:trPr>
        <w:tc>
          <w:tcPr>
            <w:tcW w:w="6620" w:type="dxa"/>
            <w:vAlign w:val="bottom"/>
          </w:tcPr>
          <w:p>
            <w:pPr>
              <w:ind w:left="20"/>
              <w:spacing w:after="0"/>
              <w:rPr>
                <w:sz w:val="20"/>
                <w:szCs w:val="20"/>
                <w:color w:val="auto"/>
              </w:rPr>
            </w:pPr>
            <w:r>
              <w:rPr>
                <w:rFonts w:ascii="Arial" w:cs="Arial" w:eastAsia="Arial" w:hAnsi="Arial"/>
                <w:sz w:val="14"/>
                <w:szCs w:val="14"/>
                <w:color w:val="auto"/>
              </w:rPr>
              <w:t>Investments in unconsolidated affiliates</w:t>
            </w:r>
          </w:p>
        </w:tc>
        <w:tc>
          <w:tcPr>
            <w:tcW w:w="1320" w:type="dxa"/>
            <w:vAlign w:val="bottom"/>
          </w:tcPr>
          <w:p>
            <w:pPr>
              <w:jc w:val="right"/>
              <w:ind w:right="115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167</w:t>
            </w:r>
          </w:p>
        </w:tc>
        <w:tc>
          <w:tcPr>
            <w:tcW w:w="100" w:type="dxa"/>
            <w:vAlign w:val="bottom"/>
          </w:tcPr>
          <w:p>
            <w:pPr>
              <w:spacing w:after="0"/>
              <w:rPr>
                <w:sz w:val="15"/>
                <w:szCs w:val="15"/>
                <w:color w:val="auto"/>
              </w:rPr>
            </w:pPr>
          </w:p>
        </w:tc>
        <w:tc>
          <w:tcPr>
            <w:tcW w:w="32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136</w:t>
            </w:r>
          </w:p>
        </w:tc>
      </w:tr>
      <w:tr>
        <w:trPr>
          <w:trHeight w:val="187"/>
        </w:trPr>
        <w:tc>
          <w:tcPr>
            <w:tcW w:w="6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securities (NAV)</w:t>
            </w:r>
          </w:p>
        </w:tc>
        <w:tc>
          <w:tcPr>
            <w:tcW w:w="13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r>
      <w:tr>
        <w:trPr>
          <w:trHeight w:val="182"/>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Investments in unconsolidated affiliates (a)</w:t>
            </w:r>
          </w:p>
        </w:tc>
        <w:tc>
          <w:tcPr>
            <w:tcW w:w="13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2,668</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2,350</w:t>
            </w:r>
          </w:p>
        </w:tc>
      </w:tr>
      <w:tr>
        <w:trPr>
          <w:trHeight w:val="202"/>
        </w:trPr>
        <w:tc>
          <w:tcPr>
            <w:tcW w:w="66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115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2,879</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2,534</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left="480"/>
        <w:spacing w:after="0"/>
        <w:rPr>
          <w:sz w:val="20"/>
          <w:szCs w:val="20"/>
          <w:color w:val="auto"/>
        </w:rPr>
      </w:pPr>
      <w:r>
        <w:rPr>
          <w:rFonts w:ascii="Arial" w:cs="Arial" w:eastAsia="Arial" w:hAnsi="Arial"/>
          <w:sz w:val="14"/>
          <w:szCs w:val="14"/>
          <w:color w:val="auto"/>
        </w:rPr>
        <w:t>(a) The fair value of these investments using the NAV practical expedient and their carrying amount are generally equal.</w:t>
      </w:r>
    </w:p>
    <w:p>
      <w:pPr>
        <w:spacing w:after="0" w:line="200" w:lineRule="exact"/>
        <w:rPr>
          <w:sz w:val="20"/>
          <w:szCs w:val="20"/>
          <w:color w:val="auto"/>
        </w:rPr>
      </w:pPr>
    </w:p>
    <w:p>
      <w:pPr>
        <w:spacing w:after="0" w:line="224"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For investments for which NAV is used as a practical expedient for fair value, we do not have any significant restrictions in our ability to liquidate our positions in these investments, other than obtaining general partner approval, nor do we believe it is probable a price less than NAV would be received in the event of a liquidation. We account for our investment in unconsolidated affiliates using the equity method of accounting. Equity method investments are reported on a lag of up to three months for investee information not received timely.</w:t>
      </w:r>
    </w:p>
    <w:p>
      <w:pPr>
        <w:spacing w:after="0" w:line="59"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We review the fair value hierarchy classifications each reporting period. Changes in the observability of the valuation attributes may result in a reclassification of certain financial assets or liabilities. Such reclassifications are reported as transfers in and out of Level 3, or between other levels, at the beginning fair value for the reporting period in which the changes occur. The transfers into and out of Level 3 were related to changes in the primary pricing source and changes in the observability of external information used in determining the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Derivative Financial Instruments</w:t>
      </w:r>
    </w:p>
    <w:p>
      <w:pPr>
        <w:spacing w:after="0" w:line="167" w:lineRule="exact"/>
        <w:rPr>
          <w:sz w:val="20"/>
          <w:szCs w:val="20"/>
          <w:color w:val="auto"/>
        </w:rPr>
      </w:pPr>
    </w:p>
    <w:p>
      <w:pPr>
        <w:ind w:firstLine="395"/>
        <w:spacing w:after="0" w:line="261" w:lineRule="auto"/>
        <w:rPr>
          <w:sz w:val="20"/>
          <w:szCs w:val="20"/>
          <w:color w:val="auto"/>
        </w:rPr>
      </w:pPr>
      <w:r>
        <w:rPr>
          <w:rFonts w:ascii="Arial" w:cs="Arial" w:eastAsia="Arial" w:hAnsi="Arial"/>
          <w:sz w:val="18"/>
          <w:szCs w:val="18"/>
          <w:color w:val="auto"/>
        </w:rPr>
        <w:t>The carrying amounts of derivative instruments, including derivative instruments embedded in FIA and IUL contracts, and reinsurance is as follows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2022</w:t>
            </w:r>
          </w:p>
        </w:tc>
        <w:tc>
          <w:tcPr>
            <w:tcW w:w="4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w w:val="98"/>
              </w:rPr>
              <w:t>December 31, 2021</w:t>
            </w:r>
          </w:p>
        </w:tc>
      </w:tr>
      <w:tr>
        <w:trPr>
          <w:trHeight w:val="166"/>
        </w:trPr>
        <w:tc>
          <w:tcPr>
            <w:tcW w:w="7460" w:type="dxa"/>
            <w:vAlign w:val="bottom"/>
            <w:gridSpan w:val="2"/>
          </w:tcPr>
          <w:p>
            <w:pPr>
              <w:ind w:left="20"/>
              <w:spacing w:after="0"/>
              <w:rPr>
                <w:sz w:val="20"/>
                <w:szCs w:val="20"/>
                <w:color w:val="auto"/>
              </w:rPr>
            </w:pPr>
            <w:r>
              <w:rPr>
                <w:rFonts w:ascii="Arial" w:cs="Arial" w:eastAsia="Arial" w:hAnsi="Arial"/>
                <w:sz w:val="14"/>
                <w:szCs w:val="14"/>
                <w:b w:val="1"/>
                <w:bCs w:val="1"/>
                <w:color w:val="auto"/>
              </w:rPr>
              <w:t>Assets:</w:t>
            </w:r>
          </w:p>
        </w:tc>
        <w:tc>
          <w:tcPr>
            <w:tcW w:w="1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90"/>
        </w:trPr>
        <w:tc>
          <w:tcPr>
            <w:tcW w:w="7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Derivative investments:</w:t>
            </w:r>
          </w:p>
        </w:tc>
        <w:tc>
          <w:tcPr>
            <w:tcW w:w="13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r>
      <w:tr>
        <w:trPr>
          <w:trHeight w:val="182"/>
        </w:trPr>
        <w:tc>
          <w:tcPr>
            <w:tcW w:w="7460" w:type="dxa"/>
            <w:vAlign w:val="bottom"/>
            <w:gridSpan w:val="2"/>
          </w:tcPr>
          <w:p>
            <w:pPr>
              <w:ind w:left="220"/>
              <w:spacing w:after="0"/>
              <w:rPr>
                <w:sz w:val="20"/>
                <w:szCs w:val="20"/>
                <w:color w:val="auto"/>
              </w:rPr>
            </w:pPr>
            <w:r>
              <w:rPr>
                <w:rFonts w:ascii="Arial" w:cs="Arial" w:eastAsia="Arial" w:hAnsi="Arial"/>
                <w:sz w:val="14"/>
                <w:szCs w:val="14"/>
                <w:color w:val="auto"/>
              </w:rPr>
              <w:t>Call options</w:t>
            </w:r>
          </w:p>
        </w:tc>
        <w:tc>
          <w:tcPr>
            <w:tcW w:w="1380" w:type="dxa"/>
            <w:vAlign w:val="bottom"/>
          </w:tcPr>
          <w:p>
            <w:pPr>
              <w:jc w:val="right"/>
              <w:ind w:right="1238"/>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145</w:t>
            </w:r>
          </w:p>
        </w:tc>
        <w:tc>
          <w:tcPr>
            <w:tcW w:w="80" w:type="dxa"/>
            <w:vAlign w:val="bottom"/>
          </w:tcPr>
          <w:p>
            <w:pPr>
              <w:spacing w:after="0"/>
              <w:rPr>
                <w:sz w:val="15"/>
                <w:szCs w:val="15"/>
                <w:color w:val="auto"/>
              </w:rPr>
            </w:pPr>
          </w:p>
        </w:tc>
        <w:tc>
          <w:tcPr>
            <w:tcW w:w="24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1620" w:type="dxa"/>
            <w:vAlign w:val="bottom"/>
          </w:tcPr>
          <w:p>
            <w:pPr>
              <w:jc w:val="right"/>
              <w:spacing w:after="0"/>
              <w:rPr>
                <w:sz w:val="20"/>
                <w:szCs w:val="20"/>
                <w:color w:val="auto"/>
              </w:rPr>
            </w:pPr>
            <w:r>
              <w:rPr>
                <w:rFonts w:ascii="Arial" w:cs="Arial" w:eastAsia="Arial" w:hAnsi="Arial"/>
                <w:sz w:val="14"/>
                <w:szCs w:val="14"/>
                <w:color w:val="auto"/>
              </w:rPr>
              <w:t>816</w:t>
            </w:r>
          </w:p>
        </w:tc>
      </w:tr>
      <w:tr>
        <w:trPr>
          <w:trHeight w:val="187"/>
        </w:trPr>
        <w:tc>
          <w:tcPr>
            <w:tcW w:w="74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Foreign currency forward</w:t>
            </w:r>
          </w:p>
        </w:tc>
        <w:tc>
          <w:tcPr>
            <w:tcW w:w="13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7460" w:type="dxa"/>
            <w:vAlign w:val="bottom"/>
            <w:gridSpan w:val="2"/>
          </w:tcPr>
          <w:p>
            <w:pPr>
              <w:ind w:left="20"/>
              <w:spacing w:after="0"/>
              <w:rPr>
                <w:sz w:val="20"/>
                <w:szCs w:val="20"/>
                <w:color w:val="auto"/>
              </w:rPr>
            </w:pPr>
            <w:r>
              <w:rPr>
                <w:rFonts w:ascii="Arial" w:cs="Arial" w:eastAsia="Arial" w:hAnsi="Arial"/>
                <w:sz w:val="14"/>
                <w:szCs w:val="14"/>
                <w:color w:val="auto"/>
              </w:rPr>
              <w:t>Other long-term investments:</w:t>
            </w:r>
          </w:p>
        </w:tc>
        <w:tc>
          <w:tcPr>
            <w:tcW w:w="1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87"/>
        </w:trPr>
        <w:tc>
          <w:tcPr>
            <w:tcW w:w="74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Other embedded derivatives</w:t>
            </w:r>
          </w:p>
        </w:tc>
        <w:tc>
          <w:tcPr>
            <w:tcW w:w="13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r>
      <w:tr>
        <w:trPr>
          <w:trHeight w:val="182"/>
        </w:trPr>
        <w:tc>
          <w:tcPr>
            <w:tcW w:w="7460" w:type="dxa"/>
            <w:vAlign w:val="bottom"/>
            <w:gridSpan w:val="2"/>
          </w:tcPr>
          <w:p>
            <w:pPr>
              <w:ind w:left="20"/>
              <w:spacing w:after="0"/>
              <w:rPr>
                <w:sz w:val="20"/>
                <w:szCs w:val="20"/>
                <w:color w:val="auto"/>
              </w:rPr>
            </w:pPr>
            <w:r>
              <w:rPr>
                <w:rFonts w:ascii="Arial" w:cs="Arial" w:eastAsia="Arial" w:hAnsi="Arial"/>
                <w:sz w:val="14"/>
                <w:szCs w:val="14"/>
                <w:color w:val="auto"/>
              </w:rPr>
              <w:t>Prepaid expenses and other assets:</w:t>
            </w:r>
          </w:p>
        </w:tc>
        <w:tc>
          <w:tcPr>
            <w:tcW w:w="1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84"/>
        </w:trPr>
        <w:tc>
          <w:tcPr>
            <w:tcW w:w="74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Reinsurance related embedded derivatives</w:t>
            </w:r>
          </w:p>
        </w:tc>
        <w:tc>
          <w:tcPr>
            <w:tcW w:w="13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w:t>
            </w:r>
          </w:p>
        </w:tc>
        <w:tc>
          <w:tcPr>
            <w:tcW w:w="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7"/>
        </w:trPr>
        <w:tc>
          <w:tcPr>
            <w:tcW w:w="7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tcBorders>
              <w:bottom w:val="single" w:sz="8" w:color="auto"/>
            </w:tcBorders>
          </w:tcPr>
          <w:p>
            <w:pPr>
              <w:jc w:val="right"/>
              <w:ind w:right="1238"/>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360</w:t>
            </w:r>
          </w:p>
        </w:tc>
        <w:tc>
          <w:tcPr>
            <w:tcW w:w="80" w:type="dxa"/>
            <w:vAlign w:val="bottom"/>
          </w:tcPr>
          <w:p>
            <w:pPr>
              <w:spacing w:after="0"/>
              <w:rPr>
                <w:sz w:val="15"/>
                <w:szCs w:val="15"/>
                <w:color w:val="auto"/>
              </w:rPr>
            </w:pPr>
          </w:p>
        </w:tc>
        <w:tc>
          <w:tcPr>
            <w:tcW w:w="2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849</w:t>
            </w:r>
          </w:p>
        </w:tc>
      </w:tr>
      <w:tr>
        <w:trPr>
          <w:trHeight w:val="22"/>
        </w:trPr>
        <w:tc>
          <w:tcPr>
            <w:tcW w:w="7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191"/>
        </w:trPr>
        <w:tc>
          <w:tcPr>
            <w:tcW w:w="7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184"/>
        </w:trPr>
        <w:tc>
          <w:tcPr>
            <w:tcW w:w="74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13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r>
      <w:tr>
        <w:trPr>
          <w:trHeight w:val="182"/>
        </w:trPr>
        <w:tc>
          <w:tcPr>
            <w:tcW w:w="7460" w:type="dxa"/>
            <w:vAlign w:val="bottom"/>
            <w:gridSpan w:val="2"/>
          </w:tcPr>
          <w:p>
            <w:pPr>
              <w:ind w:left="20"/>
              <w:spacing w:after="0"/>
              <w:rPr>
                <w:sz w:val="20"/>
                <w:szCs w:val="20"/>
                <w:color w:val="auto"/>
              </w:rPr>
            </w:pPr>
            <w:r>
              <w:rPr>
                <w:rFonts w:ascii="Arial" w:cs="Arial" w:eastAsia="Arial" w:hAnsi="Arial"/>
                <w:sz w:val="14"/>
                <w:szCs w:val="14"/>
                <w:color w:val="auto"/>
              </w:rPr>
              <w:t>Contractholder funds:</w:t>
            </w:r>
          </w:p>
        </w:tc>
        <w:tc>
          <w:tcPr>
            <w:tcW w:w="1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87"/>
        </w:trPr>
        <w:tc>
          <w:tcPr>
            <w:tcW w:w="74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FIA/ IUL embedded derivatives</w:t>
            </w:r>
          </w:p>
        </w:tc>
        <w:tc>
          <w:tcPr>
            <w:tcW w:w="1380" w:type="dxa"/>
            <w:vAlign w:val="bottom"/>
            <w:shd w:val="clear" w:color="auto" w:fill="CCEEFF"/>
          </w:tcPr>
          <w:p>
            <w:pPr>
              <w:jc w:val="right"/>
              <w:ind w:right="1258"/>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2,941</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3,883</w:t>
            </w:r>
          </w:p>
        </w:tc>
      </w:tr>
      <w:tr>
        <w:trPr>
          <w:trHeight w:val="182"/>
        </w:trPr>
        <w:tc>
          <w:tcPr>
            <w:tcW w:w="7460" w:type="dxa"/>
            <w:vAlign w:val="bottom"/>
            <w:gridSpan w:val="2"/>
          </w:tcPr>
          <w:p>
            <w:pPr>
              <w:ind w:left="20"/>
              <w:spacing w:after="0"/>
              <w:rPr>
                <w:sz w:val="20"/>
                <w:szCs w:val="20"/>
                <w:color w:val="auto"/>
              </w:rPr>
            </w:pPr>
            <w:r>
              <w:rPr>
                <w:rFonts w:ascii="Arial" w:cs="Arial" w:eastAsia="Arial" w:hAnsi="Arial"/>
                <w:sz w:val="14"/>
                <w:szCs w:val="14"/>
                <w:color w:val="auto"/>
              </w:rPr>
              <w:t>Accounts payable and accrued liabilities:</w:t>
            </w:r>
          </w:p>
        </w:tc>
        <w:tc>
          <w:tcPr>
            <w:tcW w:w="1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84"/>
        </w:trPr>
        <w:tc>
          <w:tcPr>
            <w:tcW w:w="74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Reinsurance related embedded derivatives</w:t>
            </w:r>
          </w:p>
        </w:tc>
        <w:tc>
          <w:tcPr>
            <w:tcW w:w="13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r>
      <w:tr>
        <w:trPr>
          <w:trHeight w:val="177"/>
        </w:trPr>
        <w:tc>
          <w:tcPr>
            <w:tcW w:w="7440" w:type="dxa"/>
            <w:vAlign w:val="bottom"/>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380" w:type="dxa"/>
            <w:vAlign w:val="bottom"/>
            <w:tcBorders>
              <w:top w:val="single" w:sz="8" w:color="auto"/>
              <w:bottom w:val="single" w:sz="8" w:color="auto"/>
            </w:tcBorders>
          </w:tcPr>
          <w:p>
            <w:pPr>
              <w:jc w:val="right"/>
              <w:ind w:right="1258"/>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2,941</w:t>
            </w:r>
          </w:p>
        </w:tc>
        <w:tc>
          <w:tcPr>
            <w:tcW w:w="8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3,956</w:t>
            </w:r>
          </w:p>
        </w:tc>
      </w:tr>
      <w:tr>
        <w:trPr>
          <w:trHeight w:val="22"/>
        </w:trPr>
        <w:tc>
          <w:tcPr>
            <w:tcW w:w="74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382"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The change in fair value of derivative instruments included within Recognized gains and losses, net, in the accompanying unaudited Condensed Consolidated Statements of Earnings is as follows (in millions):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460" w:type="dxa"/>
            <w:vAlign w:val="bottom"/>
          </w:tcPr>
          <w:p>
            <w:pPr>
              <w:spacing w:after="0"/>
              <w:rPr>
                <w:sz w:val="16"/>
                <w:szCs w:val="16"/>
                <w:color w:val="auto"/>
              </w:rPr>
            </w:pPr>
          </w:p>
        </w:tc>
        <w:tc>
          <w:tcPr>
            <w:tcW w:w="300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1050"/>
              <w:spacing w:after="0"/>
              <w:rPr>
                <w:sz w:val="20"/>
                <w:szCs w:val="20"/>
                <w:color w:val="auto"/>
              </w:rPr>
            </w:pPr>
            <w:r>
              <w:rPr>
                <w:rFonts w:ascii="Arial" w:cs="Arial" w:eastAsia="Arial" w:hAnsi="Arial"/>
                <w:sz w:val="14"/>
                <w:szCs w:val="14"/>
                <w:b w:val="1"/>
                <w:bCs w:val="1"/>
                <w:color w:val="auto"/>
              </w:rPr>
              <w:t>Six Months Ended</w:t>
            </w:r>
          </w:p>
        </w:tc>
      </w:tr>
      <w:tr>
        <w:trPr>
          <w:trHeight w:val="181"/>
        </w:trPr>
        <w:tc>
          <w:tcPr>
            <w:tcW w:w="44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June 30, 2022</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June 30, 2021</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2022</w:t>
            </w:r>
          </w:p>
        </w:tc>
        <w:tc>
          <w:tcPr>
            <w:tcW w:w="240" w:type="dxa"/>
            <w:vAlign w:val="bottom"/>
          </w:tcPr>
          <w:p>
            <w:pPr>
              <w:spacing w:after="0"/>
              <w:rPr>
                <w:sz w:val="15"/>
                <w:szCs w:val="15"/>
                <w:color w:val="auto"/>
              </w:rPr>
            </w:pPr>
          </w:p>
        </w:tc>
        <w:tc>
          <w:tcPr>
            <w:tcW w:w="1380" w:type="dxa"/>
            <w:vAlign w:val="bottom"/>
          </w:tcPr>
          <w:p>
            <w:pPr>
              <w:jc w:val="right"/>
              <w:ind w:right="330"/>
              <w:spacing w:after="0"/>
              <w:rPr>
                <w:sz w:val="20"/>
                <w:szCs w:val="20"/>
                <w:color w:val="auto"/>
              </w:rPr>
            </w:pPr>
            <w:r>
              <w:rPr>
                <w:rFonts w:ascii="Arial" w:cs="Arial" w:eastAsia="Arial" w:hAnsi="Arial"/>
                <w:sz w:val="14"/>
                <w:szCs w:val="14"/>
                <w:b w:val="1"/>
                <w:bCs w:val="1"/>
                <w:color w:val="auto"/>
              </w:rPr>
              <w:t>June 30, 2021</w:t>
            </w:r>
          </w:p>
        </w:tc>
      </w:tr>
      <w:tr>
        <w:trPr>
          <w:trHeight w:val="164"/>
        </w:trPr>
        <w:tc>
          <w:tcPr>
            <w:tcW w:w="4460" w:type="dxa"/>
            <w:vAlign w:val="bottom"/>
          </w:tcPr>
          <w:p>
            <w:pPr>
              <w:ind w:left="20"/>
              <w:spacing w:after="0"/>
              <w:rPr>
                <w:sz w:val="20"/>
                <w:szCs w:val="20"/>
                <w:color w:val="auto"/>
              </w:rPr>
            </w:pPr>
            <w:r>
              <w:rPr>
                <w:rFonts w:ascii="Arial" w:cs="Arial" w:eastAsia="Arial" w:hAnsi="Arial"/>
                <w:sz w:val="14"/>
                <w:szCs w:val="14"/>
                <w:b w:val="1"/>
                <w:bCs w:val="1"/>
                <w:color w:val="auto"/>
              </w:rPr>
              <w:t>Net investment gains (losses):</w:t>
            </w:r>
          </w:p>
        </w:tc>
        <w:tc>
          <w:tcPr>
            <w:tcW w:w="126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r>
      <w:tr>
        <w:trPr>
          <w:trHeight w:val="185"/>
        </w:trPr>
        <w:tc>
          <w:tcPr>
            <w:tcW w:w="44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Call options</w:t>
            </w:r>
          </w:p>
        </w:tc>
        <w:tc>
          <w:tcPr>
            <w:tcW w:w="1260" w:type="dxa"/>
            <w:vAlign w:val="bottom"/>
            <w:shd w:val="clear" w:color="auto" w:fill="CCEEFF"/>
          </w:tcPr>
          <w:p>
            <w:pPr>
              <w:jc w:val="right"/>
              <w:ind w:right="1110"/>
              <w:spacing w:after="0"/>
              <w:rPr>
                <w:sz w:val="20"/>
                <w:szCs w:val="20"/>
                <w:color w:val="auto"/>
              </w:rPr>
            </w:pPr>
            <w:r>
              <w:rPr>
                <w:rFonts w:ascii="Arial" w:cs="Arial" w:eastAsia="Arial" w:hAnsi="Arial"/>
                <w:sz w:val="14"/>
                <w:szCs w:val="14"/>
                <w:color w:val="auto"/>
                <w:w w:val="76"/>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(395)</w:t>
            </w: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1130"/>
              <w:spacing w:after="0"/>
              <w:rPr>
                <w:sz w:val="20"/>
                <w:szCs w:val="20"/>
                <w:color w:val="auto"/>
              </w:rPr>
            </w:pPr>
            <w:r>
              <w:rPr>
                <w:rFonts w:ascii="Arial" w:cs="Arial" w:eastAsia="Arial" w:hAnsi="Arial"/>
                <w:sz w:val="14"/>
                <w:szCs w:val="14"/>
                <w:color w:val="auto"/>
                <w:w w:val="76"/>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w w:val="76"/>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w:t>
            </w:r>
          </w:p>
        </w:tc>
      </w:tr>
      <w:tr>
        <w:trPr>
          <w:trHeight w:val="182"/>
        </w:trPr>
        <w:tc>
          <w:tcPr>
            <w:tcW w:w="4460" w:type="dxa"/>
            <w:vAlign w:val="bottom"/>
          </w:tcPr>
          <w:p>
            <w:pPr>
              <w:ind w:left="140"/>
              <w:spacing w:after="0"/>
              <w:rPr>
                <w:sz w:val="20"/>
                <w:szCs w:val="20"/>
                <w:color w:val="auto"/>
              </w:rPr>
            </w:pPr>
            <w:r>
              <w:rPr>
                <w:rFonts w:ascii="Arial" w:cs="Arial" w:eastAsia="Arial" w:hAnsi="Arial"/>
                <w:sz w:val="14"/>
                <w:szCs w:val="14"/>
                <w:color w:val="auto"/>
              </w:rPr>
              <w:t>Futures contracts</w:t>
            </w:r>
          </w:p>
        </w:tc>
        <w:tc>
          <w:tcPr>
            <w:tcW w:w="12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187"/>
        </w:trPr>
        <w:tc>
          <w:tcPr>
            <w:tcW w:w="44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Foreign currency forwards</w:t>
            </w:r>
          </w:p>
        </w:tc>
        <w:tc>
          <w:tcPr>
            <w:tcW w:w="126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r>
      <w:tr>
        <w:trPr>
          <w:trHeight w:val="182"/>
        </w:trPr>
        <w:tc>
          <w:tcPr>
            <w:tcW w:w="4460" w:type="dxa"/>
            <w:vAlign w:val="bottom"/>
          </w:tcPr>
          <w:p>
            <w:pPr>
              <w:ind w:left="140"/>
              <w:spacing w:after="0"/>
              <w:rPr>
                <w:sz w:val="20"/>
                <w:szCs w:val="20"/>
                <w:color w:val="auto"/>
              </w:rPr>
            </w:pPr>
            <w:r>
              <w:rPr>
                <w:rFonts w:ascii="Arial" w:cs="Arial" w:eastAsia="Arial" w:hAnsi="Arial"/>
                <w:sz w:val="14"/>
                <w:szCs w:val="14"/>
                <w:color w:val="auto"/>
              </w:rPr>
              <w:t>Other derivatives and embedded derivatives</w:t>
            </w:r>
          </w:p>
        </w:tc>
        <w:tc>
          <w:tcPr>
            <w:tcW w:w="12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184"/>
        </w:trPr>
        <w:tc>
          <w:tcPr>
            <w:tcW w:w="44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Reinsurance related embedded derivatives</w:t>
            </w:r>
          </w:p>
        </w:tc>
        <w:tc>
          <w:tcPr>
            <w:tcW w:w="126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100" w:type="dxa"/>
            <w:vAlign w:val="bottom"/>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263</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4460" w:type="dxa"/>
            <w:vAlign w:val="bottom"/>
          </w:tcPr>
          <w:p>
            <w:pPr>
              <w:ind w:left="20"/>
              <w:spacing w:after="0"/>
              <w:rPr>
                <w:sz w:val="20"/>
                <w:szCs w:val="20"/>
                <w:color w:val="auto"/>
              </w:rPr>
            </w:pPr>
            <w:r>
              <w:rPr>
                <w:rFonts w:ascii="Arial" w:cs="Arial" w:eastAsia="Arial" w:hAnsi="Arial"/>
                <w:sz w:val="14"/>
                <w:szCs w:val="14"/>
                <w:b w:val="1"/>
                <w:bCs w:val="1"/>
                <w:color w:val="auto"/>
              </w:rPr>
              <w:t>Total net investment gains (losses)</w:t>
            </w:r>
          </w:p>
        </w:tc>
        <w:tc>
          <w:tcPr>
            <w:tcW w:w="1260" w:type="dxa"/>
            <w:vAlign w:val="bottom"/>
            <w:tcBorders>
              <w:bottom w:val="single" w:sz="8" w:color="auto"/>
            </w:tcBorders>
          </w:tcPr>
          <w:p>
            <w:pPr>
              <w:jc w:val="right"/>
              <w:ind w:right="1110"/>
              <w:spacing w:after="0"/>
              <w:rPr>
                <w:sz w:val="20"/>
                <w:szCs w:val="20"/>
                <w:color w:val="auto"/>
              </w:rPr>
            </w:pPr>
            <w:r>
              <w:rPr>
                <w:rFonts w:ascii="Arial" w:cs="Arial" w:eastAsia="Arial" w:hAnsi="Arial"/>
                <w:sz w:val="14"/>
                <w:szCs w:val="14"/>
                <w:color w:val="auto"/>
                <w:w w:val="76"/>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(258)</w:t>
            </w:r>
          </w:p>
        </w:tc>
        <w:tc>
          <w:tcPr>
            <w:tcW w:w="100" w:type="dxa"/>
            <w:vAlign w:val="bottom"/>
          </w:tcPr>
          <w:p>
            <w:pPr>
              <w:spacing w:after="0"/>
              <w:rPr>
                <w:sz w:val="15"/>
                <w:szCs w:val="15"/>
                <w:color w:val="auto"/>
              </w:rPr>
            </w:pPr>
          </w:p>
        </w:tc>
        <w:tc>
          <w:tcPr>
            <w:tcW w:w="1280" w:type="dxa"/>
            <w:vAlign w:val="bottom"/>
            <w:tcBorders>
              <w:bottom w:val="single" w:sz="8" w:color="auto"/>
            </w:tcBorders>
          </w:tcPr>
          <w:p>
            <w:pPr>
              <w:jc w:val="right"/>
              <w:ind w:right="1130"/>
              <w:spacing w:after="0"/>
              <w:rPr>
                <w:sz w:val="20"/>
                <w:szCs w:val="20"/>
                <w:color w:val="auto"/>
              </w:rPr>
            </w:pPr>
            <w:r>
              <w:rPr>
                <w:rFonts w:ascii="Arial" w:cs="Arial" w:eastAsia="Arial" w:hAnsi="Arial"/>
                <w:sz w:val="14"/>
                <w:szCs w:val="14"/>
                <w:color w:val="auto"/>
                <w:w w:val="76"/>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w:t>
            </w:r>
          </w:p>
        </w:tc>
        <w:tc>
          <w:tcPr>
            <w:tcW w:w="80" w:type="dxa"/>
            <w:vAlign w:val="bottom"/>
          </w:tcPr>
          <w:p>
            <w:pPr>
              <w:spacing w:after="0"/>
              <w:rPr>
                <w:sz w:val="15"/>
                <w:szCs w:val="15"/>
                <w:color w:val="auto"/>
              </w:rPr>
            </w:pPr>
          </w:p>
        </w:tc>
        <w:tc>
          <w:tcPr>
            <w:tcW w:w="26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(447)</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290</w:t>
            </w:r>
          </w:p>
        </w:tc>
      </w:tr>
      <w:tr>
        <w:trPr>
          <w:trHeight w:val="20"/>
        </w:trPr>
        <w:tc>
          <w:tcPr>
            <w:tcW w:w="446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77"/>
        </w:trPr>
        <w:tc>
          <w:tcPr>
            <w:tcW w:w="44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184"/>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Benefits and other changes in policy reserves:</w:t>
            </w:r>
          </w:p>
        </w:tc>
        <w:tc>
          <w:tcPr>
            <w:tcW w:w="12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r>
      <w:tr>
        <w:trPr>
          <w:trHeight w:val="203"/>
        </w:trPr>
        <w:tc>
          <w:tcPr>
            <w:tcW w:w="4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FIA/ IUL embedded derivatives</w:t>
            </w:r>
          </w:p>
        </w:tc>
        <w:tc>
          <w:tcPr>
            <w:tcW w:w="1260" w:type="dxa"/>
            <w:vAlign w:val="bottom"/>
            <w:tcBorders>
              <w:bottom w:val="single" w:sz="8" w:color="auto"/>
            </w:tcBorders>
            <w:shd w:val="clear" w:color="auto" w:fill="CCEEFF"/>
          </w:tcPr>
          <w:p>
            <w:pPr>
              <w:jc w:val="right"/>
              <w:ind w:right="1110"/>
              <w:spacing w:after="0"/>
              <w:rPr>
                <w:sz w:val="20"/>
                <w:szCs w:val="20"/>
                <w:color w:val="auto"/>
              </w:rPr>
            </w:pPr>
            <w:r>
              <w:rPr>
                <w:rFonts w:ascii="Arial" w:cs="Arial" w:eastAsia="Arial" w:hAnsi="Arial"/>
                <w:sz w:val="14"/>
                <w:szCs w:val="14"/>
                <w:color w:val="auto"/>
                <w:w w:val="76"/>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(454)</w:t>
            </w:r>
          </w:p>
        </w:tc>
        <w:tc>
          <w:tcPr>
            <w:tcW w:w="1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1130"/>
              <w:spacing w:after="0"/>
              <w:rPr>
                <w:sz w:val="20"/>
                <w:szCs w:val="20"/>
                <w:color w:val="auto"/>
              </w:rPr>
            </w:pPr>
            <w:r>
              <w:rPr>
                <w:rFonts w:ascii="Arial" w:cs="Arial" w:eastAsia="Arial" w:hAnsi="Arial"/>
                <w:sz w:val="14"/>
                <w:szCs w:val="14"/>
                <w:color w:val="auto"/>
                <w:w w:val="76"/>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466</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(942)</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355</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Disclosures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FIA/IUL Embedded Derivative and Call Options and Futures</w:t>
      </w:r>
    </w:p>
    <w:p>
      <w:pPr>
        <w:spacing w:after="0" w:line="148" w:lineRule="exact"/>
        <w:rPr>
          <w:sz w:val="20"/>
          <w:szCs w:val="20"/>
          <w:color w:val="auto"/>
        </w:rPr>
      </w:pPr>
    </w:p>
    <w:p>
      <w:pPr>
        <w:jc w:val="both"/>
        <w:ind w:firstLine="434"/>
        <w:spacing w:after="0" w:line="252" w:lineRule="auto"/>
        <w:rPr>
          <w:sz w:val="20"/>
          <w:szCs w:val="20"/>
          <w:color w:val="auto"/>
        </w:rPr>
      </w:pPr>
      <w:r>
        <w:rPr>
          <w:rFonts w:ascii="Arial" w:cs="Arial" w:eastAsia="Arial" w:hAnsi="Arial"/>
          <w:sz w:val="16"/>
          <w:szCs w:val="16"/>
          <w:color w:val="auto"/>
        </w:rPr>
        <w:t xml:space="preserve">We have FIA and IUL contracts that permit the holder to elect an interest rate return or an equity index linked component, where interest credited to the contracts is linked to the performance of various equity indices, primarily the S&amp;P 500 Index. This feature represents an embedded derivative under GAAP. The FIA/IUL embedded derivatives are valued at fair value and included in the liability for contractholder funds in the accompanying unaudited Condensed Consolidated Balance Sheets with changes in fair value included as a component of Benefits and other changes in policy reserves in the unaudited Condensed Consolidated Statements of Earnings. See a description of the fair value methodology used in Note C </w:t>
      </w:r>
      <w:r>
        <w:rPr>
          <w:rFonts w:ascii="Arial" w:cs="Arial" w:eastAsia="Arial" w:hAnsi="Arial"/>
          <w:sz w:val="16"/>
          <w:szCs w:val="16"/>
          <w:i w:val="1"/>
          <w:iCs w:val="1"/>
          <w:color w:val="auto"/>
        </w:rPr>
        <w:t>Fair Value of Financial Instruments</w:t>
      </w:r>
      <w:r>
        <w:rPr>
          <w:rFonts w:ascii="Arial" w:cs="Arial" w:eastAsia="Arial" w:hAnsi="Arial"/>
          <w:sz w:val="16"/>
          <w:szCs w:val="16"/>
          <w:color w:val="auto"/>
        </w:rPr>
        <w:t>.</w:t>
      </w:r>
    </w:p>
    <w:p>
      <w:pPr>
        <w:spacing w:after="0" w:line="126" w:lineRule="exact"/>
        <w:rPr>
          <w:sz w:val="20"/>
          <w:szCs w:val="20"/>
          <w:color w:val="auto"/>
        </w:rPr>
      </w:pPr>
    </w:p>
    <w:p>
      <w:pPr>
        <w:jc w:val="both"/>
        <w:ind w:firstLine="434"/>
        <w:spacing w:after="0" w:line="280" w:lineRule="auto"/>
        <w:rPr>
          <w:sz w:val="20"/>
          <w:szCs w:val="20"/>
          <w:color w:val="auto"/>
        </w:rPr>
      </w:pPr>
      <w:r>
        <w:rPr>
          <w:rFonts w:ascii="Arial" w:cs="Arial" w:eastAsia="Arial" w:hAnsi="Arial"/>
          <w:sz w:val="16"/>
          <w:szCs w:val="16"/>
          <w:color w:val="auto"/>
        </w:rPr>
        <w:t>We purchase derivatives consisting of a combination of call options and futures contracts (specifically for FIA contracts) on the applicable market indices to fund the index credits due to FIA/IUL contractholders. The call options are one, two, three, and five year options purchased to match the funding requirements of the underlying policies. On the respective anniversary dates of the indexed policies, the index used to compute the interest credit is reset and we purchase new call options to fund the next index credit. We manage the cost of these purchases through the terms of our FIA/IUL contracts, which permit us to change caps, spreads or participation rates, subject to guaranteed minimums, on each contract’s anniversary date. The change in the fair value of the call options and futures contracts is generally designed to offset the portion of the change in the fair value of the FIA/IUL embedded derivatives related to index performance through the current credit period. The call options and futures contracts are marked to fair value with the change in fair value included as a component of Recognized gains and losses, net, in the accompanying Consolidated Statements of Earnings. The change in fair value of the call options and futures contracts includes the gains and losses recognized at the expiration of the instrument term or upon early termination and the changes in fair value of open positions.</w:t>
      </w:r>
    </w:p>
    <w:p>
      <w:pPr>
        <w:spacing w:after="0" w:line="117" w:lineRule="exact"/>
        <w:rPr>
          <w:sz w:val="20"/>
          <w:szCs w:val="20"/>
          <w:color w:val="auto"/>
        </w:rPr>
      </w:pPr>
    </w:p>
    <w:p>
      <w:pPr>
        <w:jc w:val="both"/>
        <w:ind w:firstLine="434"/>
        <w:spacing w:after="0" w:line="250" w:lineRule="auto"/>
        <w:rPr>
          <w:sz w:val="20"/>
          <w:szCs w:val="20"/>
          <w:color w:val="auto"/>
        </w:rPr>
      </w:pPr>
      <w:r>
        <w:rPr>
          <w:rFonts w:ascii="Arial" w:cs="Arial" w:eastAsia="Arial" w:hAnsi="Arial"/>
          <w:sz w:val="18"/>
          <w:szCs w:val="18"/>
          <w:color w:val="auto"/>
        </w:rPr>
        <w:t>Other market exposures are hedged periodically depending on market conditions and our risk tolerance. Our FIA/IUL hedging strategy economically hedges the equity returns and exposes us to the risk that unhedged market exposures result in divergence between changes in the fair value of the liabilities and the hedging assets. We use a variety of techniques, including direct estimation of market sensitivities, to monitor this risk daily. We intend to continue to adjust the hedging strategy as market conditions and our risk tolerance changes.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Risk</w:t>
      </w:r>
    </w:p>
    <w:p>
      <w:pPr>
        <w:spacing w:after="0" w:line="161" w:lineRule="exact"/>
        <w:rPr>
          <w:sz w:val="20"/>
          <w:szCs w:val="20"/>
          <w:color w:val="auto"/>
        </w:rPr>
      </w:pPr>
    </w:p>
    <w:p>
      <w:pPr>
        <w:jc w:val="both"/>
        <w:ind w:firstLine="434"/>
        <w:spacing w:after="0" w:line="250" w:lineRule="auto"/>
        <w:rPr>
          <w:sz w:val="20"/>
          <w:szCs w:val="20"/>
          <w:color w:val="auto"/>
        </w:rPr>
      </w:pPr>
      <w:r>
        <w:rPr>
          <w:rFonts w:ascii="Arial" w:cs="Arial" w:eastAsia="Arial" w:hAnsi="Arial"/>
          <w:sz w:val="18"/>
          <w:szCs w:val="18"/>
          <w:color w:val="auto"/>
        </w:rPr>
        <w:t>We are exposed to credit loss in the event of non-performance by our counterparties on the call options and reflect assumptions regarding this non-performance risk in the fair value of the call options. The non-performance risk is the net counterparty exposure based on the fair value of the open contracts less collateral held. We maintain a policy of requiring all derivative contracts to be governed by an International Swaps and Derivatives Association (“ISDA”) Master Agreement.</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Information regarding our exposure to credit loss on the call options we hold is presented in the following table (in millions):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1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5"/>
          </w:tcPr>
          <w:p>
            <w:pPr>
              <w:ind w:left="700"/>
              <w:spacing w:after="0"/>
              <w:rPr>
                <w:sz w:val="20"/>
                <w:szCs w:val="20"/>
                <w:color w:val="auto"/>
              </w:rPr>
            </w:pPr>
            <w:r>
              <w:rPr>
                <w:rFonts w:ascii="Arial" w:cs="Arial" w:eastAsia="Arial" w:hAnsi="Arial"/>
                <w:sz w:val="14"/>
                <w:szCs w:val="14"/>
                <w:b w:val="1"/>
                <w:bCs w:val="1"/>
                <w:color w:val="auto"/>
              </w:rPr>
              <w:t>June 30, 2022</w:t>
            </w: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3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Counterparty</w:t>
            </w:r>
          </w:p>
        </w:tc>
        <w:tc>
          <w:tcPr>
            <w:tcW w:w="2760" w:type="dxa"/>
            <w:vAlign w:val="bottom"/>
            <w:gridSpan w:val="2"/>
          </w:tcPr>
          <w:p>
            <w:pPr>
              <w:jc w:val="center"/>
              <w:ind w:left="510"/>
              <w:spacing w:after="0" w:line="132" w:lineRule="exact"/>
              <w:rPr>
                <w:sz w:val="20"/>
                <w:szCs w:val="20"/>
                <w:color w:val="auto"/>
              </w:rPr>
            </w:pPr>
            <w:r>
              <w:rPr>
                <w:rFonts w:ascii="Arial" w:cs="Arial" w:eastAsia="Arial" w:hAnsi="Arial"/>
                <w:sz w:val="14"/>
                <w:szCs w:val="14"/>
                <w:b w:val="1"/>
                <w:bCs w:val="1"/>
                <w:color w:val="auto"/>
                <w:w w:val="93"/>
              </w:rPr>
              <w:t>Credit Rating</w:t>
            </w:r>
          </w:p>
        </w:tc>
        <w:tc>
          <w:tcPr>
            <w:tcW w:w="220" w:type="dxa"/>
            <w:vAlign w:val="bottom"/>
          </w:tcPr>
          <w:p>
            <w:pPr>
              <w:spacing w:after="0"/>
              <w:rPr>
                <w:sz w:val="11"/>
                <w:szCs w:val="11"/>
                <w:color w:val="auto"/>
              </w:rPr>
            </w:pPr>
          </w:p>
        </w:tc>
        <w:tc>
          <w:tcPr>
            <w:tcW w:w="1140" w:type="dxa"/>
            <w:vAlign w:val="bottom"/>
            <w:gridSpan w:val="2"/>
          </w:tcPr>
          <w:p>
            <w:pPr>
              <w:ind w:left="140"/>
              <w:spacing w:after="0" w:line="132" w:lineRule="exact"/>
              <w:rPr>
                <w:sz w:val="20"/>
                <w:szCs w:val="20"/>
                <w:color w:val="auto"/>
              </w:rPr>
            </w:pPr>
            <w:r>
              <w:rPr>
                <w:rFonts w:ascii="Arial" w:cs="Arial" w:eastAsia="Arial" w:hAnsi="Arial"/>
                <w:sz w:val="14"/>
                <w:szCs w:val="14"/>
                <w:b w:val="1"/>
                <w:bCs w:val="1"/>
                <w:color w:val="auto"/>
              </w:rPr>
              <w:t>Notional</w:t>
            </w:r>
          </w:p>
        </w:tc>
        <w:tc>
          <w:tcPr>
            <w:tcW w:w="200" w:type="dxa"/>
            <w:vAlign w:val="bottom"/>
          </w:tcPr>
          <w:p>
            <w:pPr>
              <w:spacing w:after="0"/>
              <w:rPr>
                <w:sz w:val="11"/>
                <w:szCs w:val="11"/>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1"/>
                <w:szCs w:val="11"/>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Collateral</w:t>
            </w:r>
          </w:p>
        </w:tc>
        <w:tc>
          <w:tcPr>
            <w:tcW w:w="120" w:type="dxa"/>
            <w:vAlign w:val="bottom"/>
          </w:tcPr>
          <w:p>
            <w:pPr>
              <w:spacing w:after="0"/>
              <w:rPr>
                <w:sz w:val="11"/>
                <w:szCs w:val="11"/>
                <w:color w:val="auto"/>
              </w:rPr>
            </w:pPr>
          </w:p>
        </w:tc>
        <w:tc>
          <w:tcPr>
            <w:tcW w:w="1140" w:type="dxa"/>
            <w:vAlign w:val="bottom"/>
            <w:vMerge w:val="restart"/>
          </w:tcPr>
          <w:p>
            <w:pPr>
              <w:jc w:val="right"/>
              <w:ind w:right="90"/>
              <w:spacing w:after="0"/>
              <w:rPr>
                <w:sz w:val="20"/>
                <w:szCs w:val="20"/>
                <w:color w:val="auto"/>
              </w:rPr>
            </w:pPr>
            <w:r>
              <w:rPr>
                <w:rFonts w:ascii="Arial" w:cs="Arial" w:eastAsia="Arial" w:hAnsi="Arial"/>
                <w:sz w:val="14"/>
                <w:szCs w:val="14"/>
                <w:b w:val="1"/>
                <w:bCs w:val="1"/>
                <w:color w:val="auto"/>
                <w:w w:val="95"/>
              </w:rPr>
              <w:t>Net Credit Risk</w:t>
            </w:r>
          </w:p>
        </w:tc>
        <w:tc>
          <w:tcPr>
            <w:tcW w:w="0" w:type="dxa"/>
            <w:vAlign w:val="bottom"/>
          </w:tcPr>
          <w:p>
            <w:pPr>
              <w:spacing w:after="0"/>
              <w:rPr>
                <w:sz w:val="1"/>
                <w:szCs w:val="1"/>
                <w:color w:val="auto"/>
              </w:rPr>
            </w:pPr>
          </w:p>
        </w:tc>
      </w:tr>
      <w:tr>
        <w:trPr>
          <w:trHeight w:val="184"/>
        </w:trPr>
        <w:tc>
          <w:tcPr>
            <w:tcW w:w="3140" w:type="dxa"/>
            <w:vAlign w:val="bottom"/>
            <w:vMerge w:val="continue"/>
          </w:tcPr>
          <w:p>
            <w:pPr>
              <w:spacing w:after="0"/>
              <w:rPr>
                <w:sz w:val="15"/>
                <w:szCs w:val="15"/>
                <w:color w:val="auto"/>
              </w:rPr>
            </w:pPr>
          </w:p>
        </w:tc>
        <w:tc>
          <w:tcPr>
            <w:tcW w:w="2760" w:type="dxa"/>
            <w:vAlign w:val="bottom"/>
            <w:gridSpan w:val="2"/>
          </w:tcPr>
          <w:p>
            <w:pPr>
              <w:jc w:val="center"/>
              <w:ind w:left="530"/>
              <w:spacing w:after="0"/>
              <w:rPr>
                <w:sz w:val="20"/>
                <w:szCs w:val="20"/>
                <w:color w:val="auto"/>
              </w:rPr>
            </w:pPr>
            <w:r>
              <w:rPr>
                <w:rFonts w:ascii="Arial" w:cs="Arial" w:eastAsia="Arial" w:hAnsi="Arial"/>
                <w:sz w:val="14"/>
                <w:szCs w:val="14"/>
                <w:b w:val="1"/>
                <w:bCs w:val="1"/>
                <w:color w:val="auto"/>
                <w:w w:val="94"/>
              </w:rPr>
              <w:t>(Fitch/Moody's/S&amp;P) (1)</w:t>
            </w:r>
          </w:p>
        </w:tc>
        <w:tc>
          <w:tcPr>
            <w:tcW w:w="220" w:type="dxa"/>
            <w:vAlign w:val="bottom"/>
          </w:tcPr>
          <w:p>
            <w:pPr>
              <w:spacing w:after="0"/>
              <w:rPr>
                <w:sz w:val="15"/>
                <w:szCs w:val="15"/>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Merrill Lynch</w:t>
            </w:r>
          </w:p>
        </w:tc>
        <w:tc>
          <w:tcPr>
            <w:tcW w:w="2640" w:type="dxa"/>
            <w:vAlign w:val="bottom"/>
            <w:tcBorders>
              <w:top w:val="single" w:sz="8" w:color="auto"/>
            </w:tcBorders>
            <w:shd w:val="clear" w:color="auto" w:fill="CCEEFF"/>
          </w:tcPr>
          <w:p>
            <w:pPr>
              <w:jc w:val="center"/>
              <w:ind w:left="670"/>
              <w:spacing w:after="0"/>
              <w:rPr>
                <w:sz w:val="20"/>
                <w:szCs w:val="20"/>
                <w:color w:val="auto"/>
              </w:rPr>
            </w:pPr>
            <w:r>
              <w:rPr>
                <w:rFonts w:ascii="Arial" w:cs="Arial" w:eastAsia="Arial" w:hAnsi="Arial"/>
                <w:sz w:val="14"/>
                <w:szCs w:val="14"/>
                <w:b w:val="1"/>
                <w:bCs w:val="1"/>
                <w:color w:val="auto"/>
              </w:rPr>
              <w:t>AA/*/A+</w:t>
            </w: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3,735</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84"/>
        </w:trPr>
        <w:tc>
          <w:tcPr>
            <w:tcW w:w="3140" w:type="dxa"/>
            <w:vAlign w:val="bottom"/>
          </w:tcPr>
          <w:p>
            <w:pPr>
              <w:ind w:left="20"/>
              <w:spacing w:after="0"/>
              <w:rPr>
                <w:sz w:val="20"/>
                <w:szCs w:val="20"/>
                <w:color w:val="auto"/>
              </w:rPr>
            </w:pPr>
            <w:r>
              <w:rPr>
                <w:rFonts w:ascii="Arial" w:cs="Arial" w:eastAsia="Arial" w:hAnsi="Arial"/>
                <w:sz w:val="14"/>
                <w:szCs w:val="14"/>
                <w:color w:val="auto"/>
              </w:rPr>
              <w:t>Morgan Stanley</w:t>
            </w:r>
          </w:p>
        </w:tc>
        <w:tc>
          <w:tcPr>
            <w:tcW w:w="2760" w:type="dxa"/>
            <w:vAlign w:val="bottom"/>
            <w:gridSpan w:val="2"/>
          </w:tcPr>
          <w:p>
            <w:pPr>
              <w:jc w:val="center"/>
              <w:ind w:left="550"/>
              <w:spacing w:after="0"/>
              <w:rPr>
                <w:sz w:val="20"/>
                <w:szCs w:val="20"/>
                <w:color w:val="auto"/>
              </w:rPr>
            </w:pPr>
            <w:r>
              <w:rPr>
                <w:rFonts w:ascii="Arial" w:cs="Arial" w:eastAsia="Arial" w:hAnsi="Arial"/>
                <w:sz w:val="14"/>
                <w:szCs w:val="14"/>
                <w:b w:val="1"/>
                <w:bCs w:val="1"/>
                <w:color w:val="auto"/>
              </w:rPr>
              <w:t>*/Aa3/A+</w:t>
            </w: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1,581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3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Barclay's Bank</w:t>
            </w:r>
          </w:p>
        </w:tc>
        <w:tc>
          <w:tcPr>
            <w:tcW w:w="2760" w:type="dxa"/>
            <w:vAlign w:val="bottom"/>
            <w:gridSpan w:val="2"/>
            <w:shd w:val="clear" w:color="auto" w:fill="CCEEFF"/>
          </w:tcPr>
          <w:p>
            <w:pPr>
              <w:jc w:val="center"/>
              <w:ind w:left="550"/>
              <w:spacing w:after="0"/>
              <w:rPr>
                <w:sz w:val="20"/>
                <w:szCs w:val="20"/>
                <w:color w:val="auto"/>
              </w:rPr>
            </w:pPr>
            <w:r>
              <w:rPr>
                <w:rFonts w:ascii="Arial" w:cs="Arial" w:eastAsia="Arial" w:hAnsi="Arial"/>
                <w:sz w:val="14"/>
                <w:szCs w:val="14"/>
                <w:b w:val="1"/>
                <w:bCs w:val="1"/>
                <w:color w:val="auto"/>
                <w:w w:val="99"/>
              </w:rPr>
              <w:t>A+/A1/A</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5,421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3140" w:type="dxa"/>
            <w:vAlign w:val="bottom"/>
          </w:tcPr>
          <w:p>
            <w:pPr>
              <w:ind w:left="20"/>
              <w:spacing w:after="0"/>
              <w:rPr>
                <w:sz w:val="20"/>
                <w:szCs w:val="20"/>
                <w:color w:val="auto"/>
              </w:rPr>
            </w:pPr>
            <w:r>
              <w:rPr>
                <w:rFonts w:ascii="Arial" w:cs="Arial" w:eastAsia="Arial" w:hAnsi="Arial"/>
                <w:sz w:val="14"/>
                <w:szCs w:val="14"/>
                <w:color w:val="auto"/>
              </w:rPr>
              <w:t>Canadian Imperial Bank of Commerce</w:t>
            </w:r>
          </w:p>
        </w:tc>
        <w:tc>
          <w:tcPr>
            <w:tcW w:w="2760" w:type="dxa"/>
            <w:vAlign w:val="bottom"/>
            <w:gridSpan w:val="2"/>
          </w:tcPr>
          <w:p>
            <w:pPr>
              <w:jc w:val="center"/>
              <w:ind w:left="550"/>
              <w:spacing w:after="0"/>
              <w:rPr>
                <w:sz w:val="20"/>
                <w:szCs w:val="20"/>
                <w:color w:val="auto"/>
              </w:rPr>
            </w:pPr>
            <w:r>
              <w:rPr>
                <w:rFonts w:ascii="Arial" w:cs="Arial" w:eastAsia="Arial" w:hAnsi="Arial"/>
                <w:sz w:val="14"/>
                <w:szCs w:val="14"/>
                <w:b w:val="1"/>
                <w:bCs w:val="1"/>
                <w:color w:val="auto"/>
                <w:w w:val="97"/>
              </w:rPr>
              <w:t>AA/Aa2/A+</w:t>
            </w: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3,832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3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Wells Fargo</w:t>
            </w:r>
          </w:p>
        </w:tc>
        <w:tc>
          <w:tcPr>
            <w:tcW w:w="2760" w:type="dxa"/>
            <w:vAlign w:val="bottom"/>
            <w:gridSpan w:val="2"/>
            <w:shd w:val="clear" w:color="auto" w:fill="CCEEFF"/>
          </w:tcPr>
          <w:p>
            <w:pPr>
              <w:jc w:val="center"/>
              <w:ind w:left="550"/>
              <w:spacing w:after="0"/>
              <w:rPr>
                <w:sz w:val="20"/>
                <w:szCs w:val="20"/>
                <w:color w:val="auto"/>
              </w:rPr>
            </w:pPr>
            <w:r>
              <w:rPr>
                <w:rFonts w:ascii="Arial" w:cs="Arial" w:eastAsia="Arial" w:hAnsi="Arial"/>
                <w:sz w:val="14"/>
                <w:szCs w:val="14"/>
                <w:b w:val="1"/>
                <w:bCs w:val="1"/>
                <w:color w:val="auto"/>
                <w:w w:val="94"/>
              </w:rPr>
              <w:t>A+/A1/BBB+</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1,945</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3140" w:type="dxa"/>
            <w:vAlign w:val="bottom"/>
          </w:tcPr>
          <w:p>
            <w:pPr>
              <w:ind w:left="20"/>
              <w:spacing w:after="0"/>
              <w:rPr>
                <w:sz w:val="20"/>
                <w:szCs w:val="20"/>
                <w:color w:val="auto"/>
              </w:rPr>
            </w:pPr>
            <w:r>
              <w:rPr>
                <w:rFonts w:ascii="Arial" w:cs="Arial" w:eastAsia="Arial" w:hAnsi="Arial"/>
                <w:sz w:val="14"/>
                <w:szCs w:val="14"/>
                <w:color w:val="auto"/>
              </w:rPr>
              <w:t>Goldman Sachs</w:t>
            </w:r>
          </w:p>
        </w:tc>
        <w:tc>
          <w:tcPr>
            <w:tcW w:w="2760" w:type="dxa"/>
            <w:vAlign w:val="bottom"/>
            <w:gridSpan w:val="2"/>
          </w:tcPr>
          <w:p>
            <w:pPr>
              <w:jc w:val="center"/>
              <w:ind w:left="550"/>
              <w:spacing w:after="0"/>
              <w:rPr>
                <w:sz w:val="20"/>
                <w:szCs w:val="20"/>
                <w:color w:val="auto"/>
              </w:rPr>
            </w:pPr>
            <w:r>
              <w:rPr>
                <w:rFonts w:ascii="Arial" w:cs="Arial" w:eastAsia="Arial" w:hAnsi="Arial"/>
                <w:sz w:val="14"/>
                <w:szCs w:val="14"/>
                <w:b w:val="1"/>
                <w:bCs w:val="1"/>
                <w:color w:val="auto"/>
                <w:w w:val="94"/>
              </w:rPr>
              <w:t>A/A2/BBB+</w:t>
            </w: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660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3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Credit Suisse</w:t>
            </w:r>
          </w:p>
        </w:tc>
        <w:tc>
          <w:tcPr>
            <w:tcW w:w="2760" w:type="dxa"/>
            <w:vAlign w:val="bottom"/>
            <w:gridSpan w:val="2"/>
            <w:shd w:val="clear" w:color="auto" w:fill="CCEEFF"/>
          </w:tcPr>
          <w:p>
            <w:pPr>
              <w:jc w:val="center"/>
              <w:ind w:left="550"/>
              <w:spacing w:after="0"/>
              <w:rPr>
                <w:sz w:val="20"/>
                <w:szCs w:val="20"/>
                <w:color w:val="auto"/>
              </w:rPr>
            </w:pPr>
            <w:r>
              <w:rPr>
                <w:rFonts w:ascii="Arial" w:cs="Arial" w:eastAsia="Arial" w:hAnsi="Arial"/>
                <w:sz w:val="14"/>
                <w:szCs w:val="14"/>
                <w:b w:val="1"/>
                <w:bCs w:val="1"/>
                <w:color w:val="auto"/>
                <w:w w:val="98"/>
              </w:rPr>
              <w:t>A-/A1/A</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1,157</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3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Truist</w:t>
            </w:r>
          </w:p>
        </w:tc>
        <w:tc>
          <w:tcPr>
            <w:tcW w:w="2760" w:type="dxa"/>
            <w:vAlign w:val="bottom"/>
            <w:tcBorders>
              <w:bottom w:val="single" w:sz="8" w:color="CCEEFF"/>
            </w:tcBorders>
            <w:gridSpan w:val="2"/>
          </w:tcPr>
          <w:p>
            <w:pPr>
              <w:jc w:val="center"/>
              <w:ind w:left="550"/>
              <w:spacing w:after="0"/>
              <w:rPr>
                <w:sz w:val="20"/>
                <w:szCs w:val="20"/>
                <w:color w:val="auto"/>
              </w:rPr>
            </w:pPr>
            <w:r>
              <w:rPr>
                <w:rFonts w:ascii="Arial" w:cs="Arial" w:eastAsia="Arial" w:hAnsi="Arial"/>
                <w:sz w:val="14"/>
                <w:szCs w:val="14"/>
                <w:b w:val="1"/>
                <w:bCs w:val="1"/>
                <w:color w:val="auto"/>
                <w:w w:val="99"/>
              </w:rPr>
              <w:t>A+/A2/A</w:t>
            </w: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2,476</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3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Total</w:t>
            </w:r>
          </w:p>
        </w:tc>
        <w:tc>
          <w:tcPr>
            <w:tcW w:w="26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20,807</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1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5"/>
          </w:tcPr>
          <w:p>
            <w:pPr>
              <w:ind w:left="540"/>
              <w:spacing w:after="0"/>
              <w:rPr>
                <w:sz w:val="20"/>
                <w:szCs w:val="20"/>
                <w:color w:val="auto"/>
              </w:rPr>
            </w:pPr>
            <w:r>
              <w:rPr>
                <w:rFonts w:ascii="Arial" w:cs="Arial" w:eastAsia="Arial" w:hAnsi="Arial"/>
                <w:sz w:val="14"/>
                <w:szCs w:val="14"/>
                <w:b w:val="1"/>
                <w:bCs w:val="1"/>
                <w:color w:val="auto"/>
              </w:rPr>
              <w:t>December 31, 2021</w:t>
            </w: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3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Counterparty</w:t>
            </w:r>
          </w:p>
        </w:tc>
        <w:tc>
          <w:tcPr>
            <w:tcW w:w="2760" w:type="dxa"/>
            <w:vAlign w:val="bottom"/>
            <w:gridSpan w:val="2"/>
          </w:tcPr>
          <w:p>
            <w:pPr>
              <w:jc w:val="center"/>
              <w:ind w:left="510"/>
              <w:spacing w:after="0" w:line="132" w:lineRule="exact"/>
              <w:rPr>
                <w:sz w:val="20"/>
                <w:szCs w:val="20"/>
                <w:color w:val="auto"/>
              </w:rPr>
            </w:pPr>
            <w:r>
              <w:rPr>
                <w:rFonts w:ascii="Arial" w:cs="Arial" w:eastAsia="Arial" w:hAnsi="Arial"/>
                <w:sz w:val="14"/>
                <w:szCs w:val="14"/>
                <w:b w:val="1"/>
                <w:bCs w:val="1"/>
                <w:color w:val="auto"/>
                <w:w w:val="93"/>
              </w:rPr>
              <w:t>Credit Rating</w:t>
            </w:r>
          </w:p>
        </w:tc>
        <w:tc>
          <w:tcPr>
            <w:tcW w:w="220" w:type="dxa"/>
            <w:vAlign w:val="bottom"/>
          </w:tcPr>
          <w:p>
            <w:pPr>
              <w:spacing w:after="0"/>
              <w:rPr>
                <w:sz w:val="11"/>
                <w:szCs w:val="11"/>
                <w:color w:val="auto"/>
              </w:rPr>
            </w:pPr>
          </w:p>
        </w:tc>
        <w:tc>
          <w:tcPr>
            <w:tcW w:w="1140" w:type="dxa"/>
            <w:vAlign w:val="bottom"/>
            <w:gridSpan w:val="2"/>
          </w:tcPr>
          <w:p>
            <w:pPr>
              <w:ind w:left="140"/>
              <w:spacing w:after="0" w:line="132" w:lineRule="exact"/>
              <w:rPr>
                <w:sz w:val="20"/>
                <w:szCs w:val="20"/>
                <w:color w:val="auto"/>
              </w:rPr>
            </w:pPr>
            <w:r>
              <w:rPr>
                <w:rFonts w:ascii="Arial" w:cs="Arial" w:eastAsia="Arial" w:hAnsi="Arial"/>
                <w:sz w:val="14"/>
                <w:szCs w:val="14"/>
                <w:b w:val="1"/>
                <w:bCs w:val="1"/>
                <w:color w:val="auto"/>
              </w:rPr>
              <w:t>Notional</w:t>
            </w:r>
          </w:p>
        </w:tc>
        <w:tc>
          <w:tcPr>
            <w:tcW w:w="200" w:type="dxa"/>
            <w:vAlign w:val="bottom"/>
          </w:tcPr>
          <w:p>
            <w:pPr>
              <w:spacing w:after="0"/>
              <w:rPr>
                <w:sz w:val="11"/>
                <w:szCs w:val="11"/>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1"/>
                <w:szCs w:val="11"/>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Collateral</w:t>
            </w:r>
          </w:p>
        </w:tc>
        <w:tc>
          <w:tcPr>
            <w:tcW w:w="120" w:type="dxa"/>
            <w:vAlign w:val="bottom"/>
          </w:tcPr>
          <w:p>
            <w:pPr>
              <w:spacing w:after="0"/>
              <w:rPr>
                <w:sz w:val="11"/>
                <w:szCs w:val="11"/>
                <w:color w:val="auto"/>
              </w:rPr>
            </w:pPr>
          </w:p>
        </w:tc>
        <w:tc>
          <w:tcPr>
            <w:tcW w:w="1140" w:type="dxa"/>
            <w:vAlign w:val="bottom"/>
            <w:vMerge w:val="restart"/>
          </w:tcPr>
          <w:p>
            <w:pPr>
              <w:jc w:val="right"/>
              <w:ind w:right="90"/>
              <w:spacing w:after="0"/>
              <w:rPr>
                <w:sz w:val="20"/>
                <w:szCs w:val="20"/>
                <w:color w:val="auto"/>
              </w:rPr>
            </w:pPr>
            <w:r>
              <w:rPr>
                <w:rFonts w:ascii="Arial" w:cs="Arial" w:eastAsia="Arial" w:hAnsi="Arial"/>
                <w:sz w:val="14"/>
                <w:szCs w:val="14"/>
                <w:b w:val="1"/>
                <w:bCs w:val="1"/>
                <w:color w:val="auto"/>
                <w:w w:val="95"/>
              </w:rPr>
              <w:t>Net Credit Risk</w:t>
            </w:r>
          </w:p>
        </w:tc>
        <w:tc>
          <w:tcPr>
            <w:tcW w:w="0" w:type="dxa"/>
            <w:vAlign w:val="bottom"/>
          </w:tcPr>
          <w:p>
            <w:pPr>
              <w:spacing w:after="0"/>
              <w:rPr>
                <w:sz w:val="1"/>
                <w:szCs w:val="1"/>
                <w:color w:val="auto"/>
              </w:rPr>
            </w:pPr>
          </w:p>
        </w:tc>
      </w:tr>
      <w:tr>
        <w:trPr>
          <w:trHeight w:val="184"/>
        </w:trPr>
        <w:tc>
          <w:tcPr>
            <w:tcW w:w="3140" w:type="dxa"/>
            <w:vAlign w:val="bottom"/>
            <w:vMerge w:val="continue"/>
          </w:tcPr>
          <w:p>
            <w:pPr>
              <w:spacing w:after="0"/>
              <w:rPr>
                <w:sz w:val="15"/>
                <w:szCs w:val="15"/>
                <w:color w:val="auto"/>
              </w:rPr>
            </w:pPr>
          </w:p>
        </w:tc>
        <w:tc>
          <w:tcPr>
            <w:tcW w:w="2760" w:type="dxa"/>
            <w:vAlign w:val="bottom"/>
            <w:gridSpan w:val="2"/>
          </w:tcPr>
          <w:p>
            <w:pPr>
              <w:jc w:val="center"/>
              <w:ind w:left="530"/>
              <w:spacing w:after="0"/>
              <w:rPr>
                <w:sz w:val="20"/>
                <w:szCs w:val="20"/>
                <w:color w:val="auto"/>
              </w:rPr>
            </w:pPr>
            <w:r>
              <w:rPr>
                <w:rFonts w:ascii="Arial" w:cs="Arial" w:eastAsia="Arial" w:hAnsi="Arial"/>
                <w:sz w:val="14"/>
                <w:szCs w:val="14"/>
                <w:b w:val="1"/>
                <w:bCs w:val="1"/>
                <w:color w:val="auto"/>
                <w:w w:val="94"/>
              </w:rPr>
              <w:t>(Fitch/Moody's/S&amp;P) (1)</w:t>
            </w:r>
          </w:p>
        </w:tc>
        <w:tc>
          <w:tcPr>
            <w:tcW w:w="220" w:type="dxa"/>
            <w:vAlign w:val="bottom"/>
          </w:tcPr>
          <w:p>
            <w:pPr>
              <w:spacing w:after="0"/>
              <w:rPr>
                <w:sz w:val="15"/>
                <w:szCs w:val="15"/>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Merrill Lynch</w:t>
            </w:r>
          </w:p>
        </w:tc>
        <w:tc>
          <w:tcPr>
            <w:tcW w:w="2640" w:type="dxa"/>
            <w:vAlign w:val="bottom"/>
            <w:tcBorders>
              <w:top w:val="single" w:sz="8" w:color="auto"/>
            </w:tcBorders>
            <w:shd w:val="clear" w:color="auto" w:fill="CCEEFF"/>
          </w:tcPr>
          <w:p>
            <w:pPr>
              <w:jc w:val="center"/>
              <w:ind w:left="670"/>
              <w:spacing w:after="0"/>
              <w:rPr>
                <w:sz w:val="20"/>
                <w:szCs w:val="20"/>
                <w:color w:val="auto"/>
              </w:rPr>
            </w:pPr>
            <w:r>
              <w:rPr>
                <w:rFonts w:ascii="Arial" w:cs="Arial" w:eastAsia="Arial" w:hAnsi="Arial"/>
                <w:sz w:val="14"/>
                <w:szCs w:val="14"/>
                <w:b w:val="1"/>
                <w:bCs w:val="1"/>
                <w:color w:val="auto"/>
              </w:rPr>
              <w:t>AA/*/A+</w:t>
            </w: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3,307</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84"/>
        </w:trPr>
        <w:tc>
          <w:tcPr>
            <w:tcW w:w="3140" w:type="dxa"/>
            <w:vAlign w:val="bottom"/>
          </w:tcPr>
          <w:p>
            <w:pPr>
              <w:ind w:left="20"/>
              <w:spacing w:after="0"/>
              <w:rPr>
                <w:sz w:val="20"/>
                <w:szCs w:val="20"/>
                <w:color w:val="auto"/>
              </w:rPr>
            </w:pPr>
            <w:r>
              <w:rPr>
                <w:rFonts w:ascii="Arial" w:cs="Arial" w:eastAsia="Arial" w:hAnsi="Arial"/>
                <w:sz w:val="14"/>
                <w:szCs w:val="14"/>
                <w:color w:val="auto"/>
              </w:rPr>
              <w:t>Morgan Stanley</w:t>
            </w:r>
          </w:p>
        </w:tc>
        <w:tc>
          <w:tcPr>
            <w:tcW w:w="2760" w:type="dxa"/>
            <w:vAlign w:val="bottom"/>
            <w:gridSpan w:val="2"/>
          </w:tcPr>
          <w:p>
            <w:pPr>
              <w:jc w:val="center"/>
              <w:ind w:left="550"/>
              <w:spacing w:after="0"/>
              <w:rPr>
                <w:sz w:val="20"/>
                <w:szCs w:val="20"/>
                <w:color w:val="auto"/>
              </w:rPr>
            </w:pPr>
            <w:r>
              <w:rPr>
                <w:rFonts w:ascii="Arial" w:cs="Arial" w:eastAsia="Arial" w:hAnsi="Arial"/>
                <w:sz w:val="14"/>
                <w:szCs w:val="14"/>
                <w:b w:val="1"/>
                <w:bCs w:val="1"/>
                <w:color w:val="auto"/>
              </w:rPr>
              <w:t>*/Aa3/A+</w:t>
            </w: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2,184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86</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3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Barclay's Bank</w:t>
            </w:r>
          </w:p>
        </w:tc>
        <w:tc>
          <w:tcPr>
            <w:tcW w:w="2760" w:type="dxa"/>
            <w:vAlign w:val="bottom"/>
            <w:gridSpan w:val="2"/>
            <w:shd w:val="clear" w:color="auto" w:fill="CCEEFF"/>
          </w:tcPr>
          <w:p>
            <w:pPr>
              <w:jc w:val="center"/>
              <w:ind w:left="550"/>
              <w:spacing w:after="0"/>
              <w:rPr>
                <w:sz w:val="20"/>
                <w:szCs w:val="20"/>
                <w:color w:val="auto"/>
              </w:rPr>
            </w:pPr>
            <w:r>
              <w:rPr>
                <w:rFonts w:ascii="Arial" w:cs="Arial" w:eastAsia="Arial" w:hAnsi="Arial"/>
                <w:sz w:val="14"/>
                <w:szCs w:val="14"/>
                <w:b w:val="1"/>
                <w:bCs w:val="1"/>
                <w:color w:val="auto"/>
                <w:w w:val="99"/>
              </w:rPr>
              <w:t>A+/A1/A</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5,197</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3140" w:type="dxa"/>
            <w:vAlign w:val="bottom"/>
          </w:tcPr>
          <w:p>
            <w:pPr>
              <w:ind w:left="20"/>
              <w:spacing w:after="0"/>
              <w:rPr>
                <w:sz w:val="20"/>
                <w:szCs w:val="20"/>
                <w:color w:val="auto"/>
              </w:rPr>
            </w:pPr>
            <w:r>
              <w:rPr>
                <w:rFonts w:ascii="Arial" w:cs="Arial" w:eastAsia="Arial" w:hAnsi="Arial"/>
                <w:sz w:val="14"/>
                <w:szCs w:val="14"/>
                <w:color w:val="auto"/>
              </w:rPr>
              <w:t>Canadian Imperial Bank of Commerce</w:t>
            </w:r>
          </w:p>
        </w:tc>
        <w:tc>
          <w:tcPr>
            <w:tcW w:w="2760" w:type="dxa"/>
            <w:vAlign w:val="bottom"/>
            <w:gridSpan w:val="2"/>
          </w:tcPr>
          <w:p>
            <w:pPr>
              <w:jc w:val="center"/>
              <w:ind w:left="550"/>
              <w:spacing w:after="0"/>
              <w:rPr>
                <w:sz w:val="20"/>
                <w:szCs w:val="20"/>
                <w:color w:val="auto"/>
              </w:rPr>
            </w:pPr>
            <w:r>
              <w:rPr>
                <w:rFonts w:ascii="Arial" w:cs="Arial" w:eastAsia="Arial" w:hAnsi="Arial"/>
                <w:sz w:val="14"/>
                <w:szCs w:val="14"/>
                <w:b w:val="1"/>
                <w:bCs w:val="1"/>
                <w:color w:val="auto"/>
                <w:w w:val="97"/>
              </w:rPr>
              <w:t>AA/Aa2/A+</w:t>
            </w: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2,936</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147</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3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Wells Fargo</w:t>
            </w:r>
          </w:p>
        </w:tc>
        <w:tc>
          <w:tcPr>
            <w:tcW w:w="2760" w:type="dxa"/>
            <w:vAlign w:val="bottom"/>
            <w:gridSpan w:val="2"/>
            <w:shd w:val="clear" w:color="auto" w:fill="CCEEFF"/>
          </w:tcPr>
          <w:p>
            <w:pPr>
              <w:jc w:val="center"/>
              <w:ind w:left="550"/>
              <w:spacing w:after="0"/>
              <w:rPr>
                <w:sz w:val="20"/>
                <w:szCs w:val="20"/>
                <w:color w:val="auto"/>
              </w:rPr>
            </w:pPr>
            <w:r>
              <w:rPr>
                <w:rFonts w:ascii="Arial" w:cs="Arial" w:eastAsia="Arial" w:hAnsi="Arial"/>
                <w:sz w:val="14"/>
                <w:szCs w:val="14"/>
                <w:b w:val="1"/>
                <w:bCs w:val="1"/>
                <w:color w:val="auto"/>
                <w:w w:val="94"/>
              </w:rPr>
              <w:t>A+/A1/BBB+</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2,445</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3140" w:type="dxa"/>
            <w:vAlign w:val="bottom"/>
          </w:tcPr>
          <w:p>
            <w:pPr>
              <w:ind w:left="20"/>
              <w:spacing w:after="0"/>
              <w:rPr>
                <w:sz w:val="20"/>
                <w:szCs w:val="20"/>
                <w:color w:val="auto"/>
              </w:rPr>
            </w:pPr>
            <w:r>
              <w:rPr>
                <w:rFonts w:ascii="Arial" w:cs="Arial" w:eastAsia="Arial" w:hAnsi="Arial"/>
                <w:sz w:val="14"/>
                <w:szCs w:val="14"/>
                <w:color w:val="auto"/>
              </w:rPr>
              <w:t>Goldman Sachs</w:t>
            </w:r>
          </w:p>
        </w:tc>
        <w:tc>
          <w:tcPr>
            <w:tcW w:w="2760" w:type="dxa"/>
            <w:vAlign w:val="bottom"/>
            <w:gridSpan w:val="2"/>
          </w:tcPr>
          <w:p>
            <w:pPr>
              <w:jc w:val="center"/>
              <w:ind w:left="550"/>
              <w:spacing w:after="0"/>
              <w:rPr>
                <w:sz w:val="20"/>
                <w:szCs w:val="20"/>
                <w:color w:val="auto"/>
              </w:rPr>
            </w:pPr>
            <w:r>
              <w:rPr>
                <w:rFonts w:ascii="Arial" w:cs="Arial" w:eastAsia="Arial" w:hAnsi="Arial"/>
                <w:sz w:val="14"/>
                <w:szCs w:val="14"/>
                <w:b w:val="1"/>
                <w:bCs w:val="1"/>
                <w:color w:val="auto"/>
                <w:w w:val="94"/>
              </w:rPr>
              <w:t>A/A2/BBB+</w:t>
            </w: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307</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3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Credit Suisse</w:t>
            </w:r>
          </w:p>
        </w:tc>
        <w:tc>
          <w:tcPr>
            <w:tcW w:w="2760" w:type="dxa"/>
            <w:vAlign w:val="bottom"/>
            <w:gridSpan w:val="2"/>
            <w:shd w:val="clear" w:color="auto" w:fill="CCEEFF"/>
          </w:tcPr>
          <w:p>
            <w:pPr>
              <w:jc w:val="center"/>
              <w:ind w:left="550"/>
              <w:spacing w:after="0"/>
              <w:rPr>
                <w:sz w:val="20"/>
                <w:szCs w:val="20"/>
                <w:color w:val="auto"/>
              </w:rPr>
            </w:pPr>
            <w:r>
              <w:rPr>
                <w:rFonts w:ascii="Arial" w:cs="Arial" w:eastAsia="Arial" w:hAnsi="Arial"/>
                <w:sz w:val="14"/>
                <w:szCs w:val="14"/>
                <w:b w:val="1"/>
                <w:bCs w:val="1"/>
                <w:color w:val="auto"/>
                <w:w w:val="99"/>
              </w:rPr>
              <w:t>A/A1/A+</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1,485</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3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Truist</w:t>
            </w:r>
          </w:p>
        </w:tc>
        <w:tc>
          <w:tcPr>
            <w:tcW w:w="2760" w:type="dxa"/>
            <w:vAlign w:val="bottom"/>
            <w:tcBorders>
              <w:bottom w:val="single" w:sz="8" w:color="CCEEFF"/>
            </w:tcBorders>
            <w:gridSpan w:val="2"/>
          </w:tcPr>
          <w:p>
            <w:pPr>
              <w:jc w:val="center"/>
              <w:ind w:left="550"/>
              <w:spacing w:after="0"/>
              <w:rPr>
                <w:sz w:val="20"/>
                <w:szCs w:val="20"/>
                <w:color w:val="auto"/>
              </w:rPr>
            </w:pPr>
            <w:r>
              <w:rPr>
                <w:rFonts w:ascii="Arial" w:cs="Arial" w:eastAsia="Arial" w:hAnsi="Arial"/>
                <w:sz w:val="14"/>
                <w:szCs w:val="14"/>
                <w:b w:val="1"/>
                <w:bCs w:val="1"/>
                <w:color w:val="auto"/>
                <w:w w:val="99"/>
              </w:rPr>
              <w:t>A+/A2/A</w:t>
            </w: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1,543</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3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Total</w:t>
            </w:r>
          </w:p>
        </w:tc>
        <w:tc>
          <w:tcPr>
            <w:tcW w:w="26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19,404</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816</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790</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4"/>
          <w:szCs w:val="14"/>
          <w:color w:val="auto"/>
        </w:rPr>
        <w:t>(1) An * represents credit ratings that were not available.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Collateral Agreements</w:t>
      </w:r>
    </w:p>
    <w:p>
      <w:pPr>
        <w:spacing w:after="0" w:line="122"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color w:val="auto"/>
        </w:rPr>
        <w:t>We are required to maintain minimum ratings as a matter of routine practice as part of our over-the-counter derivative agreements on ISDA forms. Under some ISDA agreements, we have agreed to maintain certain financial strength ratings. A downgrade below these levels provides the counterparty under the agreement the right to terminate the open option contracts between the parties, at which time any amounts payable by us or the counterparty would be dependent on the market value of the underlying option contracts. Our current rating does not allow any counterparty the right to terminate ISDA agreements. In certain transactions, both us and the counterparty have entered into a collateral support agreement requiring either party to post collateral when the net exposures exceed pre-determined thresholds. For all counterparties, except Merrill Lynch, this threshold is set to zero. As of June 30, 2022 and December 31, 2021 counterparties posted $124 million and $790 million, respectively, of collateral of which $98 million and $576 million, respectively, is included in cash and cash equivalents with an associated payable for this collateral included in accounts payable and accrued liabilities on the unaudited Condensed Consolidated Balance Sheet. Accordingly, the maximum amount of loss due to credit risk that we would incur if parties to the call options failed completely to perform according to the terms of the contracts was $30 million at June 30, 2022 and $42 million at December 31, 2021.</w:t>
      </w:r>
    </w:p>
    <w:p>
      <w:pPr>
        <w:spacing w:after="0" w:line="90"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We are required to pay counterparties the effective federal funds rate each day for cash collateral posted to F&amp;G for daily mark to market margin changes. We reinvest derivative cash collateral to reduce the interest cost. Cash collateral is invested in overnight investment sweep products, which are included in cash and cash equivalents in the accompanying unaudited Condensed Consolidated Balance Sheets.</w:t>
      </w:r>
    </w:p>
    <w:p>
      <w:pPr>
        <w:spacing w:after="0" w:line="98"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We held 349 and 329 futures contracts at June 30, 2022 and December 31, 2021, respectively. The fair value of the futures contracts represents the cumulative unsettled variation margin (open trade equity, net of cash settlements). We provide cash collateral to the counterparties for the initial and variation margin on the futures contracts, which is included in cash and cash equivalents in the accompanying unaudited Condensed Consolidated Balance Sheets. The amount of cash collateral held by the counterparties for such contracts was $3 million at June 30, 2022 and December 31, 2021.</w:t>
      </w:r>
    </w:p>
    <w:p>
      <w:pPr>
        <w:spacing w:after="0" w:line="68"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Reinsurance Related Embedded Derivatives</w:t>
      </w:r>
    </w:p>
    <w:p>
      <w:pPr>
        <w:spacing w:after="0" w:line="135"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F&amp;G entered into a reinsurance agreement with Kubera effective December 31, 2018, to cede certain multi-year guaranteed annuity ("MYGA") and deferred annuity business on a coinsurance funds withheld basis, net of applicable existing reinsurance. Effective October 31, 2021, this agreement was novated from Kubera to Somerset, a certified third-party reinsurer. Additionally, F&amp;G entered into a reinsurance agreement with Aspida Re effective January 1, 2021, to cede a quota share of certain deferred annuity business on a funds withheld basis. Fair value movements in the funds withheld balances associated with these arrangements creates an obligation for F&amp;G to pay Somerset and Aspida Re at a later date, which results in embedded derivatives. These embedded derivatives are considered total return swaps with contractual returns that are attributable to the assets and liabilities associated with the reinsurance arrangements. The fair value of the total return swap is based on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change in fair value of the underlying assets held in the funds withheld portfolio. Investment results for the assets that support the coinsurance with funds withheld reinsurance arrangements, including gains and losses from sales, were passed directly to the reinsurers pursuant to contractual terms of the reinsurance arrangements. The reinsurance related embedded derivatives are reported in prepaid expenses and other assets if in a net gain position, or accounts payable and accrued liabilities, if in a net loss position, on the unaudited Condensed Consolidated Balance Sheets and the related gains or losses are reported in Recognized gains and losses, net on the unaudited Condensed Consolidated Statements of Earnings.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Commitments and Contingencies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and Regulatory Contingencies</w:t>
      </w:r>
    </w:p>
    <w:p>
      <w:pPr>
        <w:spacing w:after="0" w:line="84"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6"/>
          <w:szCs w:val="16"/>
          <w:color w:val="auto"/>
        </w:rPr>
        <w:t xml:space="preserve">In the ordinary course of business, we are involved in various pending and threatened litigation matters related to our operations, some of which include claims for punitive or exemplary damages. With respect to our title insurance operations, this customary litigation includes but is not limited to a wide variety of cases arising out of or related to title and escrow claims, for which we make provisions through our loss reserves. See Note B </w:t>
      </w:r>
      <w:r>
        <w:rPr>
          <w:rFonts w:ascii="Arial" w:cs="Arial" w:eastAsia="Arial" w:hAnsi="Arial"/>
          <w:sz w:val="16"/>
          <w:szCs w:val="16"/>
          <w:i w:val="1"/>
          <w:iCs w:val="1"/>
          <w:color w:val="auto"/>
        </w:rPr>
        <w:t>Summary of Reserve for Title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Claim Losses </w:t>
      </w:r>
      <w:r>
        <w:rPr>
          <w:rFonts w:ascii="Arial" w:cs="Arial" w:eastAsia="Arial" w:hAnsi="Arial"/>
          <w:sz w:val="16"/>
          <w:szCs w:val="16"/>
          <w:color w:val="auto"/>
        </w:rPr>
        <w:t>for further discussion. Additionally, like other companies, our ordinary course litigation includes a number of class action and purported class</w:t>
      </w:r>
      <w:r>
        <w:rPr>
          <w:rFonts w:ascii="Arial" w:cs="Arial" w:eastAsia="Arial" w:hAnsi="Arial"/>
          <w:sz w:val="16"/>
          <w:szCs w:val="16"/>
          <w:i w:val="1"/>
          <w:iCs w:val="1"/>
          <w:color w:val="auto"/>
        </w:rPr>
        <w:t xml:space="preserve"> </w:t>
      </w:r>
      <w:r>
        <w:rPr>
          <w:rFonts w:ascii="Arial" w:cs="Arial" w:eastAsia="Arial" w:hAnsi="Arial"/>
          <w:sz w:val="16"/>
          <w:szCs w:val="16"/>
          <w:color w:val="auto"/>
        </w:rPr>
        <w:t>action lawsuits, which make allegations related to aspects of our operations. We believe that no actions, other than the matters discussed below, if any, depart from customary litigation incidental to our business.</w:t>
      </w:r>
    </w:p>
    <w:p>
      <w:pPr>
        <w:spacing w:after="0" w:line="192" w:lineRule="exact"/>
        <w:rPr>
          <w:sz w:val="20"/>
          <w:szCs w:val="20"/>
          <w:color w:val="auto"/>
        </w:rPr>
      </w:pPr>
    </w:p>
    <w:p>
      <w:pPr>
        <w:jc w:val="both"/>
        <w:ind w:firstLine="316"/>
        <w:spacing w:after="0" w:line="246" w:lineRule="auto"/>
        <w:rPr>
          <w:sz w:val="20"/>
          <w:szCs w:val="20"/>
          <w:color w:val="auto"/>
        </w:rPr>
      </w:pPr>
      <w:r>
        <w:rPr>
          <w:rFonts w:ascii="Arial" w:cs="Arial" w:eastAsia="Arial" w:hAnsi="Arial"/>
          <w:sz w:val="16"/>
          <w:szCs w:val="16"/>
          <w:color w:val="auto"/>
        </w:rPr>
        <w:t>We review lawsuits and other legal and regulatory matters (collectively “legal proceedings”) on an ongoing basis when making accrual and disclosure decisions. When assessing reasonably possible and probable outcomes, management bases its decision on its assessment of the ultimate outcome assuming all appeals have been exhausted. For legal proceedings in which it has been determined that a loss is both probable and reasonably estimable, a liability based on known facts and that represents our best estimate has been recorded. Our accrual for legal and regulatory matters was $16 million and $12 million as of June 30, 2022 and December 31, 2021, respectively. None of the amounts we have currently recorded are considered to be material to our financial condition individually or in the aggregate. Actual losses may materially differ from the amounts recorded and the ultimate outcome of our pending legal proceedings is generally not yet determinable. While some of these matters could be material to our operating results or cash flows for any particular period if an unfavorable outcome results, at present we do not believe that the ultimate resolution of currently pending legal proceedings, either individually or in the aggregate, will have a material adverse effect on our financial condition.</w:t>
      </w:r>
    </w:p>
    <w:p>
      <w:pPr>
        <w:spacing w:after="0" w:line="198" w:lineRule="exact"/>
        <w:rPr>
          <w:sz w:val="20"/>
          <w:szCs w:val="20"/>
          <w:color w:val="auto"/>
        </w:rPr>
      </w:pPr>
    </w:p>
    <w:p>
      <w:pPr>
        <w:jc w:val="both"/>
        <w:ind w:firstLine="347"/>
        <w:spacing w:after="0" w:line="246" w:lineRule="auto"/>
        <w:rPr>
          <w:sz w:val="20"/>
          <w:szCs w:val="20"/>
          <w:color w:val="auto"/>
        </w:rPr>
      </w:pPr>
      <w:r>
        <w:rPr>
          <w:rFonts w:ascii="Arial" w:cs="Arial" w:eastAsia="Arial" w:hAnsi="Arial"/>
          <w:sz w:val="16"/>
          <w:szCs w:val="16"/>
          <w:color w:val="auto"/>
        </w:rPr>
        <w:t xml:space="preserve">Two lawsuits have been filed related to FNF’s acquisition of F&amp;G. On August 4, 2020, a stockholder derivative lawsuit styled, </w:t>
      </w:r>
      <w:r>
        <w:rPr>
          <w:rFonts w:ascii="Arial" w:cs="Arial" w:eastAsia="Arial" w:hAnsi="Arial"/>
          <w:sz w:val="16"/>
          <w:szCs w:val="16"/>
          <w:i w:val="1"/>
          <w:iCs w:val="1"/>
          <w:color w:val="auto"/>
        </w:rPr>
        <w:t>City of Miami General</w:t>
      </w:r>
      <w:r>
        <w:rPr>
          <w:rFonts w:ascii="Arial" w:cs="Arial" w:eastAsia="Arial" w:hAnsi="Arial"/>
          <w:sz w:val="16"/>
          <w:szCs w:val="16"/>
          <w:color w:val="auto"/>
        </w:rPr>
        <w:t xml:space="preserve"> </w:t>
      </w:r>
      <w:r>
        <w:rPr>
          <w:rFonts w:ascii="Arial" w:cs="Arial" w:eastAsia="Arial" w:hAnsi="Arial"/>
          <w:sz w:val="16"/>
          <w:szCs w:val="16"/>
          <w:i w:val="1"/>
          <w:iCs w:val="1"/>
          <w:color w:val="auto"/>
        </w:rPr>
        <w:t>Employees’ and Sanitation Employees’ Retirement Trust v. Fidelity National Financial, et al.</w:t>
      </w:r>
      <w:r>
        <w:rPr>
          <w:rFonts w:ascii="Arial" w:cs="Arial" w:eastAsia="Arial" w:hAnsi="Arial"/>
          <w:sz w:val="16"/>
          <w:szCs w:val="16"/>
          <w:color w:val="auto"/>
        </w:rPr>
        <w:t>, was filed in the Court of Chancery of the State of Delaware</w:t>
      </w:r>
      <w:r>
        <w:rPr>
          <w:rFonts w:ascii="Arial" w:cs="Arial" w:eastAsia="Arial" w:hAnsi="Arial"/>
          <w:sz w:val="16"/>
          <w:szCs w:val="16"/>
          <w:i w:val="1"/>
          <w:iCs w:val="1"/>
          <w:color w:val="auto"/>
        </w:rPr>
        <w:t xml:space="preserve"> </w:t>
      </w:r>
      <w:r>
        <w:rPr>
          <w:rFonts w:ascii="Arial" w:cs="Arial" w:eastAsia="Arial" w:hAnsi="Arial"/>
          <w:sz w:val="16"/>
          <w:szCs w:val="16"/>
          <w:color w:val="auto"/>
        </w:rPr>
        <w:t>against the Company, its Board of Directors and others alleging breach of fiduciary duties as directors and officers relating to FNF’s acquisition of F&amp;G. The Company’s Board of Directors (“Board”) designated a Special Litigation Committee (the “SLC”) consisting of three of the Board’s Directors, and authorized the SLC, among other things, to investigate and evaluate the claims and allegations asserted in the lawsuit. The Board gave the SLC the sole authority and power to consider and determine whether or not prosecution of the claims asserted in the lawsuit is in the best interest of the Company and its shareholders, and what action the Company should take with respect to the lawsuit. On January 24, 2022, the SLC, acting on behalf of FNF, and the other parties to the lawsuit reached an agreement to settle the action subject to various terms and conditions. On June 21, 2022, an order was entered approving the settlement and dismissing the case with prejudice.</w:t>
      </w:r>
    </w:p>
    <w:p>
      <w:pPr>
        <w:spacing w:after="0" w:line="198" w:lineRule="exact"/>
        <w:rPr>
          <w:sz w:val="20"/>
          <w:szCs w:val="20"/>
          <w:color w:val="auto"/>
        </w:rPr>
      </w:pPr>
    </w:p>
    <w:p>
      <w:pPr>
        <w:jc w:val="both"/>
        <w:ind w:firstLine="347"/>
        <w:spacing w:after="0" w:line="252" w:lineRule="auto"/>
        <w:rPr>
          <w:sz w:val="20"/>
          <w:szCs w:val="20"/>
          <w:color w:val="auto"/>
        </w:rPr>
      </w:pPr>
      <w:r>
        <w:rPr>
          <w:rFonts w:ascii="Arial" w:cs="Arial" w:eastAsia="Arial" w:hAnsi="Arial"/>
          <w:sz w:val="16"/>
          <w:szCs w:val="16"/>
          <w:color w:val="auto"/>
        </w:rPr>
        <w:t>On August 17, 2020, a lawsuit styled</w:t>
      </w:r>
      <w:r>
        <w:rPr>
          <w:rFonts w:ascii="Arial" w:cs="Arial" w:eastAsia="Arial" w:hAnsi="Arial"/>
          <w:sz w:val="16"/>
          <w:szCs w:val="16"/>
          <w:i w:val="1"/>
          <w:iCs w:val="1"/>
          <w:color w:val="auto"/>
        </w:rPr>
        <w:t>, In the Matter of FGL Holdings</w:t>
      </w:r>
      <w:r>
        <w:rPr>
          <w:rFonts w:ascii="Arial" w:cs="Arial" w:eastAsia="Arial" w:hAnsi="Arial"/>
          <w:sz w:val="16"/>
          <w:szCs w:val="16"/>
          <w:color w:val="auto"/>
        </w:rPr>
        <w:t>, was filed in the Grand Court of the Cayman Islands where dissenting shareholders, Kingfishers LP, Kingstown 1740 Fund LP, Kingstown Partners II LP, Kingstown Partners Master Ltd., and Ktown LP, have asserted statutory appraisal rights relative to their ownership of 12,000,000 shares of F&amp;G stock in connection with the acquisition. They seek a judicial determination of the fair value of their shares of F&amp;G stock under the law of the Cayman Islands, together with interest. A trial was held in late May and early June 2022 in the Cayman Islands, and a decision on the matter is pending with the court. We do not believe the result in this case will have a material adverse effect on our financial condition.</w:t>
      </w:r>
    </w:p>
    <w:p>
      <w:pPr>
        <w:spacing w:after="0" w:line="192" w:lineRule="exact"/>
        <w:rPr>
          <w:sz w:val="20"/>
          <w:szCs w:val="20"/>
          <w:color w:val="auto"/>
        </w:rPr>
      </w:pPr>
    </w:p>
    <w:p>
      <w:pPr>
        <w:jc w:val="both"/>
        <w:ind w:firstLine="347"/>
        <w:spacing w:after="0" w:line="256" w:lineRule="auto"/>
        <w:rPr>
          <w:sz w:val="20"/>
          <w:szCs w:val="20"/>
          <w:color w:val="auto"/>
        </w:rPr>
      </w:pPr>
      <w:r>
        <w:rPr>
          <w:rFonts w:ascii="Arial" w:cs="Arial" w:eastAsia="Arial" w:hAnsi="Arial"/>
          <w:sz w:val="16"/>
          <w:szCs w:val="16"/>
          <w:color w:val="auto"/>
        </w:rPr>
        <w:t>From time to time we receive inquiries and requests for information from state insurance departments, attorneys general and other regulatory agencies about various matters relating to our business. Sometimes these take the form of civil investigative demands or subpoenas. We cooperate with all such inquiries and we have responded to or are currently responding to inquiries from multiple governmental agencies. Also, regulators and courts have been dealing with issues arising from foreclosures and related processes and documentation.</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Various governmental entities are studying the title insurance product, market, pricing, and business practices, and potential regulatory and legislative changes, which may materially affect our business and operations. From time to time, we are assessed fines for violations of regulations or other matters or enter into settlements with such authorities, which may require us to pay fines or claims or take other actions. We do not anticipate such fines and settlements, either individually or in the aggregate, will have a material adverse effect on our financial condition.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F&amp;G Commitments</w:t>
      </w:r>
    </w:p>
    <w:p>
      <w:pPr>
        <w:spacing w:after="0" w:line="83"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In our F&amp;G segment, we have unfunded investment commitments as of June 30, 2022 based upon the timing of when investments are executed compared to when the actual investments are funded, as some investments require that funding occur over a period of months or years. A summary of unfunded commitments by invested asset class as of June 30, 2022 is included below (in millions):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8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ind w:right="710"/>
              <w:spacing w:after="0"/>
              <w:rPr>
                <w:sz w:val="20"/>
                <w:szCs w:val="20"/>
                <w:color w:val="auto"/>
              </w:rPr>
            </w:pPr>
            <w:r>
              <w:rPr>
                <w:rFonts w:ascii="Arial" w:cs="Arial" w:eastAsia="Arial" w:hAnsi="Arial"/>
                <w:sz w:val="14"/>
                <w:szCs w:val="14"/>
                <w:b w:val="1"/>
                <w:bCs w:val="1"/>
                <w:color w:val="auto"/>
              </w:rPr>
              <w:t>June 30, 2022</w:t>
            </w:r>
          </w:p>
        </w:tc>
      </w:tr>
      <w:tr>
        <w:trPr>
          <w:trHeight w:val="166"/>
        </w:trPr>
        <w:tc>
          <w:tcPr>
            <w:tcW w:w="8840" w:type="dxa"/>
            <w:vAlign w:val="bottom"/>
          </w:tcPr>
          <w:p>
            <w:pPr>
              <w:ind w:left="20"/>
              <w:spacing w:after="0"/>
              <w:rPr>
                <w:sz w:val="20"/>
                <w:szCs w:val="20"/>
                <w:color w:val="auto"/>
              </w:rPr>
            </w:pPr>
            <w:r>
              <w:rPr>
                <w:rFonts w:ascii="Arial" w:cs="Arial" w:eastAsia="Arial" w:hAnsi="Arial"/>
                <w:sz w:val="14"/>
                <w:szCs w:val="14"/>
                <w:b w:val="1"/>
                <w:bCs w:val="1"/>
                <w:color w:val="auto"/>
              </w:rPr>
              <w:t>Asset Type</w:t>
            </w:r>
          </w:p>
        </w:tc>
        <w:tc>
          <w:tcPr>
            <w:tcW w:w="44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190"/>
        </w:trPr>
        <w:tc>
          <w:tcPr>
            <w:tcW w:w="8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Unconsolidated VIEs:</w:t>
            </w:r>
          </w:p>
        </w:tc>
        <w:tc>
          <w:tcPr>
            <w:tcW w:w="44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r>
      <w:tr>
        <w:trPr>
          <w:trHeight w:val="182"/>
        </w:trPr>
        <w:tc>
          <w:tcPr>
            <w:tcW w:w="8840" w:type="dxa"/>
            <w:vAlign w:val="bottom"/>
          </w:tcPr>
          <w:p>
            <w:pPr>
              <w:ind w:left="200"/>
              <w:spacing w:after="0"/>
              <w:rPr>
                <w:sz w:val="20"/>
                <w:szCs w:val="20"/>
                <w:color w:val="auto"/>
              </w:rPr>
            </w:pPr>
            <w:r>
              <w:rPr>
                <w:rFonts w:ascii="Arial" w:cs="Arial" w:eastAsia="Arial" w:hAnsi="Arial"/>
                <w:sz w:val="14"/>
                <w:szCs w:val="14"/>
                <w:color w:val="auto"/>
              </w:rPr>
              <w:t>Limited partnerships</w:t>
            </w:r>
          </w:p>
        </w:tc>
        <w:tc>
          <w:tcPr>
            <w:tcW w:w="440" w:type="dxa"/>
            <w:vAlign w:val="bottom"/>
          </w:tcPr>
          <w:p>
            <w:pPr>
              <w:jc w:val="right"/>
              <w:ind w:right="270"/>
              <w:spacing w:after="0"/>
              <w:rPr>
                <w:sz w:val="20"/>
                <w:szCs w:val="20"/>
                <w:color w:val="auto"/>
              </w:rPr>
            </w:pPr>
            <w:r>
              <w:rPr>
                <w:rFonts w:ascii="Arial" w:cs="Arial" w:eastAsia="Arial" w:hAnsi="Arial"/>
                <w:sz w:val="14"/>
                <w:szCs w:val="14"/>
                <w:color w:val="auto"/>
              </w:rPr>
              <w:t>$</w:t>
            </w:r>
          </w:p>
        </w:tc>
        <w:tc>
          <w:tcPr>
            <w:tcW w:w="1960" w:type="dxa"/>
            <w:vAlign w:val="bottom"/>
          </w:tcPr>
          <w:p>
            <w:pPr>
              <w:jc w:val="right"/>
              <w:spacing w:after="0"/>
              <w:rPr>
                <w:sz w:val="20"/>
                <w:szCs w:val="20"/>
                <w:color w:val="auto"/>
              </w:rPr>
            </w:pPr>
            <w:r>
              <w:rPr>
                <w:rFonts w:ascii="Arial" w:cs="Arial" w:eastAsia="Arial" w:hAnsi="Arial"/>
                <w:sz w:val="14"/>
                <w:szCs w:val="14"/>
                <w:color w:val="auto"/>
              </w:rPr>
              <w:t>1,675</w:t>
            </w:r>
          </w:p>
        </w:tc>
      </w:tr>
      <w:tr>
        <w:trPr>
          <w:trHeight w:val="187"/>
        </w:trPr>
        <w:tc>
          <w:tcPr>
            <w:tcW w:w="88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Whole loans</w:t>
            </w:r>
          </w:p>
        </w:tc>
        <w:tc>
          <w:tcPr>
            <w:tcW w:w="440" w:type="dxa"/>
            <w:vAlign w:val="bottom"/>
            <w:shd w:val="clear" w:color="auto" w:fill="CCEEFF"/>
          </w:tcPr>
          <w:p>
            <w:pPr>
              <w:spacing w:after="0"/>
              <w:rPr>
                <w:sz w:val="16"/>
                <w:szCs w:val="16"/>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w:t>
            </w:r>
          </w:p>
        </w:tc>
      </w:tr>
      <w:tr>
        <w:trPr>
          <w:trHeight w:val="182"/>
        </w:trPr>
        <w:tc>
          <w:tcPr>
            <w:tcW w:w="8840" w:type="dxa"/>
            <w:vAlign w:val="bottom"/>
          </w:tcPr>
          <w:p>
            <w:pPr>
              <w:ind w:left="200"/>
              <w:spacing w:after="0"/>
              <w:rPr>
                <w:sz w:val="20"/>
                <w:szCs w:val="20"/>
                <w:color w:val="auto"/>
              </w:rPr>
            </w:pPr>
            <w:r>
              <w:rPr>
                <w:rFonts w:ascii="Arial" w:cs="Arial" w:eastAsia="Arial" w:hAnsi="Arial"/>
                <w:sz w:val="14"/>
                <w:szCs w:val="14"/>
                <w:color w:val="auto"/>
              </w:rPr>
              <w:t>Fixed maturity securities, ABS</w:t>
            </w:r>
          </w:p>
        </w:tc>
        <w:tc>
          <w:tcPr>
            <w:tcW w:w="440" w:type="dxa"/>
            <w:vAlign w:val="bottom"/>
          </w:tcPr>
          <w:p>
            <w:pPr>
              <w:spacing w:after="0"/>
              <w:rPr>
                <w:sz w:val="15"/>
                <w:szCs w:val="15"/>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197</w:t>
            </w:r>
          </w:p>
        </w:tc>
      </w:tr>
      <w:tr>
        <w:trPr>
          <w:trHeight w:val="187"/>
        </w:trPr>
        <w:tc>
          <w:tcPr>
            <w:tcW w:w="8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fixed maturity securities, AFS</w:t>
            </w:r>
          </w:p>
        </w:tc>
        <w:tc>
          <w:tcPr>
            <w:tcW w:w="440" w:type="dxa"/>
            <w:vAlign w:val="bottom"/>
            <w:shd w:val="clear" w:color="auto" w:fill="CCEEFF"/>
          </w:tcPr>
          <w:p>
            <w:pPr>
              <w:spacing w:after="0"/>
              <w:rPr>
                <w:sz w:val="16"/>
                <w:szCs w:val="16"/>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r>
      <w:tr>
        <w:trPr>
          <w:trHeight w:val="182"/>
        </w:trPr>
        <w:tc>
          <w:tcPr>
            <w:tcW w:w="8840" w:type="dxa"/>
            <w:vAlign w:val="bottom"/>
          </w:tcPr>
          <w:p>
            <w:pPr>
              <w:ind w:left="20"/>
              <w:spacing w:after="0"/>
              <w:rPr>
                <w:sz w:val="20"/>
                <w:szCs w:val="20"/>
                <w:color w:val="auto"/>
              </w:rPr>
            </w:pPr>
            <w:r>
              <w:rPr>
                <w:rFonts w:ascii="Arial" w:cs="Arial" w:eastAsia="Arial" w:hAnsi="Arial"/>
                <w:sz w:val="14"/>
                <w:szCs w:val="14"/>
                <w:color w:val="auto"/>
              </w:rPr>
              <w:t>Commercial mortgage loans</w:t>
            </w:r>
          </w:p>
        </w:tc>
        <w:tc>
          <w:tcPr>
            <w:tcW w:w="440" w:type="dxa"/>
            <w:vAlign w:val="bottom"/>
          </w:tcPr>
          <w:p>
            <w:pPr>
              <w:spacing w:after="0"/>
              <w:rPr>
                <w:sz w:val="15"/>
                <w:szCs w:val="15"/>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187"/>
        </w:trPr>
        <w:tc>
          <w:tcPr>
            <w:tcW w:w="8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440" w:type="dxa"/>
            <w:vAlign w:val="bottom"/>
            <w:shd w:val="clear" w:color="auto" w:fill="CCEEFF"/>
          </w:tcPr>
          <w:p>
            <w:pPr>
              <w:spacing w:after="0"/>
              <w:rPr>
                <w:sz w:val="16"/>
                <w:szCs w:val="16"/>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w:t>
            </w:r>
          </w:p>
        </w:tc>
      </w:tr>
      <w:tr>
        <w:trPr>
          <w:trHeight w:val="182"/>
        </w:trPr>
        <w:tc>
          <w:tcPr>
            <w:tcW w:w="8840" w:type="dxa"/>
            <w:vAlign w:val="bottom"/>
          </w:tcPr>
          <w:p>
            <w:pPr>
              <w:ind w:left="20"/>
              <w:spacing w:after="0"/>
              <w:rPr>
                <w:sz w:val="20"/>
                <w:szCs w:val="20"/>
                <w:color w:val="auto"/>
              </w:rPr>
            </w:pPr>
            <w:r>
              <w:rPr>
                <w:rFonts w:ascii="Arial" w:cs="Arial" w:eastAsia="Arial" w:hAnsi="Arial"/>
                <w:sz w:val="14"/>
                <w:szCs w:val="14"/>
                <w:color w:val="auto"/>
              </w:rPr>
              <w:t>Residential mortgage loans</w:t>
            </w:r>
          </w:p>
        </w:tc>
        <w:tc>
          <w:tcPr>
            <w:tcW w:w="440" w:type="dxa"/>
            <w:vAlign w:val="bottom"/>
          </w:tcPr>
          <w:p>
            <w:pPr>
              <w:spacing w:after="0"/>
              <w:rPr>
                <w:sz w:val="15"/>
                <w:szCs w:val="15"/>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84"/>
        </w:trPr>
        <w:tc>
          <w:tcPr>
            <w:tcW w:w="8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Committed amounts included in liabilities</w:t>
            </w:r>
          </w:p>
        </w:tc>
        <w:tc>
          <w:tcPr>
            <w:tcW w:w="440" w:type="dxa"/>
            <w:vAlign w:val="bottom"/>
            <w:tcBorders>
              <w:bottom w:val="single" w:sz="8" w:color="auto"/>
            </w:tcBorders>
            <w:shd w:val="clear" w:color="auto" w:fill="CCEEFF"/>
          </w:tcPr>
          <w:p>
            <w:pPr>
              <w:spacing w:after="0"/>
              <w:rPr>
                <w:sz w:val="16"/>
                <w:szCs w:val="16"/>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80"/>
        </w:trPr>
        <w:tc>
          <w:tcPr>
            <w:tcW w:w="884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44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color w:val="auto"/>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2,512</w:t>
            </w:r>
          </w:p>
        </w:tc>
      </w:tr>
      <w:tr>
        <w:trPr>
          <w:trHeight w:val="20"/>
        </w:trPr>
        <w:tc>
          <w:tcPr>
            <w:tcW w:w="88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Investments</w:t>
      </w:r>
    </w:p>
    <w:p>
      <w:pPr>
        <w:spacing w:after="0" w:line="167"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Our fixed maturity securities investments have been designated as available-for-sale ("AFS"), and are carried at fair value, net of allowance for expected credit losses, with unrealized gains and losses included in AOCI, net of associated adjustments for VOBA, DAC, DSI, unearned revenue ("UREV"), SOP 03-1 reserves, and deferred income taxes. Our preferred and equity securities investments are carried at fair value with unrealized gains and losses included in net earnings. The Company’s consolidated investments at June 30, 2022 and December 31, 2021 are summarized as follows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7"/>
          </w:tcPr>
          <w:p>
            <w:pPr>
              <w:jc w:val="center"/>
              <w:ind w:right="200"/>
              <w:spacing w:after="0"/>
              <w:rPr>
                <w:sz w:val="20"/>
                <w:szCs w:val="20"/>
                <w:color w:val="auto"/>
              </w:rPr>
            </w:pPr>
            <w:r>
              <w:rPr>
                <w:rFonts w:ascii="Arial" w:cs="Arial" w:eastAsia="Arial" w:hAnsi="Arial"/>
                <w:sz w:val="14"/>
                <w:szCs w:val="14"/>
                <w:b w:val="1"/>
                <w:bCs w:val="1"/>
                <w:color w:val="auto"/>
                <w:w w:val="90"/>
              </w:rPr>
              <w:t>June 30, 2022</w:t>
            </w: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4"/>
          </w:tcPr>
          <w:p>
            <w:pPr>
              <w:jc w:val="center"/>
              <w:ind w:right="200"/>
              <w:spacing w:after="0" w:line="130" w:lineRule="exact"/>
              <w:rPr>
                <w:sz w:val="20"/>
                <w:szCs w:val="20"/>
                <w:color w:val="auto"/>
              </w:rPr>
            </w:pPr>
            <w:r>
              <w:rPr>
                <w:rFonts w:ascii="Arial" w:cs="Arial" w:eastAsia="Arial" w:hAnsi="Arial"/>
                <w:sz w:val="14"/>
                <w:szCs w:val="14"/>
                <w:b w:val="1"/>
                <w:bCs w:val="1"/>
                <w:color w:val="auto"/>
                <w:w w:val="91"/>
              </w:rPr>
              <w:t>Allowance for</w:t>
            </w:r>
          </w:p>
        </w:tc>
        <w:tc>
          <w:tcPr>
            <w:tcW w:w="100" w:type="dxa"/>
            <w:vAlign w:val="bottom"/>
          </w:tcPr>
          <w:p>
            <w:pPr>
              <w:spacing w:after="0"/>
              <w:rPr>
                <w:sz w:val="11"/>
                <w:szCs w:val="11"/>
                <w:color w:val="auto"/>
              </w:rPr>
            </w:pPr>
          </w:p>
        </w:tc>
        <w:tc>
          <w:tcPr>
            <w:tcW w:w="132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0"/>
              </w:rPr>
              <w:t>Gross Unrealized</w:t>
            </w:r>
          </w:p>
        </w:tc>
        <w:tc>
          <w:tcPr>
            <w:tcW w:w="100" w:type="dxa"/>
            <w:vAlign w:val="bottom"/>
          </w:tcPr>
          <w:p>
            <w:pPr>
              <w:spacing w:after="0"/>
              <w:rPr>
                <w:sz w:val="11"/>
                <w:szCs w:val="11"/>
                <w:color w:val="auto"/>
              </w:rPr>
            </w:pPr>
          </w:p>
        </w:tc>
        <w:tc>
          <w:tcPr>
            <w:tcW w:w="132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88"/>
              </w:rPr>
              <w:t>Gross Unrealized</w:t>
            </w: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Amortized Cost</w:t>
            </w:r>
          </w:p>
        </w:tc>
        <w:tc>
          <w:tcPr>
            <w:tcW w:w="120" w:type="dxa"/>
            <w:vAlign w:val="bottom"/>
          </w:tcPr>
          <w:p>
            <w:pPr>
              <w:spacing w:after="0"/>
              <w:rPr>
                <w:sz w:val="11"/>
                <w:szCs w:val="11"/>
                <w:color w:val="auto"/>
              </w:rPr>
            </w:pPr>
          </w:p>
        </w:tc>
        <w:tc>
          <w:tcPr>
            <w:tcW w:w="1280" w:type="dxa"/>
            <w:vAlign w:val="bottom"/>
            <w:gridSpan w:val="4"/>
          </w:tcPr>
          <w:p>
            <w:pPr>
              <w:jc w:val="center"/>
              <w:ind w:right="200"/>
              <w:spacing w:after="0" w:line="132" w:lineRule="exact"/>
              <w:rPr>
                <w:sz w:val="20"/>
                <w:szCs w:val="20"/>
                <w:color w:val="auto"/>
              </w:rPr>
            </w:pPr>
            <w:r>
              <w:rPr>
                <w:rFonts w:ascii="Arial" w:cs="Arial" w:eastAsia="Arial" w:hAnsi="Arial"/>
                <w:sz w:val="14"/>
                <w:szCs w:val="14"/>
                <w:b w:val="1"/>
                <w:bCs w:val="1"/>
                <w:color w:val="auto"/>
                <w:w w:val="90"/>
              </w:rPr>
              <w:t>Expected Credit</w:t>
            </w:r>
          </w:p>
        </w:tc>
        <w:tc>
          <w:tcPr>
            <w:tcW w:w="100" w:type="dxa"/>
            <w:vAlign w:val="bottom"/>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1"/>
                <w:szCs w:val="11"/>
                <w:color w:val="auto"/>
              </w:rPr>
            </w:pPr>
          </w:p>
        </w:tc>
        <w:tc>
          <w:tcPr>
            <w:tcW w:w="1160" w:type="dxa"/>
            <w:vAlign w:val="bottom"/>
            <w:vMerge w:val="restart"/>
          </w:tcPr>
          <w:p>
            <w:pPr>
              <w:jc w:val="right"/>
              <w:ind w:right="110"/>
              <w:spacing w:after="0"/>
              <w:rPr>
                <w:sz w:val="20"/>
                <w:szCs w:val="20"/>
                <w:color w:val="auto"/>
              </w:rPr>
            </w:pPr>
            <w:r>
              <w:rPr>
                <w:rFonts w:ascii="Arial" w:cs="Arial" w:eastAsia="Arial" w:hAnsi="Arial"/>
                <w:sz w:val="14"/>
                <w:szCs w:val="14"/>
                <w:b w:val="1"/>
                <w:bCs w:val="1"/>
                <w:color w:val="auto"/>
                <w:w w:val="97"/>
              </w:rPr>
              <w:t>Carrying Value</w:t>
            </w:r>
          </w:p>
        </w:tc>
        <w:tc>
          <w:tcPr>
            <w:tcW w:w="0" w:type="dxa"/>
            <w:vAlign w:val="bottom"/>
          </w:tcPr>
          <w:p>
            <w:pPr>
              <w:spacing w:after="0"/>
              <w:rPr>
                <w:sz w:val="1"/>
                <w:szCs w:val="1"/>
                <w:color w:val="auto"/>
              </w:rPr>
            </w:pPr>
          </w:p>
        </w:tc>
      </w:tr>
      <w:tr>
        <w:trPr>
          <w:trHeight w:val="183"/>
        </w:trPr>
        <w:tc>
          <w:tcPr>
            <w:tcW w:w="2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15"/>
                <w:szCs w:val="15"/>
                <w:color w:val="auto"/>
              </w:rPr>
            </w:pPr>
          </w:p>
        </w:tc>
        <w:tc>
          <w:tcPr>
            <w:tcW w:w="13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7"/>
              </w:rPr>
              <w:t>Gains</w:t>
            </w:r>
          </w:p>
        </w:tc>
        <w:tc>
          <w:tcPr>
            <w:tcW w:w="100" w:type="dxa"/>
            <w:vAlign w:val="bottom"/>
          </w:tcPr>
          <w:p>
            <w:pPr>
              <w:spacing w:after="0"/>
              <w:rPr>
                <w:sz w:val="15"/>
                <w:szCs w:val="15"/>
                <w:color w:val="auto"/>
              </w:rPr>
            </w:pPr>
          </w:p>
        </w:tc>
        <w:tc>
          <w:tcPr>
            <w:tcW w:w="13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78"/>
              </w:rPr>
              <w:t>Losses</w:t>
            </w:r>
          </w:p>
        </w:tc>
        <w:tc>
          <w:tcPr>
            <w:tcW w:w="200" w:type="dxa"/>
            <w:vAlign w:val="bottom"/>
          </w:tcPr>
          <w:p>
            <w:pPr>
              <w:spacing w:after="0"/>
              <w:rPr>
                <w:sz w:val="15"/>
                <w:szCs w:val="15"/>
                <w:color w:val="auto"/>
              </w:rPr>
            </w:pPr>
          </w:p>
        </w:tc>
        <w:tc>
          <w:tcPr>
            <w:tcW w:w="1200" w:type="dxa"/>
            <w:vAlign w:val="bottom"/>
            <w:gridSpan w:val="4"/>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900" w:type="dxa"/>
            <w:vAlign w:val="bottom"/>
            <w:gridSpan w:val="2"/>
          </w:tcPr>
          <w:p>
            <w:pPr>
              <w:ind w:left="20"/>
              <w:spacing w:after="0"/>
              <w:rPr>
                <w:sz w:val="20"/>
                <w:szCs w:val="20"/>
                <w:color w:val="auto"/>
              </w:rPr>
            </w:pPr>
            <w:r>
              <w:rPr>
                <w:rFonts w:ascii="Arial" w:cs="Arial" w:eastAsia="Arial" w:hAnsi="Arial"/>
                <w:sz w:val="14"/>
                <w:szCs w:val="14"/>
                <w:b w:val="1"/>
                <w:bCs w:val="1"/>
                <w:color w:val="auto"/>
              </w:rPr>
              <w:t>Available-for-sale securities</w:t>
            </w:r>
          </w:p>
        </w:tc>
        <w:tc>
          <w:tcPr>
            <w:tcW w:w="1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Asset-backed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9,965</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(561)</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9,448</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9,448</w:t>
            </w:r>
          </w:p>
        </w:tc>
        <w:tc>
          <w:tcPr>
            <w:tcW w:w="0" w:type="dxa"/>
            <w:vAlign w:val="bottom"/>
          </w:tcPr>
          <w:p>
            <w:pPr>
              <w:spacing w:after="0"/>
              <w:rPr>
                <w:sz w:val="1"/>
                <w:szCs w:val="1"/>
                <w:color w:val="auto"/>
              </w:rPr>
            </w:pPr>
          </w:p>
        </w:tc>
      </w:tr>
      <w:tr>
        <w:trPr>
          <w:trHeight w:val="182"/>
        </w:trPr>
        <w:tc>
          <w:tcPr>
            <w:tcW w:w="2900" w:type="dxa"/>
            <w:vAlign w:val="bottom"/>
            <w:gridSpan w:val="2"/>
          </w:tcPr>
          <w:p>
            <w:pPr>
              <w:ind w:left="20"/>
              <w:spacing w:after="0"/>
              <w:rPr>
                <w:sz w:val="20"/>
                <w:szCs w:val="20"/>
                <w:color w:val="auto"/>
              </w:rPr>
            </w:pPr>
            <w:r>
              <w:rPr>
                <w:rFonts w:ascii="Arial" w:cs="Arial" w:eastAsia="Arial" w:hAnsi="Arial"/>
                <w:sz w:val="14"/>
                <w:szCs w:val="14"/>
                <w:color w:val="auto"/>
              </w:rPr>
              <w:t>Commercial mortgage-backed securities</w:t>
            </w: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3,123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4"/>
          </w:tcPr>
          <w:p>
            <w:pPr>
              <w:ind w:left="9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3,053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3,053</w:t>
            </w:r>
          </w:p>
        </w:tc>
        <w:tc>
          <w:tcPr>
            <w:tcW w:w="0" w:type="dxa"/>
            <w:vAlign w:val="bottom"/>
          </w:tcPr>
          <w:p>
            <w:pPr>
              <w:spacing w:after="0"/>
              <w:rPr>
                <w:sz w:val="1"/>
                <w:szCs w:val="1"/>
                <w:color w:val="auto"/>
              </w:rPr>
            </w:pPr>
          </w:p>
        </w:tc>
      </w:tr>
      <w:tr>
        <w:trPr>
          <w:trHeight w:val="187"/>
        </w:trPr>
        <w:tc>
          <w:tcPr>
            <w:tcW w:w="2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Corporates</w:t>
            </w: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16,639</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(2,481)</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14,184</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14,184</w:t>
            </w:r>
          </w:p>
        </w:tc>
        <w:tc>
          <w:tcPr>
            <w:tcW w:w="0" w:type="dxa"/>
            <w:vAlign w:val="bottom"/>
          </w:tcPr>
          <w:p>
            <w:pPr>
              <w:spacing w:after="0"/>
              <w:rPr>
                <w:sz w:val="1"/>
                <w:szCs w:val="1"/>
                <w:color w:val="auto"/>
              </w:rPr>
            </w:pPr>
          </w:p>
        </w:tc>
      </w:tr>
      <w:tr>
        <w:trPr>
          <w:trHeight w:val="182"/>
        </w:trPr>
        <w:tc>
          <w:tcPr>
            <w:tcW w:w="2900" w:type="dxa"/>
            <w:vAlign w:val="bottom"/>
            <w:gridSpan w:val="2"/>
          </w:tcPr>
          <w:p>
            <w:pPr>
              <w:ind w:left="20"/>
              <w:spacing w:after="0"/>
              <w:rPr>
                <w:sz w:val="20"/>
                <w:szCs w:val="20"/>
                <w:color w:val="auto"/>
              </w:rPr>
            </w:pPr>
            <w:r>
              <w:rPr>
                <w:rFonts w:ascii="Arial" w:cs="Arial" w:eastAsia="Arial" w:hAnsi="Arial"/>
                <w:sz w:val="14"/>
                <w:szCs w:val="14"/>
                <w:color w:val="auto"/>
              </w:rPr>
              <w:t>Hybrids</w:t>
            </w: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827</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4"/>
          </w:tcPr>
          <w:p>
            <w:pPr>
              <w:ind w:left="9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769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769</w:t>
            </w:r>
          </w:p>
        </w:tc>
        <w:tc>
          <w:tcPr>
            <w:tcW w:w="0" w:type="dxa"/>
            <w:vAlign w:val="bottom"/>
          </w:tcPr>
          <w:p>
            <w:pPr>
              <w:spacing w:after="0"/>
              <w:rPr>
                <w:sz w:val="1"/>
                <w:szCs w:val="1"/>
                <w:color w:val="auto"/>
              </w:rPr>
            </w:pPr>
          </w:p>
        </w:tc>
      </w:tr>
      <w:tr>
        <w:trPr>
          <w:trHeight w:val="187"/>
        </w:trPr>
        <w:tc>
          <w:tcPr>
            <w:tcW w:w="2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Municipals</w:t>
            </w: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1,489</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4"/>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1,311</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1,311</w:t>
            </w:r>
          </w:p>
        </w:tc>
        <w:tc>
          <w:tcPr>
            <w:tcW w:w="0" w:type="dxa"/>
            <w:vAlign w:val="bottom"/>
          </w:tcPr>
          <w:p>
            <w:pPr>
              <w:spacing w:after="0"/>
              <w:rPr>
                <w:sz w:val="1"/>
                <w:szCs w:val="1"/>
                <w:color w:val="auto"/>
              </w:rPr>
            </w:pPr>
          </w:p>
        </w:tc>
      </w:tr>
      <w:tr>
        <w:trPr>
          <w:trHeight w:val="182"/>
        </w:trPr>
        <w:tc>
          <w:tcPr>
            <w:tcW w:w="2900" w:type="dxa"/>
            <w:vAlign w:val="bottom"/>
            <w:gridSpan w:val="2"/>
          </w:tcPr>
          <w:p>
            <w:pPr>
              <w:ind w:left="20"/>
              <w:spacing w:after="0"/>
              <w:rPr>
                <w:sz w:val="20"/>
                <w:szCs w:val="20"/>
                <w:color w:val="auto"/>
              </w:rPr>
            </w:pPr>
            <w:r>
              <w:rPr>
                <w:rFonts w:ascii="Arial" w:cs="Arial" w:eastAsia="Arial" w:hAnsi="Arial"/>
                <w:sz w:val="14"/>
                <w:szCs w:val="14"/>
                <w:color w:val="auto"/>
              </w:rPr>
              <w:t>Residential mortgage-backed securities</w:t>
            </w: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977</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902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902</w:t>
            </w:r>
          </w:p>
        </w:tc>
        <w:tc>
          <w:tcPr>
            <w:tcW w:w="0" w:type="dxa"/>
            <w:vAlign w:val="bottom"/>
          </w:tcPr>
          <w:p>
            <w:pPr>
              <w:spacing w:after="0"/>
              <w:rPr>
                <w:sz w:val="1"/>
                <w:szCs w:val="1"/>
                <w:color w:val="auto"/>
              </w:rPr>
            </w:pPr>
          </w:p>
        </w:tc>
      </w:tr>
      <w:tr>
        <w:trPr>
          <w:trHeight w:val="187"/>
        </w:trPr>
        <w:tc>
          <w:tcPr>
            <w:tcW w:w="2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U.S. Government</w:t>
            </w: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544</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4"/>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w:t>
            </w:r>
          </w:p>
        </w:tc>
        <w:tc>
          <w:tcPr>
            <w:tcW w:w="0" w:type="dxa"/>
            <w:vAlign w:val="bottom"/>
          </w:tcPr>
          <w:p>
            <w:pPr>
              <w:spacing w:after="0"/>
              <w:rPr>
                <w:sz w:val="1"/>
                <w:szCs w:val="1"/>
                <w:color w:val="auto"/>
              </w:rPr>
            </w:pPr>
          </w:p>
        </w:tc>
      </w:tr>
      <w:tr>
        <w:trPr>
          <w:trHeight w:val="182"/>
        </w:trPr>
        <w:tc>
          <w:tcPr>
            <w:tcW w:w="2900" w:type="dxa"/>
            <w:vAlign w:val="bottom"/>
            <w:gridSpan w:val="2"/>
          </w:tcPr>
          <w:p>
            <w:pPr>
              <w:ind w:left="20"/>
              <w:spacing w:after="0"/>
              <w:rPr>
                <w:sz w:val="20"/>
                <w:szCs w:val="20"/>
                <w:color w:val="auto"/>
              </w:rPr>
            </w:pPr>
            <w:r>
              <w:rPr>
                <w:rFonts w:ascii="Arial" w:cs="Arial" w:eastAsia="Arial" w:hAnsi="Arial"/>
                <w:sz w:val="14"/>
                <w:szCs w:val="14"/>
                <w:color w:val="auto"/>
              </w:rPr>
              <w:t>Foreign Governments</w:t>
            </w: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272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4"/>
          </w:tcPr>
          <w:p>
            <w:pPr>
              <w:ind w:left="9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235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235</w:t>
            </w:r>
          </w:p>
        </w:tc>
        <w:tc>
          <w:tcPr>
            <w:tcW w:w="0" w:type="dxa"/>
            <w:vAlign w:val="bottom"/>
          </w:tcPr>
          <w:p>
            <w:pPr>
              <w:spacing w:after="0"/>
              <w:rPr>
                <w:sz w:val="1"/>
                <w:szCs w:val="1"/>
                <w:color w:val="auto"/>
              </w:rPr>
            </w:pPr>
          </w:p>
        </w:tc>
      </w:tr>
      <w:tr>
        <w:trPr>
          <w:trHeight w:val="205"/>
        </w:trPr>
        <w:tc>
          <w:tcPr>
            <w:tcW w:w="29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Total available-for-sale securities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33,836</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(3,572)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30,432</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30,432</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28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7"/>
          </w:tcPr>
          <w:p>
            <w:pPr>
              <w:jc w:val="center"/>
              <w:ind w:right="200"/>
              <w:spacing w:after="0"/>
              <w:rPr>
                <w:sz w:val="20"/>
                <w:szCs w:val="20"/>
                <w:color w:val="auto"/>
              </w:rPr>
            </w:pPr>
            <w:r>
              <w:rPr>
                <w:rFonts w:ascii="Arial" w:cs="Arial" w:eastAsia="Arial" w:hAnsi="Arial"/>
                <w:sz w:val="14"/>
                <w:szCs w:val="14"/>
                <w:b w:val="1"/>
                <w:bCs w:val="1"/>
                <w:color w:val="auto"/>
                <w:w w:val="90"/>
              </w:rPr>
              <w:t>December 31, 2021</w:t>
            </w: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4"/>
          </w:tcPr>
          <w:p>
            <w:pPr>
              <w:jc w:val="center"/>
              <w:ind w:right="240"/>
              <w:spacing w:after="0" w:line="130" w:lineRule="exact"/>
              <w:rPr>
                <w:sz w:val="20"/>
                <w:szCs w:val="20"/>
                <w:color w:val="auto"/>
              </w:rPr>
            </w:pPr>
            <w:r>
              <w:rPr>
                <w:rFonts w:ascii="Arial" w:cs="Arial" w:eastAsia="Arial" w:hAnsi="Arial"/>
                <w:sz w:val="14"/>
                <w:szCs w:val="14"/>
                <w:b w:val="1"/>
                <w:bCs w:val="1"/>
                <w:color w:val="auto"/>
                <w:w w:val="91"/>
              </w:rPr>
              <w:t>Allowance for</w:t>
            </w:r>
          </w:p>
        </w:tc>
        <w:tc>
          <w:tcPr>
            <w:tcW w:w="100" w:type="dxa"/>
            <w:vAlign w:val="bottom"/>
          </w:tcPr>
          <w:p>
            <w:pPr>
              <w:spacing w:after="0"/>
              <w:rPr>
                <w:sz w:val="11"/>
                <w:szCs w:val="11"/>
                <w:color w:val="auto"/>
              </w:rPr>
            </w:pPr>
          </w:p>
        </w:tc>
        <w:tc>
          <w:tcPr>
            <w:tcW w:w="132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0"/>
              </w:rPr>
              <w:t>Gross Unrealized</w:t>
            </w:r>
          </w:p>
        </w:tc>
        <w:tc>
          <w:tcPr>
            <w:tcW w:w="100" w:type="dxa"/>
            <w:vAlign w:val="bottom"/>
          </w:tcPr>
          <w:p>
            <w:pPr>
              <w:spacing w:after="0"/>
              <w:rPr>
                <w:sz w:val="11"/>
                <w:szCs w:val="11"/>
                <w:color w:val="auto"/>
              </w:rPr>
            </w:pPr>
          </w:p>
        </w:tc>
        <w:tc>
          <w:tcPr>
            <w:tcW w:w="132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0"/>
              </w:rPr>
              <w:t>Gross Unrealized</w:t>
            </w: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Amortized Cost</w:t>
            </w:r>
          </w:p>
        </w:tc>
        <w:tc>
          <w:tcPr>
            <w:tcW w:w="120" w:type="dxa"/>
            <w:vAlign w:val="bottom"/>
          </w:tcPr>
          <w:p>
            <w:pPr>
              <w:spacing w:after="0"/>
              <w:rPr>
                <w:sz w:val="11"/>
                <w:szCs w:val="11"/>
                <w:color w:val="auto"/>
              </w:rPr>
            </w:pPr>
          </w:p>
        </w:tc>
        <w:tc>
          <w:tcPr>
            <w:tcW w:w="1280" w:type="dxa"/>
            <w:vAlign w:val="bottom"/>
            <w:gridSpan w:val="4"/>
          </w:tcPr>
          <w:p>
            <w:pPr>
              <w:jc w:val="center"/>
              <w:ind w:right="220"/>
              <w:spacing w:after="0" w:line="132" w:lineRule="exact"/>
              <w:rPr>
                <w:sz w:val="20"/>
                <w:szCs w:val="20"/>
                <w:color w:val="auto"/>
              </w:rPr>
            </w:pPr>
            <w:r>
              <w:rPr>
                <w:rFonts w:ascii="Arial" w:cs="Arial" w:eastAsia="Arial" w:hAnsi="Arial"/>
                <w:sz w:val="14"/>
                <w:szCs w:val="14"/>
                <w:b w:val="1"/>
                <w:bCs w:val="1"/>
                <w:color w:val="auto"/>
                <w:w w:val="91"/>
              </w:rPr>
              <w:t>Expected Credit</w:t>
            </w:r>
          </w:p>
        </w:tc>
        <w:tc>
          <w:tcPr>
            <w:tcW w:w="100" w:type="dxa"/>
            <w:vAlign w:val="bottom"/>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1"/>
                <w:szCs w:val="11"/>
                <w:color w:val="auto"/>
              </w:rPr>
            </w:pPr>
          </w:p>
        </w:tc>
        <w:tc>
          <w:tcPr>
            <w:tcW w:w="1160" w:type="dxa"/>
            <w:vAlign w:val="bottom"/>
            <w:vMerge w:val="restart"/>
          </w:tcPr>
          <w:p>
            <w:pPr>
              <w:jc w:val="right"/>
              <w:ind w:right="130"/>
              <w:spacing w:after="0"/>
              <w:rPr>
                <w:sz w:val="20"/>
                <w:szCs w:val="20"/>
                <w:color w:val="auto"/>
              </w:rPr>
            </w:pPr>
            <w:r>
              <w:rPr>
                <w:rFonts w:ascii="Arial" w:cs="Arial" w:eastAsia="Arial" w:hAnsi="Arial"/>
                <w:sz w:val="14"/>
                <w:szCs w:val="14"/>
                <w:b w:val="1"/>
                <w:bCs w:val="1"/>
                <w:color w:val="auto"/>
                <w:w w:val="95"/>
              </w:rPr>
              <w:t>Carrying Value</w:t>
            </w:r>
          </w:p>
        </w:tc>
        <w:tc>
          <w:tcPr>
            <w:tcW w:w="0" w:type="dxa"/>
            <w:vAlign w:val="bottom"/>
          </w:tcPr>
          <w:p>
            <w:pPr>
              <w:spacing w:after="0"/>
              <w:rPr>
                <w:sz w:val="1"/>
                <w:szCs w:val="1"/>
                <w:color w:val="auto"/>
              </w:rPr>
            </w:pPr>
          </w:p>
        </w:tc>
      </w:tr>
      <w:tr>
        <w:trPr>
          <w:trHeight w:val="183"/>
        </w:trPr>
        <w:tc>
          <w:tcPr>
            <w:tcW w:w="2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78"/>
              </w:rPr>
              <w:t>Losses</w:t>
            </w:r>
          </w:p>
        </w:tc>
        <w:tc>
          <w:tcPr>
            <w:tcW w:w="100" w:type="dxa"/>
            <w:vAlign w:val="bottom"/>
          </w:tcPr>
          <w:p>
            <w:pPr>
              <w:spacing w:after="0"/>
              <w:rPr>
                <w:sz w:val="15"/>
                <w:szCs w:val="15"/>
                <w:color w:val="auto"/>
              </w:rPr>
            </w:pPr>
          </w:p>
        </w:tc>
        <w:tc>
          <w:tcPr>
            <w:tcW w:w="13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Pr>
          <w:p>
            <w:pPr>
              <w:spacing w:after="0"/>
              <w:rPr>
                <w:sz w:val="15"/>
                <w:szCs w:val="15"/>
                <w:color w:val="auto"/>
              </w:rPr>
            </w:pPr>
          </w:p>
        </w:tc>
        <w:tc>
          <w:tcPr>
            <w:tcW w:w="13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2"/>
              </w:rPr>
              <w:t>Losses</w:t>
            </w:r>
          </w:p>
        </w:tc>
        <w:tc>
          <w:tcPr>
            <w:tcW w:w="200" w:type="dxa"/>
            <w:vAlign w:val="bottom"/>
          </w:tcPr>
          <w:p>
            <w:pPr>
              <w:spacing w:after="0"/>
              <w:rPr>
                <w:sz w:val="15"/>
                <w:szCs w:val="15"/>
                <w:color w:val="auto"/>
              </w:rPr>
            </w:pPr>
          </w:p>
        </w:tc>
        <w:tc>
          <w:tcPr>
            <w:tcW w:w="1200" w:type="dxa"/>
            <w:vAlign w:val="bottom"/>
            <w:gridSpan w:val="4"/>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Available-for-sale securities</w:t>
            </w:r>
          </w:p>
        </w:tc>
        <w:tc>
          <w:tcPr>
            <w:tcW w:w="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Asset-backed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8,516</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ind w:left="980"/>
              <w:spacing w:after="0"/>
              <w:rPr>
                <w:sz w:val="20"/>
                <w:szCs w:val="20"/>
                <w:color w:val="auto"/>
              </w:rPr>
            </w:pPr>
            <w:r>
              <w:rPr>
                <w:rFonts w:ascii="Arial" w:cs="Arial" w:eastAsia="Arial" w:hAnsi="Arial"/>
                <w:sz w:val="14"/>
                <w:szCs w:val="14"/>
                <w:color w:val="auto"/>
              </w:rPr>
              <w:t>(3)</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80"/>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8,695</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8,695</w:t>
            </w:r>
          </w:p>
        </w:tc>
        <w:tc>
          <w:tcPr>
            <w:tcW w:w="0" w:type="dxa"/>
            <w:vAlign w:val="bottom"/>
          </w:tcPr>
          <w:p>
            <w:pPr>
              <w:spacing w:after="0"/>
              <w:rPr>
                <w:sz w:val="1"/>
                <w:szCs w:val="1"/>
                <w:color w:val="auto"/>
              </w:rPr>
            </w:pPr>
          </w:p>
        </w:tc>
      </w:tr>
      <w:tr>
        <w:trPr>
          <w:trHeight w:val="132"/>
        </w:trPr>
        <w:tc>
          <w:tcPr>
            <w:tcW w:w="2900" w:type="dxa"/>
            <w:vAlign w:val="bottom"/>
            <w:gridSpan w:val="2"/>
          </w:tcPr>
          <w:p>
            <w:pPr>
              <w:ind w:left="20"/>
              <w:spacing w:after="0" w:line="132" w:lineRule="exact"/>
              <w:rPr>
                <w:sz w:val="20"/>
                <w:szCs w:val="20"/>
                <w:color w:val="auto"/>
              </w:rPr>
            </w:pPr>
            <w:r>
              <w:rPr>
                <w:rFonts w:ascii="Arial" w:cs="Arial" w:eastAsia="Arial" w:hAnsi="Arial"/>
                <w:sz w:val="14"/>
                <w:szCs w:val="14"/>
                <w:color w:val="auto"/>
              </w:rPr>
              <w:t>Commercial mortgage-backed/asset-backed</w:t>
            </w:r>
          </w:p>
        </w:tc>
        <w:tc>
          <w:tcPr>
            <w:tcW w:w="14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2,684</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vMerge w:val="restart"/>
          </w:tcPr>
          <w:p>
            <w:pPr>
              <w:ind w:left="980"/>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308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2,979</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2,979</w:t>
            </w:r>
          </w:p>
        </w:tc>
        <w:tc>
          <w:tcPr>
            <w:tcW w:w="0" w:type="dxa"/>
            <w:vAlign w:val="bottom"/>
          </w:tcPr>
          <w:p>
            <w:pPr>
              <w:spacing w:after="0"/>
              <w:rPr>
                <w:sz w:val="1"/>
                <w:szCs w:val="1"/>
                <w:color w:val="auto"/>
              </w:rPr>
            </w:pPr>
          </w:p>
        </w:tc>
      </w:tr>
      <w:tr>
        <w:trPr>
          <w:trHeight w:val="182"/>
        </w:trPr>
        <w:tc>
          <w:tcPr>
            <w:tcW w:w="2900" w:type="dxa"/>
            <w:vAlign w:val="bottom"/>
            <w:gridSpan w:val="2"/>
          </w:tcPr>
          <w:p>
            <w:pPr>
              <w:ind w:left="20"/>
              <w:spacing w:after="0"/>
              <w:rPr>
                <w:sz w:val="20"/>
                <w:szCs w:val="20"/>
                <w:color w:val="auto"/>
              </w:rPr>
            </w:pPr>
            <w:r>
              <w:rPr>
                <w:rFonts w:ascii="Arial" w:cs="Arial" w:eastAsia="Arial" w:hAnsi="Arial"/>
                <w:sz w:val="14"/>
                <w:szCs w:val="14"/>
                <w:color w:val="auto"/>
              </w:rPr>
              <w:t>securities</w:t>
            </w:r>
          </w:p>
        </w:tc>
        <w:tc>
          <w:tcPr>
            <w:tcW w:w="1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Corporates</w:t>
            </w: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15,822</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830</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16,494</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16,494</w:t>
            </w:r>
          </w:p>
        </w:tc>
        <w:tc>
          <w:tcPr>
            <w:tcW w:w="0" w:type="dxa"/>
            <w:vAlign w:val="bottom"/>
          </w:tcPr>
          <w:p>
            <w:pPr>
              <w:spacing w:after="0"/>
              <w:rPr>
                <w:sz w:val="1"/>
                <w:szCs w:val="1"/>
                <w:color w:val="auto"/>
              </w:rPr>
            </w:pPr>
          </w:p>
        </w:tc>
      </w:tr>
      <w:tr>
        <w:trPr>
          <w:trHeight w:val="182"/>
        </w:trPr>
        <w:tc>
          <w:tcPr>
            <w:tcW w:w="2900" w:type="dxa"/>
            <w:vAlign w:val="bottom"/>
            <w:gridSpan w:val="2"/>
          </w:tcPr>
          <w:p>
            <w:pPr>
              <w:ind w:left="20"/>
              <w:spacing w:after="0"/>
              <w:rPr>
                <w:sz w:val="20"/>
                <w:szCs w:val="20"/>
                <w:color w:val="auto"/>
              </w:rPr>
            </w:pPr>
            <w:r>
              <w:rPr>
                <w:rFonts w:ascii="Arial" w:cs="Arial" w:eastAsia="Arial" w:hAnsi="Arial"/>
                <w:sz w:val="14"/>
                <w:szCs w:val="14"/>
                <w:color w:val="auto"/>
              </w:rPr>
              <w:t>Hybrids</w:t>
            </w: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838</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4"/>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912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912</w:t>
            </w:r>
          </w:p>
        </w:tc>
        <w:tc>
          <w:tcPr>
            <w:tcW w:w="0" w:type="dxa"/>
            <w:vAlign w:val="bottom"/>
          </w:tcPr>
          <w:p>
            <w:pPr>
              <w:spacing w:after="0"/>
              <w:rPr>
                <w:sz w:val="1"/>
                <w:szCs w:val="1"/>
                <w:color w:val="auto"/>
              </w:rPr>
            </w:pPr>
          </w:p>
        </w:tc>
      </w:tr>
      <w:tr>
        <w:trPr>
          <w:trHeight w:val="187"/>
        </w:trPr>
        <w:tc>
          <w:tcPr>
            <w:tcW w:w="2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Municipals</w:t>
            </w: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1,445</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1,501</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1,501</w:t>
            </w:r>
          </w:p>
        </w:tc>
        <w:tc>
          <w:tcPr>
            <w:tcW w:w="0" w:type="dxa"/>
            <w:vAlign w:val="bottom"/>
          </w:tcPr>
          <w:p>
            <w:pPr>
              <w:spacing w:after="0"/>
              <w:rPr>
                <w:sz w:val="1"/>
                <w:szCs w:val="1"/>
                <w:color w:val="auto"/>
              </w:rPr>
            </w:pPr>
          </w:p>
        </w:tc>
      </w:tr>
      <w:tr>
        <w:trPr>
          <w:trHeight w:val="182"/>
        </w:trPr>
        <w:tc>
          <w:tcPr>
            <w:tcW w:w="2900" w:type="dxa"/>
            <w:vAlign w:val="bottom"/>
            <w:gridSpan w:val="2"/>
          </w:tcPr>
          <w:p>
            <w:pPr>
              <w:ind w:left="20"/>
              <w:spacing w:after="0"/>
              <w:rPr>
                <w:sz w:val="20"/>
                <w:szCs w:val="20"/>
                <w:color w:val="auto"/>
              </w:rPr>
            </w:pPr>
            <w:r>
              <w:rPr>
                <w:rFonts w:ascii="Arial" w:cs="Arial" w:eastAsia="Arial" w:hAnsi="Arial"/>
                <w:sz w:val="14"/>
                <w:szCs w:val="14"/>
                <w:color w:val="auto"/>
              </w:rPr>
              <w:t>Residential mortgage-backed securities</w:t>
            </w: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731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ind w:left="980"/>
              <w:spacing w:after="0"/>
              <w:rPr>
                <w:sz w:val="20"/>
                <w:szCs w:val="20"/>
                <w:color w:val="auto"/>
              </w:rPr>
            </w:pPr>
            <w:r>
              <w:rPr>
                <w:rFonts w:ascii="Arial" w:cs="Arial" w:eastAsia="Arial" w:hAnsi="Arial"/>
                <w:sz w:val="14"/>
                <w:szCs w:val="14"/>
                <w:color w:val="auto"/>
              </w:rPr>
              <w:t>(3)</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731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731</w:t>
            </w:r>
          </w:p>
        </w:tc>
        <w:tc>
          <w:tcPr>
            <w:tcW w:w="0" w:type="dxa"/>
            <w:vAlign w:val="bottom"/>
          </w:tcPr>
          <w:p>
            <w:pPr>
              <w:spacing w:after="0"/>
              <w:rPr>
                <w:sz w:val="1"/>
                <w:szCs w:val="1"/>
                <w:color w:val="auto"/>
              </w:rPr>
            </w:pPr>
          </w:p>
        </w:tc>
      </w:tr>
      <w:tr>
        <w:trPr>
          <w:trHeight w:val="187"/>
        </w:trPr>
        <w:tc>
          <w:tcPr>
            <w:tcW w:w="2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U.S. Government</w:t>
            </w: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w:t>
            </w:r>
          </w:p>
        </w:tc>
        <w:tc>
          <w:tcPr>
            <w:tcW w:w="0" w:type="dxa"/>
            <w:vAlign w:val="bottom"/>
          </w:tcPr>
          <w:p>
            <w:pPr>
              <w:spacing w:after="0"/>
              <w:rPr>
                <w:sz w:val="1"/>
                <w:szCs w:val="1"/>
                <w:color w:val="auto"/>
              </w:rPr>
            </w:pPr>
          </w:p>
        </w:tc>
      </w:tr>
      <w:tr>
        <w:trPr>
          <w:trHeight w:val="182"/>
        </w:trPr>
        <w:tc>
          <w:tcPr>
            <w:tcW w:w="28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Foreign Governments</w:t>
            </w: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276</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284</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284</w:t>
            </w:r>
          </w:p>
        </w:tc>
        <w:tc>
          <w:tcPr>
            <w:tcW w:w="0" w:type="dxa"/>
            <w:vAlign w:val="bottom"/>
          </w:tcPr>
          <w:p>
            <w:pPr>
              <w:spacing w:after="0"/>
              <w:rPr>
                <w:sz w:val="1"/>
                <w:szCs w:val="1"/>
                <w:color w:val="auto"/>
              </w:rPr>
            </w:pPr>
          </w:p>
        </w:tc>
      </w:tr>
      <w:tr>
        <w:trPr>
          <w:trHeight w:val="200"/>
        </w:trPr>
        <w:tc>
          <w:tcPr>
            <w:tcW w:w="29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Total available-for-sale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30,705</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ind w:left="980"/>
              <w:spacing w:after="0"/>
              <w:rPr>
                <w:sz w:val="20"/>
                <w:szCs w:val="20"/>
                <w:color w:val="auto"/>
              </w:rPr>
            </w:pPr>
            <w:r>
              <w:rPr>
                <w:rFonts w:ascii="Arial" w:cs="Arial" w:eastAsia="Arial" w:hAnsi="Arial"/>
                <w:sz w:val="14"/>
                <w:szCs w:val="14"/>
                <w:color w:val="auto"/>
              </w:rPr>
              <w:t>(8)</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1,518</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80"/>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31,990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31,990</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8"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Securities held on deposit with various state regulatory authorities had a fair value of $16,831 million and $22,343 million at June 30, 2022 and December 31, 2021, respectively.</w:t>
      </w:r>
    </w:p>
    <w:p>
      <w:pPr>
        <w:spacing w:after="0" w:line="89"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As of June 30, 2022 and December 31, 2021, the Company held no material investments that were non-income producing for a period greater than twelve months.</w:t>
      </w:r>
    </w:p>
    <w:p>
      <w:pPr>
        <w:spacing w:after="0" w:line="10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As of June 30, 2022 and December 31, 2021, the Company's accrued interest receivable balance was $276 million and $253 million, respectively.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Accrued interest receivable is classified within Prepaid expenses and other assets within the unaudited Condensed Consolidated Balance Sheets.</w:t>
      </w:r>
    </w:p>
    <w:p>
      <w:pPr>
        <w:spacing w:after="0" w:line="133"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In accordance with our FHLB agreements, the investments supporting the funding agreement liabilities are pledged as collateral to secure the FHLB funding agreement liabilities and are not available to us for general purposes. The collateral investments had a fair value of $3,030 million and $2,469 million as of June 30, 2022 and December 31, 2021, respectively.</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firstLine="395"/>
        <w:spacing w:after="0" w:line="261" w:lineRule="auto"/>
        <w:rPr>
          <w:sz w:val="20"/>
          <w:szCs w:val="20"/>
          <w:color w:val="auto"/>
        </w:rPr>
      </w:pPr>
      <w:r>
        <w:rPr>
          <w:rFonts w:ascii="Arial" w:cs="Arial" w:eastAsia="Arial" w:hAnsi="Arial"/>
          <w:sz w:val="18"/>
          <w:szCs w:val="18"/>
          <w:color w:val="auto"/>
        </w:rPr>
        <w:t>The amortized cost and fair value of fixed maturity securities by contractual maturities, as applicable, are shown below. Actual maturities may differ from contractual maturities because issuers may have the right to call or prepay obligations.</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5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 2022</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40" w:type="dxa"/>
            <w:vAlign w:val="bottom"/>
            <w:gridSpan w:val="4"/>
          </w:tcPr>
          <w:p>
            <w:pPr>
              <w:jc w:val="right"/>
              <w:ind w:right="810"/>
              <w:spacing w:after="0"/>
              <w:rPr>
                <w:sz w:val="20"/>
                <w:szCs w:val="20"/>
                <w:color w:val="auto"/>
              </w:rPr>
            </w:pPr>
            <w:r>
              <w:rPr>
                <w:rFonts w:ascii="Arial" w:cs="Arial" w:eastAsia="Arial" w:hAnsi="Arial"/>
                <w:sz w:val="14"/>
                <w:szCs w:val="14"/>
                <w:b w:val="1"/>
                <w:bCs w:val="1"/>
                <w:color w:val="auto"/>
              </w:rPr>
              <w:t>December 31, 2021</w:t>
            </w:r>
          </w:p>
        </w:tc>
      </w:tr>
      <w:tr>
        <w:trPr>
          <w:trHeight w:val="190"/>
        </w:trPr>
        <w:tc>
          <w:tcPr>
            <w:tcW w:w="5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Borders>
              <w:bottom w:val="single" w:sz="8" w:color="auto"/>
            </w:tcBorders>
          </w:tcPr>
          <w:p>
            <w:pPr>
              <w:spacing w:after="0"/>
              <w:rPr>
                <w:sz w:val="16"/>
                <w:szCs w:val="16"/>
                <w:color w:val="auto"/>
              </w:rPr>
            </w:pPr>
          </w:p>
        </w:tc>
      </w:tr>
      <w:tr>
        <w:trPr>
          <w:trHeight w:val="182"/>
        </w:trPr>
        <w:tc>
          <w:tcPr>
            <w:tcW w:w="5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Amortized Cost</w:t>
            </w:r>
          </w:p>
        </w:tc>
        <w:tc>
          <w:tcPr>
            <w:tcW w:w="380" w:type="dxa"/>
            <w:vAlign w:val="bottom"/>
          </w:tcPr>
          <w:p>
            <w:pPr>
              <w:spacing w:after="0"/>
              <w:rPr>
                <w:sz w:val="15"/>
                <w:szCs w:val="15"/>
                <w:color w:val="auto"/>
              </w:rPr>
            </w:pPr>
          </w:p>
        </w:tc>
        <w:tc>
          <w:tcPr>
            <w:tcW w:w="1020" w:type="dxa"/>
            <w:vAlign w:val="bottom"/>
          </w:tcPr>
          <w:p>
            <w:pPr>
              <w:jc w:val="right"/>
              <w:ind w:right="290"/>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Amortized Cost</w:t>
            </w:r>
          </w:p>
        </w:tc>
        <w:tc>
          <w:tcPr>
            <w:tcW w:w="360" w:type="dxa"/>
            <w:vAlign w:val="bottom"/>
          </w:tcPr>
          <w:p>
            <w:pPr>
              <w:spacing w:after="0"/>
              <w:rPr>
                <w:sz w:val="15"/>
                <w:szCs w:val="15"/>
                <w:color w:val="auto"/>
              </w:rPr>
            </w:pPr>
          </w:p>
        </w:tc>
        <w:tc>
          <w:tcPr>
            <w:tcW w:w="1040" w:type="dxa"/>
            <w:vAlign w:val="bottom"/>
          </w:tcPr>
          <w:p>
            <w:pPr>
              <w:jc w:val="right"/>
              <w:ind w:right="290"/>
              <w:spacing w:after="0"/>
              <w:rPr>
                <w:sz w:val="20"/>
                <w:szCs w:val="20"/>
                <w:color w:val="auto"/>
              </w:rPr>
            </w:pPr>
            <w:r>
              <w:rPr>
                <w:rFonts w:ascii="Arial" w:cs="Arial" w:eastAsia="Arial" w:hAnsi="Arial"/>
                <w:sz w:val="14"/>
                <w:szCs w:val="14"/>
                <w:b w:val="1"/>
                <w:bCs w:val="1"/>
                <w:color w:val="auto"/>
                <w:w w:val="98"/>
              </w:rPr>
              <w:t>Fair Value</w:t>
            </w:r>
          </w:p>
        </w:tc>
      </w:tr>
      <w:tr>
        <w:trPr>
          <w:trHeight w:val="165"/>
        </w:trPr>
        <w:tc>
          <w:tcPr>
            <w:tcW w:w="5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Corporates, Non-structured Hybrids, Municipal and Government securities:</w:t>
            </w:r>
          </w:p>
        </w:tc>
        <w:tc>
          <w:tcPr>
            <w:tcW w:w="16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r>
      <w:tr>
        <w:trPr>
          <w:trHeight w:val="182"/>
        </w:trPr>
        <w:tc>
          <w:tcPr>
            <w:tcW w:w="5260" w:type="dxa"/>
            <w:vAlign w:val="bottom"/>
          </w:tcPr>
          <w:p>
            <w:pPr>
              <w:ind w:left="140"/>
              <w:spacing w:after="0"/>
              <w:rPr>
                <w:sz w:val="20"/>
                <w:szCs w:val="20"/>
                <w:color w:val="auto"/>
              </w:rPr>
            </w:pPr>
            <w:r>
              <w:rPr>
                <w:rFonts w:ascii="Arial" w:cs="Arial" w:eastAsia="Arial" w:hAnsi="Arial"/>
                <w:sz w:val="14"/>
                <w:szCs w:val="14"/>
                <w:color w:val="auto"/>
              </w:rPr>
              <w:t>Due in one year or less</w:t>
            </w: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524</w:t>
            </w:r>
          </w:p>
        </w:tc>
        <w:tc>
          <w:tcPr>
            <w:tcW w:w="100" w:type="dxa"/>
            <w:vAlign w:val="bottom"/>
          </w:tcPr>
          <w:p>
            <w:pPr>
              <w:spacing w:after="0"/>
              <w:rPr>
                <w:sz w:val="15"/>
                <w:szCs w:val="15"/>
                <w:color w:val="auto"/>
              </w:rPr>
            </w:pPr>
          </w:p>
        </w:tc>
        <w:tc>
          <w:tcPr>
            <w:tcW w:w="380" w:type="dxa"/>
            <w:vAlign w:val="bottom"/>
          </w:tcPr>
          <w:p>
            <w:pPr>
              <w:jc w:val="right"/>
              <w:ind w:right="21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523</w:t>
            </w:r>
          </w:p>
        </w:tc>
        <w:tc>
          <w:tcPr>
            <w:tcW w:w="100" w:type="dxa"/>
            <w:vAlign w:val="bottom"/>
          </w:tcPr>
          <w:p>
            <w:pPr>
              <w:spacing w:after="0"/>
              <w:rPr>
                <w:sz w:val="15"/>
                <w:szCs w:val="15"/>
                <w:color w:val="auto"/>
              </w:rPr>
            </w:pP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426</w:t>
            </w:r>
          </w:p>
        </w:tc>
        <w:tc>
          <w:tcPr>
            <w:tcW w:w="100" w:type="dxa"/>
            <w:vAlign w:val="bottom"/>
          </w:tcPr>
          <w:p>
            <w:pPr>
              <w:spacing w:after="0"/>
              <w:rPr>
                <w:sz w:val="15"/>
                <w:szCs w:val="15"/>
                <w:color w:val="auto"/>
              </w:rPr>
            </w:pPr>
          </w:p>
        </w:tc>
        <w:tc>
          <w:tcPr>
            <w:tcW w:w="360" w:type="dxa"/>
            <w:vAlign w:val="bottom"/>
          </w:tcPr>
          <w:p>
            <w:pPr>
              <w:jc w:val="right"/>
              <w:ind w:right="210"/>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431</w:t>
            </w:r>
          </w:p>
        </w:tc>
      </w:tr>
      <w:tr>
        <w:trPr>
          <w:trHeight w:val="187"/>
        </w:trPr>
        <w:tc>
          <w:tcPr>
            <w:tcW w:w="5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Due after one year through five years</w:t>
            </w: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3,386</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2,998</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3,051</w:t>
            </w:r>
          </w:p>
        </w:tc>
      </w:tr>
      <w:tr>
        <w:trPr>
          <w:trHeight w:val="182"/>
        </w:trPr>
        <w:tc>
          <w:tcPr>
            <w:tcW w:w="5260" w:type="dxa"/>
            <w:vAlign w:val="bottom"/>
          </w:tcPr>
          <w:p>
            <w:pPr>
              <w:ind w:left="140"/>
              <w:spacing w:after="0"/>
              <w:rPr>
                <w:sz w:val="20"/>
                <w:szCs w:val="20"/>
                <w:color w:val="auto"/>
              </w:rPr>
            </w:pPr>
            <w:r>
              <w:rPr>
                <w:rFonts w:ascii="Arial" w:cs="Arial" w:eastAsia="Arial" w:hAnsi="Arial"/>
                <w:sz w:val="14"/>
                <w:szCs w:val="14"/>
                <w:color w:val="auto"/>
              </w:rPr>
              <w:t>Due after five years through ten years</w:t>
            </w: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2,103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1,918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2,389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2,458</w:t>
            </w:r>
          </w:p>
        </w:tc>
      </w:tr>
      <w:tr>
        <w:trPr>
          <w:trHeight w:val="187"/>
        </w:trPr>
        <w:tc>
          <w:tcPr>
            <w:tcW w:w="5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Due after ten years</w:t>
            </w:r>
          </w:p>
        </w:tc>
        <w:tc>
          <w:tcPr>
            <w:tcW w:w="16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13,732</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11,344</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12,930</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13,608</w:t>
            </w:r>
          </w:p>
        </w:tc>
      </w:tr>
      <w:tr>
        <w:trPr>
          <w:trHeight w:val="175"/>
        </w:trPr>
        <w:tc>
          <w:tcPr>
            <w:tcW w:w="5260" w:type="dxa"/>
            <w:vAlign w:val="bottom"/>
          </w:tcPr>
          <w:p>
            <w:pPr>
              <w:ind w:left="340"/>
              <w:spacing w:after="0"/>
              <w:rPr>
                <w:sz w:val="20"/>
                <w:szCs w:val="20"/>
                <w:color w:val="auto"/>
              </w:rPr>
            </w:pPr>
            <w:r>
              <w:rPr>
                <w:rFonts w:ascii="Arial" w:cs="Arial" w:eastAsia="Arial" w:hAnsi="Arial"/>
                <w:sz w:val="14"/>
                <w:szCs w:val="14"/>
                <w:b w:val="1"/>
                <w:bCs w:val="1"/>
                <w:color w:val="auto"/>
              </w:rPr>
              <w:t>Subtotal</w:t>
            </w: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19,745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17,003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18,743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19,548</w:t>
            </w:r>
          </w:p>
        </w:tc>
      </w:tr>
      <w:tr>
        <w:trPr>
          <w:trHeight w:val="187"/>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securities, which provide for periodic payments:</w:t>
            </w: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82"/>
        </w:trPr>
        <w:tc>
          <w:tcPr>
            <w:tcW w:w="5260" w:type="dxa"/>
            <w:vAlign w:val="bottom"/>
          </w:tcPr>
          <w:p>
            <w:pPr>
              <w:ind w:left="140"/>
              <w:spacing w:after="0"/>
              <w:rPr>
                <w:sz w:val="20"/>
                <w:szCs w:val="20"/>
                <w:color w:val="auto"/>
              </w:rPr>
            </w:pPr>
            <w:r>
              <w:rPr>
                <w:rFonts w:ascii="Arial" w:cs="Arial" w:eastAsia="Arial" w:hAnsi="Arial"/>
                <w:sz w:val="14"/>
                <w:szCs w:val="14"/>
                <w:color w:val="auto"/>
              </w:rPr>
              <w:t>Asset-backed securities</w:t>
            </w: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9,965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9,448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8,516</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8,695</w:t>
            </w:r>
          </w:p>
        </w:tc>
      </w:tr>
      <w:tr>
        <w:trPr>
          <w:trHeight w:val="187"/>
        </w:trPr>
        <w:tc>
          <w:tcPr>
            <w:tcW w:w="5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Commercial mortgage-backed securities</w:t>
            </w: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3,123</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2,684</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2,979</w:t>
            </w:r>
          </w:p>
        </w:tc>
      </w:tr>
      <w:tr>
        <w:trPr>
          <w:trHeight w:val="182"/>
        </w:trPr>
        <w:tc>
          <w:tcPr>
            <w:tcW w:w="5260" w:type="dxa"/>
            <w:vAlign w:val="bottom"/>
          </w:tcPr>
          <w:p>
            <w:pPr>
              <w:ind w:left="140"/>
              <w:spacing w:after="0"/>
              <w:rPr>
                <w:sz w:val="20"/>
                <w:szCs w:val="20"/>
                <w:color w:val="auto"/>
              </w:rPr>
            </w:pPr>
            <w:r>
              <w:rPr>
                <w:rFonts w:ascii="Arial" w:cs="Arial" w:eastAsia="Arial" w:hAnsi="Arial"/>
                <w:sz w:val="14"/>
                <w:szCs w:val="14"/>
                <w:color w:val="auto"/>
              </w:rPr>
              <w:t>Structured hybrids</w:t>
            </w: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187"/>
        </w:trPr>
        <w:tc>
          <w:tcPr>
            <w:tcW w:w="5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Residential mortgage-backed securities</w:t>
            </w:r>
          </w:p>
        </w:tc>
        <w:tc>
          <w:tcPr>
            <w:tcW w:w="16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977</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902</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731</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731</w:t>
            </w:r>
          </w:p>
        </w:tc>
      </w:tr>
      <w:tr>
        <w:trPr>
          <w:trHeight w:val="175"/>
        </w:trPr>
        <w:tc>
          <w:tcPr>
            <w:tcW w:w="5260" w:type="dxa"/>
            <w:vAlign w:val="bottom"/>
            <w:tcBorders>
              <w:bottom w:val="single" w:sz="8" w:color="CCEEFF"/>
            </w:tcBorders>
          </w:tcPr>
          <w:p>
            <w:pPr>
              <w:ind w:left="340"/>
              <w:spacing w:after="0"/>
              <w:rPr>
                <w:sz w:val="20"/>
                <w:szCs w:val="20"/>
                <w:color w:val="auto"/>
              </w:rPr>
            </w:pPr>
            <w:r>
              <w:rPr>
                <w:rFonts w:ascii="Arial" w:cs="Arial" w:eastAsia="Arial" w:hAnsi="Arial"/>
                <w:sz w:val="14"/>
                <w:szCs w:val="14"/>
                <w:b w:val="1"/>
                <w:bCs w:val="1"/>
                <w:color w:val="auto"/>
              </w:rPr>
              <w:t>Subtotal</w:t>
            </w: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14,091</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13,429</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11,962</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12,442</w:t>
            </w:r>
          </w:p>
        </w:tc>
      </w:tr>
      <w:tr>
        <w:trPr>
          <w:trHeight w:val="205"/>
        </w:trPr>
        <w:tc>
          <w:tcPr>
            <w:tcW w:w="5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b w:val="1"/>
                <w:bCs w:val="1"/>
                <w:color w:val="auto"/>
              </w:rPr>
              <w:t>Total fixed maturity available-for-sale securities</w:t>
            </w: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33,836</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30,432</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30,705</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31,990</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Expected Credit Loss</w:t>
      </w:r>
    </w:p>
    <w:p>
      <w:pPr>
        <w:spacing w:after="0" w:line="135" w:lineRule="exact"/>
        <w:rPr>
          <w:sz w:val="20"/>
          <w:szCs w:val="20"/>
          <w:color w:val="auto"/>
        </w:rPr>
      </w:pPr>
    </w:p>
    <w:p>
      <w:pPr>
        <w:ind w:firstLine="316"/>
        <w:spacing w:after="0" w:line="261" w:lineRule="auto"/>
        <w:rPr>
          <w:sz w:val="20"/>
          <w:szCs w:val="20"/>
          <w:color w:val="auto"/>
        </w:rPr>
      </w:pPr>
      <w:r>
        <w:rPr>
          <w:rFonts w:ascii="Arial" w:cs="Arial" w:eastAsia="Arial" w:hAnsi="Arial"/>
          <w:sz w:val="18"/>
          <w:szCs w:val="18"/>
          <w:color w:val="auto"/>
        </w:rPr>
        <w:t>We regularly review AFS securities for declines in fair value that we determine to be credit related. For our fixed maturity securities, we generally consider the following in determining whether our unrealized losses are credit related, and if so, the magnitude of the credit loss:</w:t>
      </w:r>
    </w:p>
    <w:p>
      <w:pPr>
        <w:spacing w:after="0" w:line="89" w:lineRule="exact"/>
        <w:rPr>
          <w:sz w:val="20"/>
          <w:szCs w:val="20"/>
          <w:color w:val="auto"/>
        </w:rPr>
      </w:pPr>
    </w:p>
    <w:p>
      <w:pPr>
        <w:ind w:left="640" w:hanging="319"/>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extent to which the fair value is less than the amortized cost basis;</w:t>
      </w:r>
    </w:p>
    <w:p>
      <w:pPr>
        <w:spacing w:after="0" w:line="121" w:lineRule="exact"/>
        <w:rPr>
          <w:rFonts w:ascii="Arial" w:cs="Arial" w:eastAsia="Arial" w:hAnsi="Arial"/>
          <w:sz w:val="18"/>
          <w:szCs w:val="18"/>
          <w:color w:val="auto"/>
        </w:rPr>
      </w:pPr>
    </w:p>
    <w:p>
      <w:pPr>
        <w:ind w:left="640" w:hanging="319"/>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reasons for the decline in value (credit event, currency or interest-rate related, including general credit spread widening);</w:t>
      </w:r>
    </w:p>
    <w:p>
      <w:pPr>
        <w:spacing w:after="0" w:line="135" w:lineRule="exact"/>
        <w:rPr>
          <w:rFonts w:ascii="Arial" w:cs="Arial" w:eastAsia="Arial" w:hAnsi="Arial"/>
          <w:sz w:val="18"/>
          <w:szCs w:val="18"/>
          <w:color w:val="auto"/>
        </w:rPr>
      </w:pPr>
    </w:p>
    <w:p>
      <w:pPr>
        <w:ind w:left="640" w:hanging="319"/>
        <w:spacing w:after="0" w:line="261" w:lineRule="auto"/>
        <w:tabs>
          <w:tab w:leader="none" w:pos="636"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financial condition of and near-term prospects of the issuer (including issuer's current credit rating and the probability of full recovery of principal based upon the issuer's financial strength);</w:t>
      </w:r>
    </w:p>
    <w:p>
      <w:pPr>
        <w:spacing w:after="0" w:line="89" w:lineRule="exact"/>
        <w:rPr>
          <w:rFonts w:ascii="Arial" w:cs="Arial" w:eastAsia="Arial" w:hAnsi="Arial"/>
          <w:sz w:val="18"/>
          <w:szCs w:val="18"/>
          <w:color w:val="auto"/>
        </w:rPr>
      </w:pPr>
    </w:p>
    <w:p>
      <w:pPr>
        <w:ind w:left="640" w:hanging="319"/>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Current delinquencies and nonperforming assets of underlying collateral;</w:t>
      </w:r>
    </w:p>
    <w:p>
      <w:pPr>
        <w:spacing w:after="0" w:line="121" w:lineRule="exact"/>
        <w:rPr>
          <w:rFonts w:ascii="Arial" w:cs="Arial" w:eastAsia="Arial" w:hAnsi="Arial"/>
          <w:sz w:val="18"/>
          <w:szCs w:val="18"/>
          <w:color w:val="auto"/>
        </w:rPr>
      </w:pPr>
    </w:p>
    <w:p>
      <w:pPr>
        <w:ind w:left="640" w:hanging="319"/>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Expected future default rates;</w:t>
      </w:r>
    </w:p>
    <w:p>
      <w:pPr>
        <w:spacing w:after="0" w:line="135" w:lineRule="exact"/>
        <w:rPr>
          <w:rFonts w:ascii="Arial" w:cs="Arial" w:eastAsia="Arial" w:hAnsi="Arial"/>
          <w:sz w:val="18"/>
          <w:szCs w:val="18"/>
          <w:color w:val="auto"/>
        </w:rPr>
      </w:pPr>
    </w:p>
    <w:p>
      <w:pPr>
        <w:ind w:left="640" w:hanging="319"/>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Collateral value by vintage, geographic region, industry concentration or property type;</w:t>
      </w:r>
    </w:p>
    <w:p>
      <w:pPr>
        <w:spacing w:after="0" w:line="121" w:lineRule="exact"/>
        <w:rPr>
          <w:rFonts w:ascii="Arial" w:cs="Arial" w:eastAsia="Arial" w:hAnsi="Arial"/>
          <w:sz w:val="18"/>
          <w:szCs w:val="18"/>
          <w:color w:val="auto"/>
        </w:rPr>
      </w:pPr>
    </w:p>
    <w:p>
      <w:pPr>
        <w:ind w:left="640" w:hanging="319"/>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Subordination levels or other credit enhancements as of the balance sheet date as compared to origination; and</w:t>
      </w:r>
    </w:p>
    <w:p>
      <w:pPr>
        <w:spacing w:after="0" w:line="121" w:lineRule="exact"/>
        <w:rPr>
          <w:rFonts w:ascii="Arial" w:cs="Arial" w:eastAsia="Arial" w:hAnsi="Arial"/>
          <w:sz w:val="18"/>
          <w:szCs w:val="18"/>
          <w:color w:val="auto"/>
        </w:rPr>
      </w:pPr>
    </w:p>
    <w:p>
      <w:pPr>
        <w:ind w:left="640" w:hanging="319"/>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Contractual and regulatory cash obligations and the issuer's plans to meet such obligations.</w:t>
      </w:r>
    </w:p>
    <w:p>
      <w:pPr>
        <w:spacing w:after="0" w:line="135" w:lineRule="exact"/>
        <w:rPr>
          <w:sz w:val="20"/>
          <w:szCs w:val="20"/>
          <w:color w:val="auto"/>
        </w:rPr>
      </w:pPr>
    </w:p>
    <w:p>
      <w:pPr>
        <w:jc w:val="both"/>
        <w:ind w:firstLine="316"/>
        <w:spacing w:after="0" w:line="282" w:lineRule="auto"/>
        <w:rPr>
          <w:sz w:val="20"/>
          <w:szCs w:val="20"/>
          <w:color w:val="auto"/>
        </w:rPr>
      </w:pPr>
      <w:r>
        <w:rPr>
          <w:rFonts w:ascii="Arial" w:cs="Arial" w:eastAsia="Arial" w:hAnsi="Arial"/>
          <w:sz w:val="16"/>
          <w:szCs w:val="16"/>
          <w:color w:val="auto"/>
        </w:rPr>
        <w:t>We recognize an allowance for current expected credit losses on fixed maturity securities in an unrealized loss position when it is determined, using the factors discussed above, a component of the unrealized loss is related to credit. We measure the credit loss using a discounted cash flow model that utilizes the single best estimate cash flow and the recognized credit loss is limited to the total unrealized loss on the security (i.e. the fair value floor). Cash flows are discounted using the implicit yield of bonds at their time of purchase and the current book yield for asset and mortgage backed securities as well as variable rate securities. We recognize the expected credit losses in Recognized gains and losses, net in the Consolidated Statements of Earnings, with an offset for the amount of non-credit impairments recognized in AOCI. We do not measure a credit loss allowance on accrued investment income because we write-off accrued interest through Interest and investment income when collectability concerns arise.</w:t>
      </w:r>
    </w:p>
    <w:p>
      <w:pPr>
        <w:spacing w:after="0" w:line="7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consider the following in determining whether write-offs of a security’s amortized cost is necessary:</w:t>
      </w:r>
    </w:p>
    <w:p>
      <w:pPr>
        <w:spacing w:after="0" w:line="122" w:lineRule="exact"/>
        <w:rPr>
          <w:sz w:val="20"/>
          <w:szCs w:val="20"/>
          <w:color w:val="auto"/>
        </w:rPr>
      </w:pPr>
    </w:p>
    <w:p>
      <w:pPr>
        <w:ind w:left="680" w:hanging="280"/>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believe amounts related to securities have become uncollectible;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680" w:hanging="280"/>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intend to sell a security; or</w:t>
      </w:r>
    </w:p>
    <w:p>
      <w:pPr>
        <w:spacing w:after="0" w:line="135" w:lineRule="exact"/>
        <w:rPr>
          <w:rFonts w:ascii="Arial" w:cs="Arial" w:eastAsia="Arial" w:hAnsi="Arial"/>
          <w:sz w:val="18"/>
          <w:szCs w:val="18"/>
          <w:color w:val="auto"/>
        </w:rPr>
      </w:pPr>
    </w:p>
    <w:p>
      <w:pPr>
        <w:ind w:left="680" w:hanging="280"/>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It is more likely than not that we will be required to sell a security prior to recovery.</w:t>
      </w:r>
    </w:p>
    <w:p>
      <w:pPr>
        <w:spacing w:after="0" w:line="122"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color w:val="auto"/>
        </w:rPr>
        <w:t>If we intend to sell a fixed maturity security or it is more likely than not that we will be required to sell the security before recovery of its amortized cost basis and the fair value of the security is below amortized cost, we will write down the security to current fair value, with a corresponding charge, net of any amount previously recognized as an allowance for expected credit loss, to Recognized gains and losses, net in the accompanying Consolidated Statements of Earnings. If we do not intend to sell a fixed maturity security or it is more likely than not that we will not be required to sell a fixed maturity security before recovery of its amortized cost basis but believe amounts related to a security are uncollectible (generally based on proximity to expected credit loss), an impairment is deemed to have occurred and the amortized cost is written down to the estimated recovery value with a corresponding charge, net of any amount previously recognized as an allowance for expected credit loss, to Recognized gains and losses, net in the accompanying Consolidated Statements of Earnings. The remainder of unrealized loss is held in AOCI. As of June 30, 2022 and December 31, 2021, our allowance for expected credit losses for AFS securities was $11 million and $8 million, respectively.</w:t>
      </w:r>
    </w:p>
    <w:p>
      <w:pPr>
        <w:spacing w:after="0" w:line="200" w:lineRule="exact"/>
        <w:rPr>
          <w:sz w:val="20"/>
          <w:szCs w:val="20"/>
          <w:color w:val="auto"/>
        </w:rPr>
      </w:pPr>
    </w:p>
    <w:p>
      <w:pPr>
        <w:jc w:val="both"/>
        <w:ind w:firstLine="632"/>
        <w:spacing w:after="0" w:line="252" w:lineRule="auto"/>
        <w:rPr>
          <w:sz w:val="20"/>
          <w:szCs w:val="20"/>
          <w:color w:val="auto"/>
        </w:rPr>
      </w:pPr>
      <w:r>
        <w:rPr>
          <w:rFonts w:ascii="Arial" w:cs="Arial" w:eastAsia="Arial" w:hAnsi="Arial"/>
          <w:sz w:val="18"/>
          <w:szCs w:val="18"/>
          <w:color w:val="auto"/>
        </w:rPr>
        <w:t>PCDs are AFS securities purchased at a discount, where part of that discount is attributable to credit. Credit loss allowances are calculated for these securities as of the date of their acquisition, with the initial allowance serving to increase amortized cost. There were no purchases of PCD AFS securities during the three and six months ended June 30, 2022 or 2021.</w:t>
      </w:r>
    </w:p>
    <w:p>
      <w:pPr>
        <w:spacing w:after="0" w:line="295"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The fair value and gross unrealized losses of AFS securities, excluding securities in an unrealized loss position with an allowance for expected credit loss, aggregated by investment category and duration of fair value below amortized cost as of June 30, 2022 and December 31, 2021 were as follows (dollars in millions):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0"/>
              </w:rPr>
              <w:t>June 30, 2022</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20" w:type="dxa"/>
            <w:vAlign w:val="bottom"/>
            <w:gridSpan w:val="5"/>
          </w:tcPr>
          <w:p>
            <w:pPr>
              <w:ind w:left="500"/>
              <w:spacing w:after="0"/>
              <w:rPr>
                <w:sz w:val="20"/>
                <w:szCs w:val="20"/>
                <w:color w:val="auto"/>
              </w:rPr>
            </w:pPr>
            <w:r>
              <w:rPr>
                <w:rFonts w:ascii="Arial" w:cs="Arial" w:eastAsia="Arial" w:hAnsi="Arial"/>
                <w:sz w:val="14"/>
                <w:szCs w:val="14"/>
                <w:b w:val="1"/>
                <w:bCs w:val="1"/>
                <w:color w:val="auto"/>
              </w:rPr>
              <w:t>Less than 12 months</w:t>
            </w:r>
          </w:p>
        </w:tc>
        <w:tc>
          <w:tcPr>
            <w:tcW w:w="200" w:type="dxa"/>
            <w:vAlign w:val="bottom"/>
          </w:tcPr>
          <w:p>
            <w:pPr>
              <w:spacing w:after="0"/>
              <w:rPr>
                <w:sz w:val="15"/>
                <w:szCs w:val="15"/>
                <w:color w:val="auto"/>
              </w:rPr>
            </w:pPr>
          </w:p>
        </w:tc>
        <w:tc>
          <w:tcPr>
            <w:tcW w:w="25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0"/>
              </w:rPr>
              <w:t>12 months or longer</w:t>
            </w:r>
          </w:p>
        </w:tc>
        <w:tc>
          <w:tcPr>
            <w:tcW w:w="180" w:type="dxa"/>
            <w:vAlign w:val="bottom"/>
          </w:tcPr>
          <w:p>
            <w:pPr>
              <w:spacing w:after="0"/>
              <w:rPr>
                <w:sz w:val="15"/>
                <w:szCs w:val="15"/>
                <w:color w:val="auto"/>
              </w:rPr>
            </w:pPr>
          </w:p>
        </w:tc>
        <w:tc>
          <w:tcPr>
            <w:tcW w:w="2440" w:type="dxa"/>
            <w:vAlign w:val="bottom"/>
            <w:gridSpan w:val="4"/>
          </w:tcPr>
          <w:p>
            <w:pPr>
              <w:jc w:val="right"/>
              <w:ind w:right="109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25"/>
        </w:trPr>
        <w:tc>
          <w:tcPr>
            <w:tcW w:w="316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50"/>
              <w:spacing w:after="0" w:line="125" w:lineRule="exact"/>
              <w:rPr>
                <w:sz w:val="20"/>
                <w:szCs w:val="20"/>
                <w:color w:val="auto"/>
              </w:rPr>
            </w:pPr>
            <w:r>
              <w:rPr>
                <w:rFonts w:ascii="Arial" w:cs="Arial" w:eastAsia="Arial" w:hAnsi="Arial"/>
                <w:sz w:val="14"/>
                <w:szCs w:val="14"/>
                <w:b w:val="1"/>
                <w:bCs w:val="1"/>
                <w:color w:val="auto"/>
                <w:w w:val="88"/>
              </w:rPr>
              <w:t>Gross Unrealized</w:t>
            </w:r>
          </w:p>
        </w:tc>
        <w:tc>
          <w:tcPr>
            <w:tcW w:w="1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center"/>
              <w:ind w:right="70"/>
              <w:spacing w:after="0" w:line="125" w:lineRule="exact"/>
              <w:rPr>
                <w:sz w:val="20"/>
                <w:szCs w:val="20"/>
                <w:color w:val="auto"/>
              </w:rPr>
            </w:pPr>
            <w:r>
              <w:rPr>
                <w:rFonts w:ascii="Arial" w:cs="Arial" w:eastAsia="Arial" w:hAnsi="Arial"/>
                <w:sz w:val="14"/>
                <w:szCs w:val="14"/>
                <w:b w:val="1"/>
                <w:bCs w:val="1"/>
                <w:color w:val="auto"/>
                <w:w w:val="88"/>
              </w:rPr>
              <w:t>Gross Unrealized</w:t>
            </w: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50"/>
              <w:spacing w:after="0" w:line="125" w:lineRule="exact"/>
              <w:rPr>
                <w:sz w:val="20"/>
                <w:szCs w:val="20"/>
                <w:color w:val="auto"/>
              </w:rPr>
            </w:pPr>
            <w:r>
              <w:rPr>
                <w:rFonts w:ascii="Arial" w:cs="Arial" w:eastAsia="Arial" w:hAnsi="Arial"/>
                <w:sz w:val="14"/>
                <w:szCs w:val="14"/>
                <w:b w:val="1"/>
                <w:bCs w:val="1"/>
                <w:color w:val="auto"/>
                <w:w w:val="88"/>
              </w:rPr>
              <w:t>Gross Unrealized</w:t>
            </w:r>
          </w:p>
        </w:tc>
        <w:tc>
          <w:tcPr>
            <w:tcW w:w="0" w:type="dxa"/>
            <w:vAlign w:val="bottom"/>
          </w:tcPr>
          <w:p>
            <w:pPr>
              <w:spacing w:after="0"/>
              <w:rPr>
                <w:sz w:val="1"/>
                <w:szCs w:val="1"/>
                <w:color w:val="auto"/>
              </w:rPr>
            </w:pPr>
          </w:p>
        </w:tc>
      </w:tr>
      <w:tr>
        <w:trPr>
          <w:trHeight w:val="184"/>
        </w:trPr>
        <w:tc>
          <w:tcPr>
            <w:tcW w:w="3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ind w:left="340"/>
              <w:spacing w:after="0"/>
              <w:rPr>
                <w:sz w:val="20"/>
                <w:szCs w:val="20"/>
                <w:color w:val="auto"/>
              </w:rPr>
            </w:pPr>
            <w:r>
              <w:rPr>
                <w:rFonts w:ascii="Arial" w:cs="Arial" w:eastAsia="Arial" w:hAnsi="Arial"/>
                <w:sz w:val="14"/>
                <w:szCs w:val="14"/>
                <w:b w:val="1"/>
                <w:bCs w:val="1"/>
                <w:color w:val="auto"/>
              </w:rPr>
              <w:t>Losses</w:t>
            </w:r>
          </w:p>
        </w:tc>
        <w:tc>
          <w:tcPr>
            <w:tcW w:w="20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78"/>
              </w:rPr>
              <w:t>Losses</w:t>
            </w:r>
          </w:p>
        </w:tc>
        <w:tc>
          <w:tcPr>
            <w:tcW w:w="18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ind w:right="370"/>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165"/>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Available-for-sale securities</w:t>
            </w:r>
          </w:p>
        </w:tc>
        <w:tc>
          <w:tcPr>
            <w:tcW w:w="2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160" w:type="dxa"/>
            <w:vAlign w:val="bottom"/>
          </w:tcPr>
          <w:p>
            <w:pPr>
              <w:ind w:left="20"/>
              <w:spacing w:after="0"/>
              <w:rPr>
                <w:sz w:val="20"/>
                <w:szCs w:val="20"/>
                <w:color w:val="auto"/>
              </w:rPr>
            </w:pPr>
            <w:r>
              <w:rPr>
                <w:rFonts w:ascii="Arial" w:cs="Arial" w:eastAsia="Arial" w:hAnsi="Arial"/>
                <w:sz w:val="14"/>
                <w:szCs w:val="14"/>
                <w:color w:val="auto"/>
              </w:rPr>
              <w:t>Asset-backed securities</w:t>
            </w: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7,944</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(490)</w:t>
            </w:r>
          </w:p>
        </w:tc>
        <w:tc>
          <w:tcPr>
            <w:tcW w:w="120" w:type="dxa"/>
            <w:vAlign w:val="bottom"/>
          </w:tcPr>
          <w:p>
            <w:pPr>
              <w:spacing w:after="0"/>
              <w:rPr>
                <w:sz w:val="15"/>
                <w:szCs w:val="15"/>
                <w:color w:val="auto"/>
              </w:rPr>
            </w:pP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645</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(71)</w:t>
            </w:r>
          </w:p>
        </w:tc>
        <w:tc>
          <w:tcPr>
            <w:tcW w:w="120" w:type="dxa"/>
            <w:vAlign w:val="bottom"/>
          </w:tcPr>
          <w:p>
            <w:pPr>
              <w:spacing w:after="0"/>
              <w:rPr>
                <w:sz w:val="15"/>
                <w:szCs w:val="15"/>
                <w:color w:val="auto"/>
              </w:rPr>
            </w:pPr>
          </w:p>
        </w:tc>
        <w:tc>
          <w:tcPr>
            <w:tcW w:w="180" w:type="dxa"/>
            <w:vAlign w:val="bottom"/>
          </w:tcPr>
          <w:p>
            <w:pPr>
              <w:jc w:val="right"/>
              <w:ind w:right="30"/>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8,589</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(561)</w:t>
            </w:r>
          </w:p>
        </w:tc>
        <w:tc>
          <w:tcPr>
            <w:tcW w:w="0" w:type="dxa"/>
            <w:vAlign w:val="bottom"/>
          </w:tcPr>
          <w:p>
            <w:pPr>
              <w:spacing w:after="0"/>
              <w:rPr>
                <w:sz w:val="1"/>
                <w:szCs w:val="1"/>
                <w:color w:val="auto"/>
              </w:rPr>
            </w:pPr>
          </w:p>
        </w:tc>
      </w:tr>
      <w:tr>
        <w:trPr>
          <w:trHeight w:val="187"/>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Commercial mortgage-backed securities</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1,788</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182"/>
        </w:trPr>
        <w:tc>
          <w:tcPr>
            <w:tcW w:w="3160" w:type="dxa"/>
            <w:vAlign w:val="bottom"/>
          </w:tcPr>
          <w:p>
            <w:pPr>
              <w:ind w:left="20"/>
              <w:spacing w:after="0"/>
              <w:rPr>
                <w:sz w:val="20"/>
                <w:szCs w:val="20"/>
                <w:color w:val="auto"/>
              </w:rPr>
            </w:pPr>
            <w:r>
              <w:rPr>
                <w:rFonts w:ascii="Arial" w:cs="Arial" w:eastAsia="Arial" w:hAnsi="Arial"/>
                <w:sz w:val="14"/>
                <w:szCs w:val="14"/>
                <w:color w:val="auto"/>
              </w:rPr>
              <w:t>Corporates</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11,593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(1,960)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1,414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(521)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13,007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(2,481)</w:t>
            </w:r>
          </w:p>
        </w:tc>
        <w:tc>
          <w:tcPr>
            <w:tcW w:w="0" w:type="dxa"/>
            <w:vAlign w:val="bottom"/>
          </w:tcPr>
          <w:p>
            <w:pPr>
              <w:spacing w:after="0"/>
              <w:rPr>
                <w:sz w:val="1"/>
                <w:szCs w:val="1"/>
                <w:color w:val="auto"/>
              </w:rPr>
            </w:pPr>
          </w:p>
        </w:tc>
      </w:tr>
      <w:tr>
        <w:trPr>
          <w:trHeight w:val="187"/>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Hybrids</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677</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82"/>
        </w:trPr>
        <w:tc>
          <w:tcPr>
            <w:tcW w:w="3160" w:type="dxa"/>
            <w:vAlign w:val="bottom"/>
          </w:tcPr>
          <w:p>
            <w:pPr>
              <w:ind w:left="20"/>
              <w:spacing w:after="0"/>
              <w:rPr>
                <w:sz w:val="20"/>
                <w:szCs w:val="20"/>
                <w:color w:val="auto"/>
              </w:rPr>
            </w:pPr>
            <w:r>
              <w:rPr>
                <w:rFonts w:ascii="Arial" w:cs="Arial" w:eastAsia="Arial" w:hAnsi="Arial"/>
                <w:sz w:val="14"/>
                <w:szCs w:val="14"/>
                <w:color w:val="auto"/>
              </w:rPr>
              <w:t>Municipals</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1,120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(158)</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1,239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187"/>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Residential mortgage-backed securities</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798</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82"/>
        </w:trPr>
        <w:tc>
          <w:tcPr>
            <w:tcW w:w="3160" w:type="dxa"/>
            <w:vAlign w:val="bottom"/>
          </w:tcPr>
          <w:p>
            <w:pPr>
              <w:ind w:left="20"/>
              <w:spacing w:after="0"/>
              <w:rPr>
                <w:sz w:val="20"/>
                <w:szCs w:val="20"/>
                <w:color w:val="auto"/>
              </w:rPr>
            </w:pPr>
            <w:r>
              <w:rPr>
                <w:rFonts w:ascii="Arial" w:cs="Arial" w:eastAsia="Arial" w:hAnsi="Arial"/>
                <w:sz w:val="14"/>
                <w:szCs w:val="14"/>
                <w:color w:val="auto"/>
              </w:rPr>
              <w:t>U.S. Government</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334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368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84"/>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Government</w:t>
            </w:r>
          </w:p>
        </w:tc>
        <w:tc>
          <w:tcPr>
            <w:tcW w:w="2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1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80"/>
        </w:trPr>
        <w:tc>
          <w:tcPr>
            <w:tcW w:w="3160" w:type="dxa"/>
            <w:vAlign w:val="bottom"/>
          </w:tcPr>
          <w:p>
            <w:pPr>
              <w:ind w:left="220"/>
              <w:spacing w:after="0"/>
              <w:rPr>
                <w:sz w:val="20"/>
                <w:szCs w:val="20"/>
                <w:color w:val="auto"/>
              </w:rPr>
            </w:pPr>
            <w:r>
              <w:rPr>
                <w:rFonts w:ascii="Arial" w:cs="Arial" w:eastAsia="Arial" w:hAnsi="Arial"/>
                <w:sz w:val="14"/>
                <w:szCs w:val="14"/>
                <w:b w:val="1"/>
                <w:bCs w:val="1"/>
                <w:color w:val="auto"/>
              </w:rPr>
              <w:t>Total available-for-sale securities</w:t>
            </w:r>
          </w:p>
        </w:tc>
        <w:tc>
          <w:tcPr>
            <w:tcW w:w="2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24,385</w:t>
            </w:r>
          </w:p>
        </w:tc>
        <w:tc>
          <w:tcPr>
            <w:tcW w:w="12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(2,935)</w:t>
            </w:r>
          </w:p>
        </w:tc>
        <w:tc>
          <w:tcPr>
            <w:tcW w:w="120" w:type="dxa"/>
            <w:vAlign w:val="bottom"/>
          </w:tcPr>
          <w:p>
            <w:pPr>
              <w:spacing w:after="0"/>
              <w:rPr>
                <w:sz w:val="15"/>
                <w:szCs w:val="15"/>
                <w:color w:val="auto"/>
              </w:rPr>
            </w:pPr>
          </w:p>
        </w:tc>
        <w:tc>
          <w:tcPr>
            <w:tcW w:w="2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2,309</w:t>
            </w:r>
          </w:p>
        </w:tc>
        <w:tc>
          <w:tcPr>
            <w:tcW w:w="12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(637)</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26,694</w:t>
            </w:r>
          </w:p>
        </w:tc>
        <w:tc>
          <w:tcPr>
            <w:tcW w:w="12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(3,572)</w:t>
            </w:r>
          </w:p>
        </w:tc>
        <w:tc>
          <w:tcPr>
            <w:tcW w:w="0" w:type="dxa"/>
            <w:vAlign w:val="bottom"/>
          </w:tcPr>
          <w:p>
            <w:pPr>
              <w:spacing w:after="0"/>
              <w:rPr>
                <w:sz w:val="1"/>
                <w:szCs w:val="1"/>
                <w:color w:val="auto"/>
              </w:rPr>
            </w:pP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3160" w:type="dxa"/>
            <w:vAlign w:val="bottom"/>
            <w:shd w:val="clear" w:color="auto" w:fill="CCEEFF"/>
          </w:tcPr>
          <w:p>
            <w:pPr>
              <w:ind w:left="20"/>
              <w:spacing w:after="0" w:line="98" w:lineRule="exact"/>
              <w:rPr>
                <w:sz w:val="20"/>
                <w:szCs w:val="20"/>
                <w:color w:val="auto"/>
              </w:rPr>
            </w:pPr>
            <w:r>
              <w:rPr>
                <w:rFonts w:ascii="Arial" w:cs="Arial" w:eastAsia="Arial" w:hAnsi="Arial"/>
                <w:sz w:val="11"/>
                <w:szCs w:val="11"/>
                <w:color w:val="auto"/>
              </w:rPr>
              <w:t>Total number of available-for-sale securities in an</w:t>
            </w:r>
          </w:p>
        </w:tc>
        <w:tc>
          <w:tcPr>
            <w:tcW w:w="20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3,441</w:t>
            </w:r>
          </w:p>
        </w:tc>
        <w:tc>
          <w:tcPr>
            <w:tcW w:w="0" w:type="dxa"/>
            <w:vAlign w:val="bottom"/>
          </w:tcPr>
          <w:p>
            <w:pPr>
              <w:spacing w:after="0"/>
              <w:rPr>
                <w:sz w:val="1"/>
                <w:szCs w:val="1"/>
                <w:color w:val="auto"/>
              </w:rPr>
            </w:pPr>
          </w:p>
        </w:tc>
      </w:tr>
      <w:tr>
        <w:trPr>
          <w:trHeight w:val="178"/>
        </w:trPr>
        <w:tc>
          <w:tcPr>
            <w:tcW w:w="3160" w:type="dxa"/>
            <w:vAlign w:val="bottom"/>
            <w:tcBorders>
              <w:bottom w:val="single" w:sz="8" w:color="CCEEFF"/>
            </w:tcBorders>
            <w:shd w:val="clear" w:color="auto" w:fill="CCEEFF"/>
          </w:tcPr>
          <w:p>
            <w:pPr>
              <w:ind w:left="20"/>
              <w:spacing w:after="0" w:line="158" w:lineRule="exact"/>
              <w:rPr>
                <w:sz w:val="20"/>
                <w:szCs w:val="20"/>
                <w:color w:val="auto"/>
              </w:rPr>
            </w:pPr>
            <w:r>
              <w:rPr>
                <w:rFonts w:ascii="Arial" w:cs="Arial" w:eastAsia="Arial" w:hAnsi="Arial"/>
                <w:sz w:val="14"/>
                <w:szCs w:val="14"/>
                <w:color w:val="auto"/>
              </w:rPr>
              <w:t>unrealized loss position less than twelve months</w:t>
            </w:r>
          </w:p>
        </w:tc>
        <w:tc>
          <w:tcPr>
            <w:tcW w:w="2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bottom w:val="single" w:sz="8" w:color="CCEEFF"/>
            </w:tcBorders>
            <w:vMerge w:val="restart"/>
          </w:tcPr>
          <w:p>
            <w:pPr>
              <w:ind w:left="20"/>
              <w:spacing w:after="0" w:line="118" w:lineRule="exact"/>
              <w:rPr>
                <w:sz w:val="20"/>
                <w:szCs w:val="20"/>
                <w:color w:val="auto"/>
              </w:rPr>
            </w:pPr>
            <w:r>
              <w:rPr>
                <w:rFonts w:ascii="Arial" w:cs="Arial" w:eastAsia="Arial" w:hAnsi="Arial"/>
                <w:sz w:val="13"/>
                <w:szCs w:val="13"/>
                <w:color w:val="auto"/>
              </w:rPr>
              <w:t>Total number of available-for-sale securities in an</w:t>
            </w: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31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291</w:t>
            </w:r>
          </w:p>
        </w:tc>
        <w:tc>
          <w:tcPr>
            <w:tcW w:w="0" w:type="dxa"/>
            <w:vAlign w:val="bottom"/>
          </w:tcPr>
          <w:p>
            <w:pPr>
              <w:spacing w:after="0"/>
              <w:rPr>
                <w:sz w:val="1"/>
                <w:szCs w:val="1"/>
                <w:color w:val="auto"/>
              </w:rPr>
            </w:pPr>
          </w:p>
        </w:tc>
      </w:tr>
      <w:tr>
        <w:trPr>
          <w:trHeight w:val="158"/>
        </w:trPr>
        <w:tc>
          <w:tcPr>
            <w:tcW w:w="3160" w:type="dxa"/>
            <w:vAlign w:val="bottom"/>
          </w:tcPr>
          <w:p>
            <w:pPr>
              <w:ind w:left="20"/>
              <w:spacing w:after="0" w:line="158" w:lineRule="exact"/>
              <w:rPr>
                <w:sz w:val="20"/>
                <w:szCs w:val="20"/>
                <w:color w:val="auto"/>
              </w:rPr>
            </w:pPr>
            <w:r>
              <w:rPr>
                <w:rFonts w:ascii="Arial" w:cs="Arial" w:eastAsia="Arial" w:hAnsi="Arial"/>
                <w:sz w:val="14"/>
                <w:szCs w:val="14"/>
                <w:color w:val="auto"/>
              </w:rPr>
              <w:t>unrealized loss position twelve months or longer</w:t>
            </w: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3160" w:type="dxa"/>
            <w:vAlign w:val="bottom"/>
            <w:shd w:val="clear" w:color="auto" w:fill="CCEEFF"/>
          </w:tcPr>
          <w:p>
            <w:pPr>
              <w:ind w:left="20"/>
              <w:spacing w:after="0" w:line="98" w:lineRule="exact"/>
              <w:rPr>
                <w:sz w:val="20"/>
                <w:szCs w:val="20"/>
                <w:color w:val="auto"/>
              </w:rPr>
            </w:pPr>
            <w:r>
              <w:rPr>
                <w:rFonts w:ascii="Arial" w:cs="Arial" w:eastAsia="Arial" w:hAnsi="Arial"/>
                <w:sz w:val="11"/>
                <w:szCs w:val="11"/>
                <w:color w:val="auto"/>
              </w:rPr>
              <w:t>Total number of available-for-sale securities in an</w:t>
            </w:r>
          </w:p>
        </w:tc>
        <w:tc>
          <w:tcPr>
            <w:tcW w:w="20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3,732</w:t>
            </w:r>
          </w:p>
        </w:tc>
        <w:tc>
          <w:tcPr>
            <w:tcW w:w="0" w:type="dxa"/>
            <w:vAlign w:val="bottom"/>
          </w:tcPr>
          <w:p>
            <w:pPr>
              <w:spacing w:after="0"/>
              <w:rPr>
                <w:sz w:val="1"/>
                <w:szCs w:val="1"/>
                <w:color w:val="auto"/>
              </w:rPr>
            </w:pPr>
          </w:p>
        </w:tc>
      </w:tr>
      <w:tr>
        <w:trPr>
          <w:trHeight w:val="178"/>
        </w:trPr>
        <w:tc>
          <w:tcPr>
            <w:tcW w:w="3160" w:type="dxa"/>
            <w:vAlign w:val="bottom"/>
            <w:tcBorders>
              <w:bottom w:val="single" w:sz="8" w:color="CCEEFF"/>
            </w:tcBorders>
            <w:shd w:val="clear" w:color="auto" w:fill="CCEEFF"/>
          </w:tcPr>
          <w:p>
            <w:pPr>
              <w:ind w:left="20"/>
              <w:spacing w:after="0" w:line="158" w:lineRule="exact"/>
              <w:rPr>
                <w:sz w:val="20"/>
                <w:szCs w:val="20"/>
                <w:color w:val="auto"/>
              </w:rPr>
            </w:pPr>
            <w:r>
              <w:rPr>
                <w:rFonts w:ascii="Arial" w:cs="Arial" w:eastAsia="Arial" w:hAnsi="Arial"/>
                <w:sz w:val="14"/>
                <w:szCs w:val="14"/>
                <w:color w:val="auto"/>
              </w:rPr>
              <w:t>unrealized loss position</w:t>
            </w:r>
          </w:p>
        </w:tc>
        <w:tc>
          <w:tcPr>
            <w:tcW w:w="2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88"/>
              </w:rPr>
              <w:t>December 31, 2021</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20" w:type="dxa"/>
            <w:vAlign w:val="bottom"/>
            <w:gridSpan w:val="5"/>
          </w:tcPr>
          <w:p>
            <w:pPr>
              <w:ind w:left="500"/>
              <w:spacing w:after="0"/>
              <w:rPr>
                <w:sz w:val="20"/>
                <w:szCs w:val="20"/>
                <w:color w:val="auto"/>
              </w:rPr>
            </w:pPr>
            <w:r>
              <w:rPr>
                <w:rFonts w:ascii="Arial" w:cs="Arial" w:eastAsia="Arial" w:hAnsi="Arial"/>
                <w:sz w:val="14"/>
                <w:szCs w:val="14"/>
                <w:b w:val="1"/>
                <w:bCs w:val="1"/>
                <w:color w:val="auto"/>
              </w:rPr>
              <w:t>Less than 12 months</w:t>
            </w:r>
          </w:p>
        </w:tc>
        <w:tc>
          <w:tcPr>
            <w:tcW w:w="200" w:type="dxa"/>
            <w:vAlign w:val="bottom"/>
          </w:tcPr>
          <w:p>
            <w:pPr>
              <w:spacing w:after="0"/>
              <w:rPr>
                <w:sz w:val="15"/>
                <w:szCs w:val="15"/>
                <w:color w:val="auto"/>
              </w:rPr>
            </w:pPr>
          </w:p>
        </w:tc>
        <w:tc>
          <w:tcPr>
            <w:tcW w:w="25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0"/>
              </w:rPr>
              <w:t>12 months or longer</w:t>
            </w:r>
          </w:p>
        </w:tc>
        <w:tc>
          <w:tcPr>
            <w:tcW w:w="180" w:type="dxa"/>
            <w:vAlign w:val="bottom"/>
          </w:tcPr>
          <w:p>
            <w:pPr>
              <w:spacing w:after="0"/>
              <w:rPr>
                <w:sz w:val="15"/>
                <w:szCs w:val="15"/>
                <w:color w:val="auto"/>
              </w:rPr>
            </w:pPr>
          </w:p>
        </w:tc>
        <w:tc>
          <w:tcPr>
            <w:tcW w:w="2440" w:type="dxa"/>
            <w:vAlign w:val="bottom"/>
            <w:gridSpan w:val="4"/>
          </w:tcPr>
          <w:p>
            <w:pPr>
              <w:jc w:val="right"/>
              <w:ind w:right="109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25"/>
        </w:trPr>
        <w:tc>
          <w:tcPr>
            <w:tcW w:w="316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50"/>
              <w:spacing w:after="0" w:line="125" w:lineRule="exact"/>
              <w:rPr>
                <w:sz w:val="20"/>
                <w:szCs w:val="20"/>
                <w:color w:val="auto"/>
              </w:rPr>
            </w:pPr>
            <w:r>
              <w:rPr>
                <w:rFonts w:ascii="Arial" w:cs="Arial" w:eastAsia="Arial" w:hAnsi="Arial"/>
                <w:sz w:val="14"/>
                <w:szCs w:val="14"/>
                <w:b w:val="1"/>
                <w:bCs w:val="1"/>
                <w:color w:val="auto"/>
                <w:w w:val="88"/>
              </w:rPr>
              <w:t>Gross Unrealized</w:t>
            </w:r>
          </w:p>
        </w:tc>
        <w:tc>
          <w:tcPr>
            <w:tcW w:w="1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spacing w:after="0" w:line="125" w:lineRule="exact"/>
              <w:rPr>
                <w:sz w:val="20"/>
                <w:szCs w:val="20"/>
                <w:color w:val="auto"/>
              </w:rPr>
            </w:pPr>
            <w:r>
              <w:rPr>
                <w:rFonts w:ascii="Arial" w:cs="Arial" w:eastAsia="Arial" w:hAnsi="Arial"/>
                <w:sz w:val="14"/>
                <w:szCs w:val="14"/>
                <w:b w:val="1"/>
                <w:bCs w:val="1"/>
                <w:color w:val="auto"/>
                <w:w w:val="98"/>
              </w:rPr>
              <w:t>Gross Unrealized</w:t>
            </w: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50"/>
              <w:spacing w:after="0" w:line="125" w:lineRule="exact"/>
              <w:rPr>
                <w:sz w:val="20"/>
                <w:szCs w:val="20"/>
                <w:color w:val="auto"/>
              </w:rPr>
            </w:pPr>
            <w:r>
              <w:rPr>
                <w:rFonts w:ascii="Arial" w:cs="Arial" w:eastAsia="Arial" w:hAnsi="Arial"/>
                <w:sz w:val="14"/>
                <w:szCs w:val="14"/>
                <w:b w:val="1"/>
                <w:bCs w:val="1"/>
                <w:color w:val="auto"/>
                <w:w w:val="88"/>
              </w:rPr>
              <w:t>Gross Unrealized</w:t>
            </w:r>
          </w:p>
        </w:tc>
        <w:tc>
          <w:tcPr>
            <w:tcW w:w="0" w:type="dxa"/>
            <w:vAlign w:val="bottom"/>
          </w:tcPr>
          <w:p>
            <w:pPr>
              <w:spacing w:after="0"/>
              <w:rPr>
                <w:sz w:val="1"/>
                <w:szCs w:val="1"/>
                <w:color w:val="auto"/>
              </w:rPr>
            </w:pPr>
          </w:p>
        </w:tc>
      </w:tr>
      <w:tr>
        <w:trPr>
          <w:trHeight w:val="184"/>
        </w:trPr>
        <w:tc>
          <w:tcPr>
            <w:tcW w:w="3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ind w:left="340"/>
              <w:spacing w:after="0"/>
              <w:rPr>
                <w:sz w:val="20"/>
                <w:szCs w:val="20"/>
                <w:color w:val="auto"/>
              </w:rPr>
            </w:pPr>
            <w:r>
              <w:rPr>
                <w:rFonts w:ascii="Arial" w:cs="Arial" w:eastAsia="Arial" w:hAnsi="Arial"/>
                <w:sz w:val="14"/>
                <w:szCs w:val="14"/>
                <w:b w:val="1"/>
                <w:bCs w:val="1"/>
                <w:color w:val="auto"/>
              </w:rPr>
              <w:t>Losses</w:t>
            </w:r>
          </w:p>
        </w:tc>
        <w:tc>
          <w:tcPr>
            <w:tcW w:w="20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ind w:left="340"/>
              <w:spacing w:after="0"/>
              <w:rPr>
                <w:sz w:val="20"/>
                <w:szCs w:val="20"/>
                <w:color w:val="auto"/>
              </w:rPr>
            </w:pPr>
            <w:r>
              <w:rPr>
                <w:rFonts w:ascii="Arial" w:cs="Arial" w:eastAsia="Arial" w:hAnsi="Arial"/>
                <w:sz w:val="14"/>
                <w:szCs w:val="14"/>
                <w:b w:val="1"/>
                <w:bCs w:val="1"/>
                <w:color w:val="auto"/>
              </w:rPr>
              <w:t>Losses</w:t>
            </w:r>
          </w:p>
        </w:tc>
        <w:tc>
          <w:tcPr>
            <w:tcW w:w="18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ind w:right="370"/>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165"/>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Available-for-sale securities</w:t>
            </w:r>
          </w:p>
        </w:tc>
        <w:tc>
          <w:tcPr>
            <w:tcW w:w="2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160" w:type="dxa"/>
            <w:vAlign w:val="bottom"/>
          </w:tcPr>
          <w:p>
            <w:pPr>
              <w:ind w:left="20"/>
              <w:spacing w:after="0"/>
              <w:rPr>
                <w:sz w:val="20"/>
                <w:szCs w:val="20"/>
                <w:color w:val="auto"/>
              </w:rPr>
            </w:pPr>
            <w:r>
              <w:rPr>
                <w:rFonts w:ascii="Arial" w:cs="Arial" w:eastAsia="Arial" w:hAnsi="Arial"/>
                <w:sz w:val="14"/>
                <w:szCs w:val="14"/>
                <w:color w:val="auto"/>
              </w:rPr>
              <w:t>Asset-backed securities</w:t>
            </w: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4,410</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15"/>
                <w:szCs w:val="15"/>
                <w:color w:val="auto"/>
              </w:rPr>
            </w:pP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146</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5"/>
                <w:szCs w:val="15"/>
                <w:color w:val="auto"/>
              </w:rPr>
            </w:pPr>
          </w:p>
        </w:tc>
        <w:tc>
          <w:tcPr>
            <w:tcW w:w="180" w:type="dxa"/>
            <w:vAlign w:val="bottom"/>
          </w:tcPr>
          <w:p>
            <w:pPr>
              <w:jc w:val="right"/>
              <w:ind w:right="30"/>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4,556</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87"/>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Commercial mortgage-backed securities</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603</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2"/>
        </w:trPr>
        <w:tc>
          <w:tcPr>
            <w:tcW w:w="3160" w:type="dxa"/>
            <w:vAlign w:val="bottom"/>
          </w:tcPr>
          <w:p>
            <w:pPr>
              <w:ind w:left="20"/>
              <w:spacing w:after="0"/>
              <w:rPr>
                <w:sz w:val="20"/>
                <w:szCs w:val="20"/>
                <w:color w:val="auto"/>
              </w:rPr>
            </w:pPr>
            <w:r>
              <w:rPr>
                <w:rFonts w:ascii="Arial" w:cs="Arial" w:eastAsia="Arial" w:hAnsi="Arial"/>
                <w:sz w:val="14"/>
                <w:szCs w:val="14"/>
                <w:color w:val="auto"/>
              </w:rPr>
              <w:t>Corporates</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5,391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394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5,785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187"/>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Hybrids</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3160" w:type="dxa"/>
            <w:vAlign w:val="bottom"/>
          </w:tcPr>
          <w:p>
            <w:pPr>
              <w:ind w:left="20"/>
              <w:spacing w:after="0"/>
              <w:rPr>
                <w:sz w:val="20"/>
                <w:szCs w:val="20"/>
                <w:color w:val="auto"/>
              </w:rPr>
            </w:pPr>
            <w:r>
              <w:rPr>
                <w:rFonts w:ascii="Arial" w:cs="Arial" w:eastAsia="Arial" w:hAnsi="Arial"/>
                <w:sz w:val="14"/>
                <w:szCs w:val="14"/>
                <w:color w:val="auto"/>
              </w:rPr>
              <w:t>Municipals</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410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495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7"/>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Residential mortgage-backed securities</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2"/>
        </w:trPr>
        <w:tc>
          <w:tcPr>
            <w:tcW w:w="3160" w:type="dxa"/>
            <w:vAlign w:val="bottom"/>
          </w:tcPr>
          <w:p>
            <w:pPr>
              <w:ind w:left="20"/>
              <w:spacing w:after="0"/>
              <w:rPr>
                <w:sz w:val="20"/>
                <w:szCs w:val="20"/>
                <w:color w:val="auto"/>
              </w:rPr>
            </w:pPr>
            <w:r>
              <w:rPr>
                <w:rFonts w:ascii="Arial" w:cs="Arial" w:eastAsia="Arial" w:hAnsi="Arial"/>
                <w:sz w:val="14"/>
                <w:szCs w:val="14"/>
                <w:color w:val="auto"/>
              </w:rPr>
              <w:t>U.S. Government</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219</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223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4"/>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Government</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0"/>
        </w:trPr>
        <w:tc>
          <w:tcPr>
            <w:tcW w:w="3160" w:type="dxa"/>
            <w:vAlign w:val="bottom"/>
          </w:tcPr>
          <w:p>
            <w:pPr>
              <w:ind w:left="220"/>
              <w:spacing w:after="0"/>
              <w:rPr>
                <w:sz w:val="20"/>
                <w:szCs w:val="20"/>
                <w:color w:val="auto"/>
              </w:rPr>
            </w:pPr>
            <w:r>
              <w:rPr>
                <w:rFonts w:ascii="Arial" w:cs="Arial" w:eastAsia="Arial" w:hAnsi="Arial"/>
                <w:sz w:val="14"/>
                <w:szCs w:val="14"/>
                <w:b w:val="1"/>
                <w:bCs w:val="1"/>
                <w:color w:val="auto"/>
              </w:rPr>
              <w:t>Total available-for-sale securities</w:t>
            </w:r>
          </w:p>
        </w:tc>
        <w:tc>
          <w:tcPr>
            <w:tcW w:w="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11,443</w:t>
            </w:r>
          </w:p>
        </w:tc>
        <w:tc>
          <w:tcPr>
            <w:tcW w:w="12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(185)</w:t>
            </w:r>
          </w:p>
        </w:tc>
        <w:tc>
          <w:tcPr>
            <w:tcW w:w="12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646</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12,089</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(225)</w:t>
            </w:r>
          </w:p>
        </w:tc>
        <w:tc>
          <w:tcPr>
            <w:tcW w:w="0" w:type="dxa"/>
            <w:vAlign w:val="bottom"/>
          </w:tcPr>
          <w:p>
            <w:pPr>
              <w:spacing w:after="0"/>
              <w:rPr>
                <w:sz w:val="1"/>
                <w:szCs w:val="1"/>
                <w:color w:val="auto"/>
              </w:rPr>
            </w:pP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3160" w:type="dxa"/>
            <w:vAlign w:val="bottom"/>
            <w:shd w:val="clear" w:color="auto" w:fill="CCEEFF"/>
          </w:tcPr>
          <w:p>
            <w:pPr>
              <w:ind w:left="20"/>
              <w:spacing w:after="0" w:line="98" w:lineRule="exact"/>
              <w:rPr>
                <w:sz w:val="20"/>
                <w:szCs w:val="20"/>
                <w:color w:val="auto"/>
              </w:rPr>
            </w:pPr>
            <w:r>
              <w:rPr>
                <w:rFonts w:ascii="Arial" w:cs="Arial" w:eastAsia="Arial" w:hAnsi="Arial"/>
                <w:sz w:val="11"/>
                <w:szCs w:val="11"/>
                <w:color w:val="auto"/>
              </w:rPr>
              <w:t>Total number of available-for-sale securities in an</w:t>
            </w:r>
          </w:p>
        </w:tc>
        <w:tc>
          <w:tcPr>
            <w:tcW w:w="20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2,056</w:t>
            </w:r>
          </w:p>
        </w:tc>
        <w:tc>
          <w:tcPr>
            <w:tcW w:w="0" w:type="dxa"/>
            <w:vAlign w:val="bottom"/>
          </w:tcPr>
          <w:p>
            <w:pPr>
              <w:spacing w:after="0"/>
              <w:rPr>
                <w:sz w:val="1"/>
                <w:szCs w:val="1"/>
                <w:color w:val="auto"/>
              </w:rPr>
            </w:pPr>
          </w:p>
        </w:tc>
      </w:tr>
      <w:tr>
        <w:trPr>
          <w:trHeight w:val="178"/>
        </w:trPr>
        <w:tc>
          <w:tcPr>
            <w:tcW w:w="3160" w:type="dxa"/>
            <w:vAlign w:val="bottom"/>
            <w:tcBorders>
              <w:bottom w:val="single" w:sz="8" w:color="CCEEFF"/>
            </w:tcBorders>
            <w:shd w:val="clear" w:color="auto" w:fill="CCEEFF"/>
          </w:tcPr>
          <w:p>
            <w:pPr>
              <w:ind w:left="20"/>
              <w:spacing w:after="0" w:line="158" w:lineRule="exact"/>
              <w:rPr>
                <w:sz w:val="20"/>
                <w:szCs w:val="20"/>
                <w:color w:val="auto"/>
              </w:rPr>
            </w:pPr>
            <w:r>
              <w:rPr>
                <w:rFonts w:ascii="Arial" w:cs="Arial" w:eastAsia="Arial" w:hAnsi="Arial"/>
                <w:sz w:val="14"/>
                <w:szCs w:val="14"/>
                <w:color w:val="auto"/>
              </w:rPr>
              <w:t>unrealized loss position less than twelve months</w:t>
            </w:r>
          </w:p>
        </w:tc>
        <w:tc>
          <w:tcPr>
            <w:tcW w:w="2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bottom w:val="single" w:sz="8" w:color="CCEEFF"/>
            </w:tcBorders>
            <w:vMerge w:val="restart"/>
          </w:tcPr>
          <w:p>
            <w:pPr>
              <w:ind w:left="20"/>
              <w:spacing w:after="0" w:line="118" w:lineRule="exact"/>
              <w:rPr>
                <w:sz w:val="20"/>
                <w:szCs w:val="20"/>
                <w:color w:val="auto"/>
              </w:rPr>
            </w:pPr>
            <w:r>
              <w:rPr>
                <w:rFonts w:ascii="Arial" w:cs="Arial" w:eastAsia="Arial" w:hAnsi="Arial"/>
                <w:sz w:val="13"/>
                <w:szCs w:val="13"/>
                <w:color w:val="auto"/>
              </w:rPr>
              <w:t>Total number of available-for-sale securities in an</w:t>
            </w: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31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58"/>
        </w:trPr>
        <w:tc>
          <w:tcPr>
            <w:tcW w:w="3160" w:type="dxa"/>
            <w:vAlign w:val="bottom"/>
          </w:tcPr>
          <w:p>
            <w:pPr>
              <w:ind w:left="20"/>
              <w:spacing w:after="0" w:line="158" w:lineRule="exact"/>
              <w:rPr>
                <w:sz w:val="20"/>
                <w:szCs w:val="20"/>
                <w:color w:val="auto"/>
              </w:rPr>
            </w:pPr>
            <w:r>
              <w:rPr>
                <w:rFonts w:ascii="Arial" w:cs="Arial" w:eastAsia="Arial" w:hAnsi="Arial"/>
                <w:sz w:val="14"/>
                <w:szCs w:val="14"/>
                <w:color w:val="auto"/>
              </w:rPr>
              <w:t>unrealized loss position twelve months or longer</w:t>
            </w: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3160" w:type="dxa"/>
            <w:vAlign w:val="bottom"/>
            <w:shd w:val="clear" w:color="auto" w:fill="CCEEFF"/>
          </w:tcPr>
          <w:p>
            <w:pPr>
              <w:ind w:left="20"/>
              <w:spacing w:after="0" w:line="98" w:lineRule="exact"/>
              <w:rPr>
                <w:sz w:val="20"/>
                <w:szCs w:val="20"/>
                <w:color w:val="auto"/>
              </w:rPr>
            </w:pPr>
            <w:r>
              <w:rPr>
                <w:rFonts w:ascii="Arial" w:cs="Arial" w:eastAsia="Arial" w:hAnsi="Arial"/>
                <w:sz w:val="11"/>
                <w:szCs w:val="11"/>
                <w:color w:val="auto"/>
              </w:rPr>
              <w:t>Total number of available-for-sale securities in an</w:t>
            </w:r>
          </w:p>
        </w:tc>
        <w:tc>
          <w:tcPr>
            <w:tcW w:w="20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2,124</w:t>
            </w:r>
          </w:p>
        </w:tc>
        <w:tc>
          <w:tcPr>
            <w:tcW w:w="0" w:type="dxa"/>
            <w:vAlign w:val="bottom"/>
          </w:tcPr>
          <w:p>
            <w:pPr>
              <w:spacing w:after="0"/>
              <w:rPr>
                <w:sz w:val="1"/>
                <w:szCs w:val="1"/>
                <w:color w:val="auto"/>
              </w:rPr>
            </w:pPr>
          </w:p>
        </w:tc>
      </w:tr>
      <w:tr>
        <w:trPr>
          <w:trHeight w:val="178"/>
        </w:trPr>
        <w:tc>
          <w:tcPr>
            <w:tcW w:w="3160" w:type="dxa"/>
            <w:vAlign w:val="bottom"/>
            <w:tcBorders>
              <w:bottom w:val="single" w:sz="8" w:color="CCEEFF"/>
            </w:tcBorders>
            <w:shd w:val="clear" w:color="auto" w:fill="CCEEFF"/>
          </w:tcPr>
          <w:p>
            <w:pPr>
              <w:ind w:left="20"/>
              <w:spacing w:after="0" w:line="158" w:lineRule="exact"/>
              <w:rPr>
                <w:sz w:val="20"/>
                <w:szCs w:val="20"/>
                <w:color w:val="auto"/>
              </w:rPr>
            </w:pPr>
            <w:r>
              <w:rPr>
                <w:rFonts w:ascii="Arial" w:cs="Arial" w:eastAsia="Arial" w:hAnsi="Arial"/>
                <w:sz w:val="14"/>
                <w:szCs w:val="14"/>
                <w:color w:val="auto"/>
              </w:rPr>
              <w:t>unrealized loss position</w:t>
            </w:r>
          </w:p>
        </w:tc>
        <w:tc>
          <w:tcPr>
            <w:tcW w:w="2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We determined the increase in unrealized losses as of June 30, 2022 was caused by higher treasury rates as well as wider spreads. This is in part due to the Federal Reserve's action to increase rates in efforts to combat inflation. Inflation in the first quarter of 2022 has been compounded by supply chain issues stemming from additional COVID-19 restrictions in China, as well as higher energy prices as a result of the Russian-Ukrainian conflict. For securities in an unrealized loss position as of June 30, 2022, our allowance for expected credit loss was $11 million. We believe that unrealized loss position for which we have not recorded an allowance for expected credit loss as of June 30, 2022 was primarily attributable to interest rate increases, near-term illiquidity, and uncertainty caused by Russia's invasion of Ukraine as opposed to issuer specific credit concerns.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Mortgage Loans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Our mortgage loans are collateralized by commercial and residential properties.</w:t>
      </w:r>
    </w:p>
    <w:p>
      <w:pPr>
        <w:spacing w:after="0" w:line="11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Commercial Mortgage Loans</w:t>
      </w:r>
    </w:p>
    <w:p>
      <w:pPr>
        <w:spacing w:after="0" w:line="115"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Commercial mortgage loans ("CMLs") represented approximately 7% of our total investments as of June 30, 2022. We primarily invest in mortgage loans on income producing properties including industrial properties, retail buildings, multifamily properties and office buildings. We diversify our CML portfolio by geographic region and property type to attempt to reduce concentration risk. We continuously evaluate CMLs based on relevant current information to ensure properties are performing at a consistent and acceptable level to secure the related debt. The distribution of CMLs, gross of valuation allowances, by property type and geographic region is reflected in the following tables (dollars in millions):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3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ind w:left="1200"/>
              <w:spacing w:after="0"/>
              <w:rPr>
                <w:sz w:val="20"/>
                <w:szCs w:val="20"/>
                <w:color w:val="auto"/>
              </w:rPr>
            </w:pPr>
            <w:r>
              <w:rPr>
                <w:rFonts w:ascii="Arial" w:cs="Arial" w:eastAsia="Arial" w:hAnsi="Arial"/>
                <w:sz w:val="14"/>
                <w:szCs w:val="14"/>
                <w:b w:val="1"/>
                <w:bCs w:val="1"/>
                <w:color w:val="auto"/>
                <w:w w:val="94"/>
              </w:rPr>
              <w:t>June 30, 2022</w:t>
            </w:r>
          </w:p>
        </w:tc>
        <w:tc>
          <w:tcPr>
            <w:tcW w:w="7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3"/>
          </w:tcPr>
          <w:p>
            <w:pPr>
              <w:jc w:val="right"/>
              <w:ind w:right="1070"/>
              <w:spacing w:after="0"/>
              <w:rPr>
                <w:sz w:val="20"/>
                <w:szCs w:val="20"/>
                <w:color w:val="auto"/>
              </w:rPr>
            </w:pPr>
            <w:r>
              <w:rPr>
                <w:rFonts w:ascii="Arial" w:cs="Arial" w:eastAsia="Arial" w:hAnsi="Arial"/>
                <w:sz w:val="14"/>
                <w:szCs w:val="14"/>
                <w:b w:val="1"/>
                <w:bCs w:val="1"/>
                <w:color w:val="auto"/>
              </w:rPr>
              <w:t>December 31, 2021</w:t>
            </w:r>
          </w:p>
        </w:tc>
      </w:tr>
      <w:tr>
        <w:trPr>
          <w:trHeight w:val="182"/>
        </w:trPr>
        <w:tc>
          <w:tcPr>
            <w:tcW w:w="4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3"/>
          </w:tcPr>
          <w:p>
            <w:pPr>
              <w:ind w:left="40"/>
              <w:spacing w:after="0"/>
              <w:rPr>
                <w:sz w:val="20"/>
                <w:szCs w:val="20"/>
                <w:color w:val="auto"/>
              </w:rPr>
            </w:pPr>
            <w:r>
              <w:rPr>
                <w:rFonts w:ascii="Arial" w:cs="Arial" w:eastAsia="Arial" w:hAnsi="Arial"/>
                <w:sz w:val="14"/>
                <w:szCs w:val="14"/>
                <w:b w:val="1"/>
                <w:bCs w:val="1"/>
                <w:color w:val="auto"/>
              </w:rPr>
              <w:t>Gross Carrying Value</w:t>
            </w:r>
          </w:p>
        </w:tc>
        <w:tc>
          <w:tcPr>
            <w:tcW w:w="760" w:type="dxa"/>
            <w:vAlign w:val="bottom"/>
          </w:tcPr>
          <w:p>
            <w:pPr>
              <w:ind w:left="60"/>
              <w:spacing w:after="0"/>
              <w:rPr>
                <w:sz w:val="20"/>
                <w:szCs w:val="20"/>
                <w:color w:val="auto"/>
              </w:rPr>
            </w:pPr>
            <w:r>
              <w:rPr>
                <w:rFonts w:ascii="Arial" w:cs="Arial" w:eastAsia="Arial" w:hAnsi="Arial"/>
                <w:sz w:val="14"/>
                <w:szCs w:val="14"/>
                <w:b w:val="1"/>
                <w:bCs w:val="1"/>
                <w:color w:val="auto"/>
              </w:rPr>
              <w:t>% of Total</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ind w:right="70"/>
              <w:spacing w:after="0"/>
              <w:rPr>
                <w:sz w:val="20"/>
                <w:szCs w:val="20"/>
                <w:color w:val="auto"/>
              </w:rPr>
            </w:pPr>
            <w:r>
              <w:rPr>
                <w:rFonts w:ascii="Arial" w:cs="Arial" w:eastAsia="Arial" w:hAnsi="Arial"/>
                <w:sz w:val="14"/>
                <w:szCs w:val="14"/>
                <w:b w:val="1"/>
                <w:bCs w:val="1"/>
                <w:color w:val="auto"/>
                <w:w w:val="92"/>
              </w:rPr>
              <w:t>Gross Carrying Value</w:t>
            </w:r>
          </w:p>
        </w:tc>
        <w:tc>
          <w:tcPr>
            <w:tcW w:w="120" w:type="dxa"/>
            <w:vAlign w:val="bottom"/>
          </w:tcPr>
          <w:p>
            <w:pPr>
              <w:spacing w:after="0"/>
              <w:rPr>
                <w:sz w:val="15"/>
                <w:szCs w:val="15"/>
                <w:color w:val="auto"/>
              </w:rPr>
            </w:pPr>
          </w:p>
        </w:tc>
        <w:tc>
          <w:tcPr>
            <w:tcW w:w="1700" w:type="dxa"/>
            <w:vAlign w:val="bottom"/>
          </w:tcPr>
          <w:p>
            <w:pPr>
              <w:jc w:val="right"/>
              <w:ind w:right="470"/>
              <w:spacing w:after="0"/>
              <w:rPr>
                <w:sz w:val="20"/>
                <w:szCs w:val="20"/>
                <w:color w:val="auto"/>
              </w:rPr>
            </w:pPr>
            <w:r>
              <w:rPr>
                <w:rFonts w:ascii="Arial" w:cs="Arial" w:eastAsia="Arial" w:hAnsi="Arial"/>
                <w:sz w:val="14"/>
                <w:szCs w:val="14"/>
                <w:b w:val="1"/>
                <w:bCs w:val="1"/>
                <w:color w:val="auto"/>
              </w:rPr>
              <w:t>% of Total</w:t>
            </w:r>
          </w:p>
        </w:tc>
      </w:tr>
      <w:tr>
        <w:trPr>
          <w:trHeight w:val="165"/>
        </w:trPr>
        <w:tc>
          <w:tcPr>
            <w:tcW w:w="4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Property Type:</w:t>
            </w:r>
          </w:p>
        </w:tc>
        <w:tc>
          <w:tcPr>
            <w:tcW w:w="100" w:type="dxa"/>
            <w:vAlign w:val="bottom"/>
            <w:tcBorders>
              <w:top w:val="single" w:sz="8" w:color="auto"/>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700" w:type="dxa"/>
            <w:vAlign w:val="bottom"/>
            <w:tcBorders>
              <w:top w:val="single" w:sz="8" w:color="auto"/>
            </w:tcBorders>
            <w:shd w:val="clear" w:color="auto" w:fill="CCEEFF"/>
          </w:tcPr>
          <w:p>
            <w:pPr>
              <w:spacing w:after="0"/>
              <w:rPr>
                <w:sz w:val="14"/>
                <w:szCs w:val="14"/>
                <w:color w:val="auto"/>
              </w:rPr>
            </w:pPr>
          </w:p>
        </w:tc>
      </w:tr>
      <w:tr>
        <w:trPr>
          <w:trHeight w:val="182"/>
        </w:trPr>
        <w:tc>
          <w:tcPr>
            <w:tcW w:w="4300" w:type="dxa"/>
            <w:vAlign w:val="bottom"/>
          </w:tcPr>
          <w:p>
            <w:pPr>
              <w:ind w:left="140"/>
              <w:spacing w:after="0"/>
              <w:rPr>
                <w:sz w:val="20"/>
                <w:szCs w:val="20"/>
                <w:color w:val="auto"/>
              </w:rPr>
            </w:pPr>
            <w:r>
              <w:rPr>
                <w:rFonts w:ascii="Arial" w:cs="Arial" w:eastAsia="Arial" w:hAnsi="Arial"/>
                <w:sz w:val="14"/>
                <w:szCs w:val="14"/>
                <w:color w:val="auto"/>
              </w:rPr>
              <w:t>Hotel</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1 %</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19</w:t>
            </w:r>
          </w:p>
        </w:tc>
        <w:tc>
          <w:tcPr>
            <w:tcW w:w="1820" w:type="dxa"/>
            <w:vAlign w:val="bottom"/>
            <w:gridSpan w:val="2"/>
          </w:tcPr>
          <w:p>
            <w:pPr>
              <w:jc w:val="right"/>
              <w:spacing w:after="0"/>
              <w:rPr>
                <w:sz w:val="20"/>
                <w:szCs w:val="20"/>
                <w:color w:val="auto"/>
              </w:rPr>
            </w:pPr>
            <w:r>
              <w:rPr>
                <w:rFonts w:ascii="Arial" w:cs="Arial" w:eastAsia="Arial" w:hAnsi="Arial"/>
                <w:sz w:val="14"/>
                <w:szCs w:val="14"/>
                <w:color w:val="auto"/>
              </w:rPr>
              <w:t>1 %</w:t>
            </w:r>
          </w:p>
        </w:tc>
      </w:tr>
      <w:tr>
        <w:trPr>
          <w:trHeight w:val="187"/>
        </w:trPr>
        <w:tc>
          <w:tcPr>
            <w:tcW w:w="43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Industrial - General</w:t>
            </w: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486</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20 %</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497</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23 %</w:t>
            </w:r>
          </w:p>
        </w:tc>
      </w:tr>
      <w:tr>
        <w:trPr>
          <w:trHeight w:val="182"/>
        </w:trPr>
        <w:tc>
          <w:tcPr>
            <w:tcW w:w="4300" w:type="dxa"/>
            <w:vAlign w:val="bottom"/>
          </w:tcPr>
          <w:p>
            <w:pPr>
              <w:ind w:left="140"/>
              <w:spacing w:after="0"/>
              <w:rPr>
                <w:sz w:val="20"/>
                <w:szCs w:val="20"/>
                <w:color w:val="auto"/>
              </w:rPr>
            </w:pPr>
            <w:r>
              <w:rPr>
                <w:rFonts w:ascii="Arial" w:cs="Arial" w:eastAsia="Arial" w:hAnsi="Arial"/>
                <w:sz w:val="14"/>
                <w:szCs w:val="14"/>
                <w:color w:val="auto"/>
              </w:rPr>
              <w:t>Mixed Use</w:t>
            </w:r>
          </w:p>
        </w:tc>
        <w:tc>
          <w:tcPr>
            <w:tcW w:w="1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1 %</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13</w:t>
            </w:r>
          </w:p>
        </w:tc>
        <w:tc>
          <w:tcPr>
            <w:tcW w:w="1820" w:type="dxa"/>
            <w:vAlign w:val="bottom"/>
            <w:gridSpan w:val="2"/>
          </w:tcPr>
          <w:p>
            <w:pPr>
              <w:jc w:val="right"/>
              <w:spacing w:after="0"/>
              <w:rPr>
                <w:sz w:val="20"/>
                <w:szCs w:val="20"/>
                <w:color w:val="auto"/>
              </w:rPr>
            </w:pPr>
            <w:r>
              <w:rPr>
                <w:rFonts w:ascii="Arial" w:cs="Arial" w:eastAsia="Arial" w:hAnsi="Arial"/>
                <w:sz w:val="14"/>
                <w:szCs w:val="14"/>
                <w:color w:val="auto"/>
              </w:rPr>
              <w:t>1 %</w:t>
            </w:r>
          </w:p>
        </w:tc>
      </w:tr>
      <w:tr>
        <w:trPr>
          <w:trHeight w:val="187"/>
        </w:trPr>
        <w:tc>
          <w:tcPr>
            <w:tcW w:w="43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Multifamily</w:t>
            </w: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1,013</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43 %</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894</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41 %</w:t>
            </w:r>
          </w:p>
        </w:tc>
      </w:tr>
      <w:tr>
        <w:trPr>
          <w:trHeight w:val="182"/>
        </w:trPr>
        <w:tc>
          <w:tcPr>
            <w:tcW w:w="4300" w:type="dxa"/>
            <w:vAlign w:val="bottom"/>
          </w:tcPr>
          <w:p>
            <w:pPr>
              <w:ind w:left="140"/>
              <w:spacing w:after="0"/>
              <w:rPr>
                <w:sz w:val="20"/>
                <w:szCs w:val="20"/>
                <w:color w:val="auto"/>
              </w:rPr>
            </w:pPr>
            <w:r>
              <w:rPr>
                <w:rFonts w:ascii="Arial" w:cs="Arial" w:eastAsia="Arial" w:hAnsi="Arial"/>
                <w:sz w:val="14"/>
                <w:szCs w:val="14"/>
                <w:color w:val="auto"/>
              </w:rPr>
              <w:t>Office</w:t>
            </w:r>
          </w:p>
        </w:tc>
        <w:tc>
          <w:tcPr>
            <w:tcW w:w="1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332</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14 %</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343</w:t>
            </w:r>
          </w:p>
        </w:tc>
        <w:tc>
          <w:tcPr>
            <w:tcW w:w="1820" w:type="dxa"/>
            <w:vAlign w:val="bottom"/>
            <w:gridSpan w:val="2"/>
          </w:tcPr>
          <w:p>
            <w:pPr>
              <w:jc w:val="right"/>
              <w:spacing w:after="0"/>
              <w:rPr>
                <w:sz w:val="20"/>
                <w:szCs w:val="20"/>
                <w:color w:val="auto"/>
              </w:rPr>
            </w:pPr>
            <w:r>
              <w:rPr>
                <w:rFonts w:ascii="Arial" w:cs="Arial" w:eastAsia="Arial" w:hAnsi="Arial"/>
                <w:sz w:val="14"/>
                <w:szCs w:val="14"/>
                <w:color w:val="auto"/>
              </w:rPr>
              <w:t>16 %</w:t>
            </w:r>
          </w:p>
        </w:tc>
      </w:tr>
      <w:tr>
        <w:trPr>
          <w:trHeight w:val="187"/>
        </w:trPr>
        <w:tc>
          <w:tcPr>
            <w:tcW w:w="43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Retail</w:t>
            </w: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5 %</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6 %</w:t>
            </w:r>
          </w:p>
        </w:tc>
      </w:tr>
      <w:tr>
        <w:trPr>
          <w:trHeight w:val="182"/>
        </w:trPr>
        <w:tc>
          <w:tcPr>
            <w:tcW w:w="4300" w:type="dxa"/>
            <w:vAlign w:val="bottom"/>
          </w:tcPr>
          <w:p>
            <w:pPr>
              <w:ind w:left="140"/>
              <w:spacing w:after="0"/>
              <w:rPr>
                <w:sz w:val="20"/>
                <w:szCs w:val="20"/>
                <w:color w:val="auto"/>
              </w:rPr>
            </w:pPr>
            <w:r>
              <w:rPr>
                <w:rFonts w:ascii="Arial" w:cs="Arial" w:eastAsia="Arial" w:hAnsi="Arial"/>
                <w:sz w:val="14"/>
                <w:szCs w:val="14"/>
                <w:color w:val="auto"/>
              </w:rPr>
              <w:t>Student Housing</w:t>
            </w:r>
          </w:p>
        </w:tc>
        <w:tc>
          <w:tcPr>
            <w:tcW w:w="1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83</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4 %</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83</w:t>
            </w:r>
          </w:p>
        </w:tc>
        <w:tc>
          <w:tcPr>
            <w:tcW w:w="1820" w:type="dxa"/>
            <w:vAlign w:val="bottom"/>
            <w:gridSpan w:val="2"/>
          </w:tcPr>
          <w:p>
            <w:pPr>
              <w:jc w:val="right"/>
              <w:spacing w:after="0"/>
              <w:rPr>
                <w:sz w:val="20"/>
                <w:szCs w:val="20"/>
                <w:color w:val="auto"/>
              </w:rPr>
            </w:pPr>
            <w:r>
              <w:rPr>
                <w:rFonts w:ascii="Arial" w:cs="Arial" w:eastAsia="Arial" w:hAnsi="Arial"/>
                <w:sz w:val="14"/>
                <w:szCs w:val="14"/>
                <w:color w:val="auto"/>
              </w:rPr>
              <w:t>4 %</w:t>
            </w:r>
          </w:p>
        </w:tc>
      </w:tr>
      <w:tr>
        <w:trPr>
          <w:trHeight w:val="187"/>
        </w:trPr>
        <w:tc>
          <w:tcPr>
            <w:tcW w:w="43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w:t>
            </w: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12 %</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8 %</w:t>
            </w:r>
          </w:p>
        </w:tc>
      </w:tr>
      <w:tr>
        <w:trPr>
          <w:trHeight w:val="177"/>
        </w:trPr>
        <w:tc>
          <w:tcPr>
            <w:tcW w:w="4300" w:type="dxa"/>
            <w:vAlign w:val="bottom"/>
          </w:tcPr>
          <w:p>
            <w:pPr>
              <w:ind w:left="340"/>
              <w:spacing w:after="0"/>
              <w:rPr>
                <w:sz w:val="20"/>
                <w:szCs w:val="20"/>
                <w:color w:val="auto"/>
              </w:rPr>
            </w:pPr>
            <w:r>
              <w:rPr>
                <w:rFonts w:ascii="Arial" w:cs="Arial" w:eastAsia="Arial" w:hAnsi="Arial"/>
                <w:sz w:val="14"/>
                <w:szCs w:val="14"/>
                <w:b w:val="1"/>
                <w:bCs w:val="1"/>
                <w:color w:val="auto"/>
                <w:w w:val="93"/>
              </w:rPr>
              <w:t>Total commercial mortgage loans, gross of valuation allowance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2,321</w:t>
            </w:r>
          </w:p>
        </w:tc>
        <w:tc>
          <w:tcPr>
            <w:tcW w:w="120" w:type="dxa"/>
            <w:vAlign w:val="bottom"/>
          </w:tcPr>
          <w:p>
            <w:pPr>
              <w:spacing w:after="0"/>
              <w:rPr>
                <w:sz w:val="15"/>
                <w:szCs w:val="15"/>
                <w:color w:val="auto"/>
              </w:rPr>
            </w:pPr>
          </w:p>
        </w:tc>
        <w:tc>
          <w:tcPr>
            <w:tcW w:w="48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2,174</w:t>
            </w:r>
          </w:p>
        </w:tc>
        <w:tc>
          <w:tcPr>
            <w:tcW w:w="120" w:type="dxa"/>
            <w:vAlign w:val="bottom"/>
          </w:tcPr>
          <w:p>
            <w:pPr>
              <w:spacing w:after="0"/>
              <w:rPr>
                <w:sz w:val="15"/>
                <w:szCs w:val="15"/>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100 %</w:t>
            </w: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174"/>
        </w:trPr>
        <w:tc>
          <w:tcPr>
            <w:tcW w:w="4300" w:type="dxa"/>
            <w:vAlign w:val="bottom"/>
            <w:shd w:val="clear" w:color="auto" w:fill="CCEEFF"/>
          </w:tcPr>
          <w:p>
            <w:pPr>
              <w:ind w:left="540"/>
              <w:spacing w:after="0"/>
              <w:rPr>
                <w:sz w:val="20"/>
                <w:szCs w:val="20"/>
                <w:color w:val="auto"/>
              </w:rPr>
            </w:pPr>
            <w:r>
              <w:rPr>
                <w:rFonts w:ascii="Arial" w:cs="Arial" w:eastAsia="Arial" w:hAnsi="Arial"/>
                <w:sz w:val="14"/>
                <w:szCs w:val="14"/>
                <w:color w:val="auto"/>
              </w:rPr>
              <w:t>Allowance for expected credit loss</w:t>
            </w:r>
          </w:p>
        </w:tc>
        <w:tc>
          <w:tcPr>
            <w:tcW w:w="10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r>
      <w:tr>
        <w:trPr>
          <w:trHeight w:val="180"/>
        </w:trPr>
        <w:tc>
          <w:tcPr>
            <w:tcW w:w="4300" w:type="dxa"/>
            <w:vAlign w:val="bottom"/>
          </w:tcPr>
          <w:p>
            <w:pPr>
              <w:ind w:left="340"/>
              <w:spacing w:after="0"/>
              <w:rPr>
                <w:sz w:val="20"/>
                <w:szCs w:val="20"/>
                <w:color w:val="auto"/>
              </w:rPr>
            </w:pPr>
            <w:r>
              <w:rPr>
                <w:rFonts w:ascii="Arial" w:cs="Arial" w:eastAsia="Arial" w:hAnsi="Arial"/>
                <w:sz w:val="14"/>
                <w:szCs w:val="14"/>
                <w:b w:val="1"/>
                <w:bCs w:val="1"/>
                <w:color w:val="auto"/>
              </w:rPr>
              <w:t>Total commercial mortgage loans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2,315</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2,168</w:t>
            </w:r>
          </w:p>
        </w:tc>
        <w:tc>
          <w:tcPr>
            <w:tcW w:w="12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r>
      <w:tr>
        <w:trPr>
          <w:trHeight w:val="177"/>
        </w:trPr>
        <w:tc>
          <w:tcPr>
            <w:tcW w:w="4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r>
      <w:tr>
        <w:trPr>
          <w:trHeight w:val="184"/>
        </w:trPr>
        <w:tc>
          <w:tcPr>
            <w:tcW w:w="4300" w:type="dxa"/>
            <w:vAlign w:val="bottom"/>
          </w:tcPr>
          <w:p>
            <w:pPr>
              <w:ind w:left="20"/>
              <w:spacing w:after="0"/>
              <w:rPr>
                <w:sz w:val="20"/>
                <w:szCs w:val="20"/>
                <w:color w:val="auto"/>
              </w:rPr>
            </w:pPr>
            <w:r>
              <w:rPr>
                <w:rFonts w:ascii="Arial" w:cs="Arial" w:eastAsia="Arial" w:hAnsi="Arial"/>
                <w:sz w:val="14"/>
                <w:szCs w:val="14"/>
                <w:b w:val="1"/>
                <w:bCs w:val="1"/>
                <w:color w:val="auto"/>
              </w:rPr>
              <w:t>U.S. Region:</w:t>
            </w: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5"/>
        </w:trPr>
        <w:tc>
          <w:tcPr>
            <w:tcW w:w="43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East North Central</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6 %</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6 %</w:t>
            </w:r>
          </w:p>
        </w:tc>
      </w:tr>
      <w:tr>
        <w:trPr>
          <w:trHeight w:val="182"/>
        </w:trPr>
        <w:tc>
          <w:tcPr>
            <w:tcW w:w="4300" w:type="dxa"/>
            <w:vAlign w:val="bottom"/>
          </w:tcPr>
          <w:p>
            <w:pPr>
              <w:ind w:left="140"/>
              <w:spacing w:after="0"/>
              <w:rPr>
                <w:sz w:val="20"/>
                <w:szCs w:val="20"/>
                <w:color w:val="auto"/>
              </w:rPr>
            </w:pPr>
            <w:r>
              <w:rPr>
                <w:rFonts w:ascii="Arial" w:cs="Arial" w:eastAsia="Arial" w:hAnsi="Arial"/>
                <w:sz w:val="14"/>
                <w:szCs w:val="14"/>
                <w:color w:val="auto"/>
              </w:rPr>
              <w:t>East South Central</w:t>
            </w:r>
          </w:p>
        </w:tc>
        <w:tc>
          <w:tcPr>
            <w:tcW w:w="1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3 %</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79</w:t>
            </w:r>
          </w:p>
        </w:tc>
        <w:tc>
          <w:tcPr>
            <w:tcW w:w="1820" w:type="dxa"/>
            <w:vAlign w:val="bottom"/>
            <w:gridSpan w:val="2"/>
          </w:tcPr>
          <w:p>
            <w:pPr>
              <w:jc w:val="right"/>
              <w:spacing w:after="0"/>
              <w:rPr>
                <w:sz w:val="20"/>
                <w:szCs w:val="20"/>
                <w:color w:val="auto"/>
              </w:rPr>
            </w:pPr>
            <w:r>
              <w:rPr>
                <w:rFonts w:ascii="Arial" w:cs="Arial" w:eastAsia="Arial" w:hAnsi="Arial"/>
                <w:sz w:val="14"/>
                <w:szCs w:val="14"/>
                <w:color w:val="auto"/>
              </w:rPr>
              <w:t>4 %</w:t>
            </w:r>
          </w:p>
        </w:tc>
      </w:tr>
      <w:tr>
        <w:trPr>
          <w:trHeight w:val="187"/>
        </w:trPr>
        <w:tc>
          <w:tcPr>
            <w:tcW w:w="43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Middle Atlantic</w:t>
            </w: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13 %</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13 %</w:t>
            </w:r>
          </w:p>
        </w:tc>
      </w:tr>
      <w:tr>
        <w:trPr>
          <w:trHeight w:val="182"/>
        </w:trPr>
        <w:tc>
          <w:tcPr>
            <w:tcW w:w="4300" w:type="dxa"/>
            <w:vAlign w:val="bottom"/>
          </w:tcPr>
          <w:p>
            <w:pPr>
              <w:ind w:left="140"/>
              <w:spacing w:after="0"/>
              <w:rPr>
                <w:sz w:val="20"/>
                <w:szCs w:val="20"/>
                <w:color w:val="auto"/>
              </w:rPr>
            </w:pPr>
            <w:r>
              <w:rPr>
                <w:rFonts w:ascii="Arial" w:cs="Arial" w:eastAsia="Arial" w:hAnsi="Arial"/>
                <w:sz w:val="14"/>
                <w:szCs w:val="14"/>
                <w:color w:val="auto"/>
              </w:rPr>
              <w:t>Mountain</w:t>
            </w:r>
          </w:p>
        </w:tc>
        <w:tc>
          <w:tcPr>
            <w:tcW w:w="1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355</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15 %</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236</w:t>
            </w:r>
          </w:p>
        </w:tc>
        <w:tc>
          <w:tcPr>
            <w:tcW w:w="1820" w:type="dxa"/>
            <w:vAlign w:val="bottom"/>
            <w:gridSpan w:val="2"/>
          </w:tcPr>
          <w:p>
            <w:pPr>
              <w:jc w:val="right"/>
              <w:spacing w:after="0"/>
              <w:rPr>
                <w:sz w:val="20"/>
                <w:szCs w:val="20"/>
                <w:color w:val="auto"/>
              </w:rPr>
            </w:pPr>
            <w:r>
              <w:rPr>
                <w:rFonts w:ascii="Arial" w:cs="Arial" w:eastAsia="Arial" w:hAnsi="Arial"/>
                <w:sz w:val="14"/>
                <w:szCs w:val="14"/>
                <w:color w:val="auto"/>
              </w:rPr>
              <w:t>11 %</w:t>
            </w:r>
          </w:p>
        </w:tc>
      </w:tr>
      <w:tr>
        <w:trPr>
          <w:trHeight w:val="187"/>
        </w:trPr>
        <w:tc>
          <w:tcPr>
            <w:tcW w:w="43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New England</w:t>
            </w: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7 %</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7 %</w:t>
            </w:r>
          </w:p>
        </w:tc>
      </w:tr>
      <w:tr>
        <w:trPr>
          <w:trHeight w:val="182"/>
        </w:trPr>
        <w:tc>
          <w:tcPr>
            <w:tcW w:w="4300" w:type="dxa"/>
            <w:vAlign w:val="bottom"/>
          </w:tcPr>
          <w:p>
            <w:pPr>
              <w:ind w:left="140"/>
              <w:spacing w:after="0"/>
              <w:rPr>
                <w:sz w:val="20"/>
                <w:szCs w:val="20"/>
                <w:color w:val="auto"/>
              </w:rPr>
            </w:pPr>
            <w:r>
              <w:rPr>
                <w:rFonts w:ascii="Arial" w:cs="Arial" w:eastAsia="Arial" w:hAnsi="Arial"/>
                <w:sz w:val="14"/>
                <w:szCs w:val="14"/>
                <w:color w:val="auto"/>
              </w:rPr>
              <w:t>Pacific</w:t>
            </w:r>
          </w:p>
        </w:tc>
        <w:tc>
          <w:tcPr>
            <w:tcW w:w="1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699</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30 %</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649</w:t>
            </w:r>
          </w:p>
        </w:tc>
        <w:tc>
          <w:tcPr>
            <w:tcW w:w="1820" w:type="dxa"/>
            <w:vAlign w:val="bottom"/>
            <w:gridSpan w:val="2"/>
          </w:tcPr>
          <w:p>
            <w:pPr>
              <w:jc w:val="right"/>
              <w:spacing w:after="0"/>
              <w:rPr>
                <w:sz w:val="20"/>
                <w:szCs w:val="20"/>
                <w:color w:val="auto"/>
              </w:rPr>
            </w:pPr>
            <w:r>
              <w:rPr>
                <w:rFonts w:ascii="Arial" w:cs="Arial" w:eastAsia="Arial" w:hAnsi="Arial"/>
                <w:sz w:val="14"/>
                <w:szCs w:val="14"/>
                <w:color w:val="auto"/>
              </w:rPr>
              <w:t>30 %</w:t>
            </w:r>
          </w:p>
        </w:tc>
      </w:tr>
      <w:tr>
        <w:trPr>
          <w:trHeight w:val="187"/>
        </w:trPr>
        <w:tc>
          <w:tcPr>
            <w:tcW w:w="43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South Atlantic</w:t>
            </w: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496</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21 %</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21 %</w:t>
            </w:r>
          </w:p>
        </w:tc>
      </w:tr>
      <w:tr>
        <w:trPr>
          <w:trHeight w:val="182"/>
        </w:trPr>
        <w:tc>
          <w:tcPr>
            <w:tcW w:w="4300" w:type="dxa"/>
            <w:vAlign w:val="bottom"/>
          </w:tcPr>
          <w:p>
            <w:pPr>
              <w:ind w:left="140"/>
              <w:spacing w:after="0"/>
              <w:rPr>
                <w:sz w:val="20"/>
                <w:szCs w:val="20"/>
                <w:color w:val="auto"/>
              </w:rPr>
            </w:pPr>
            <w:r>
              <w:rPr>
                <w:rFonts w:ascii="Arial" w:cs="Arial" w:eastAsia="Arial" w:hAnsi="Arial"/>
                <w:sz w:val="14"/>
                <w:szCs w:val="14"/>
                <w:color w:val="auto"/>
              </w:rPr>
              <w:t>West North Central</w:t>
            </w:r>
          </w:p>
        </w:tc>
        <w:tc>
          <w:tcPr>
            <w:tcW w:w="1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 %</w:t>
            </w: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12</w:t>
            </w:r>
          </w:p>
        </w:tc>
        <w:tc>
          <w:tcPr>
            <w:tcW w:w="1820" w:type="dxa"/>
            <w:vAlign w:val="bottom"/>
            <w:gridSpan w:val="2"/>
          </w:tcPr>
          <w:p>
            <w:pPr>
              <w:jc w:val="right"/>
              <w:spacing w:after="0"/>
              <w:rPr>
                <w:sz w:val="20"/>
                <w:szCs w:val="20"/>
                <w:color w:val="auto"/>
              </w:rPr>
            </w:pPr>
            <w:r>
              <w:rPr>
                <w:rFonts w:ascii="Arial" w:cs="Arial" w:eastAsia="Arial" w:hAnsi="Arial"/>
                <w:sz w:val="14"/>
                <w:szCs w:val="14"/>
                <w:color w:val="auto"/>
              </w:rPr>
              <w:t>1 %</w:t>
            </w:r>
          </w:p>
        </w:tc>
      </w:tr>
      <w:tr>
        <w:trPr>
          <w:trHeight w:val="187"/>
        </w:trPr>
        <w:tc>
          <w:tcPr>
            <w:tcW w:w="43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West South Central</w:t>
            </w: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5 %</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7 %</w:t>
            </w:r>
          </w:p>
        </w:tc>
      </w:tr>
      <w:tr>
        <w:trPr>
          <w:trHeight w:val="177"/>
        </w:trPr>
        <w:tc>
          <w:tcPr>
            <w:tcW w:w="4300" w:type="dxa"/>
            <w:vAlign w:val="bottom"/>
          </w:tcPr>
          <w:p>
            <w:pPr>
              <w:ind w:left="340"/>
              <w:spacing w:after="0"/>
              <w:rPr>
                <w:sz w:val="20"/>
                <w:szCs w:val="20"/>
                <w:color w:val="auto"/>
              </w:rPr>
            </w:pPr>
            <w:r>
              <w:rPr>
                <w:rFonts w:ascii="Arial" w:cs="Arial" w:eastAsia="Arial" w:hAnsi="Arial"/>
                <w:sz w:val="14"/>
                <w:szCs w:val="14"/>
                <w:b w:val="1"/>
                <w:bCs w:val="1"/>
                <w:color w:val="auto"/>
                <w:w w:val="93"/>
              </w:rPr>
              <w:t>Total commercial mortgage loans, gross of valuation allowance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2,321</w:t>
            </w:r>
          </w:p>
        </w:tc>
        <w:tc>
          <w:tcPr>
            <w:tcW w:w="120" w:type="dxa"/>
            <w:vAlign w:val="bottom"/>
          </w:tcPr>
          <w:p>
            <w:pPr>
              <w:spacing w:after="0"/>
              <w:rPr>
                <w:sz w:val="15"/>
                <w:szCs w:val="15"/>
                <w:color w:val="auto"/>
              </w:rPr>
            </w:pPr>
          </w:p>
        </w:tc>
        <w:tc>
          <w:tcPr>
            <w:tcW w:w="48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2,174</w:t>
            </w:r>
          </w:p>
        </w:tc>
        <w:tc>
          <w:tcPr>
            <w:tcW w:w="120" w:type="dxa"/>
            <w:vAlign w:val="bottom"/>
          </w:tcPr>
          <w:p>
            <w:pPr>
              <w:spacing w:after="0"/>
              <w:rPr>
                <w:sz w:val="15"/>
                <w:szCs w:val="15"/>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100 %</w:t>
            </w: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174"/>
        </w:trPr>
        <w:tc>
          <w:tcPr>
            <w:tcW w:w="4300" w:type="dxa"/>
            <w:vAlign w:val="bottom"/>
            <w:shd w:val="clear" w:color="auto" w:fill="CCEEFF"/>
          </w:tcPr>
          <w:p>
            <w:pPr>
              <w:ind w:left="540"/>
              <w:spacing w:after="0"/>
              <w:rPr>
                <w:sz w:val="20"/>
                <w:szCs w:val="20"/>
                <w:color w:val="auto"/>
              </w:rPr>
            </w:pPr>
            <w:r>
              <w:rPr>
                <w:rFonts w:ascii="Arial" w:cs="Arial" w:eastAsia="Arial" w:hAnsi="Arial"/>
                <w:sz w:val="14"/>
                <w:szCs w:val="14"/>
                <w:color w:val="auto"/>
              </w:rPr>
              <w:t>Allowance for expected credit loss</w:t>
            </w:r>
          </w:p>
        </w:tc>
        <w:tc>
          <w:tcPr>
            <w:tcW w:w="10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r>
      <w:tr>
        <w:trPr>
          <w:trHeight w:val="180"/>
        </w:trPr>
        <w:tc>
          <w:tcPr>
            <w:tcW w:w="4300" w:type="dxa"/>
            <w:vAlign w:val="bottom"/>
          </w:tcPr>
          <w:p>
            <w:pPr>
              <w:ind w:left="340"/>
              <w:spacing w:after="0"/>
              <w:rPr>
                <w:sz w:val="20"/>
                <w:szCs w:val="20"/>
                <w:color w:val="auto"/>
              </w:rPr>
            </w:pPr>
            <w:r>
              <w:rPr>
                <w:rFonts w:ascii="Arial" w:cs="Arial" w:eastAsia="Arial" w:hAnsi="Arial"/>
                <w:sz w:val="14"/>
                <w:szCs w:val="14"/>
                <w:b w:val="1"/>
                <w:bCs w:val="1"/>
                <w:color w:val="auto"/>
              </w:rPr>
              <w:t>Total commercial mortgage loans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2,315</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2,168</w:t>
            </w:r>
          </w:p>
        </w:tc>
        <w:tc>
          <w:tcPr>
            <w:tcW w:w="12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20"/>
        </w:trPr>
        <w:tc>
          <w:tcPr>
            <w:tcW w:w="4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jc w:val="both"/>
        <w:ind w:firstLine="474"/>
        <w:spacing w:after="0" w:line="248" w:lineRule="auto"/>
        <w:rPr>
          <w:sz w:val="20"/>
          <w:szCs w:val="20"/>
          <w:color w:val="auto"/>
        </w:rPr>
      </w:pPr>
      <w:r>
        <w:rPr>
          <w:rFonts w:ascii="Arial" w:cs="Arial" w:eastAsia="Arial" w:hAnsi="Arial"/>
          <w:sz w:val="18"/>
          <w:szCs w:val="18"/>
          <w:color w:val="auto"/>
        </w:rPr>
        <w:t>Loan-to-value ("LTV") and debt service coverage ("DSC") ratios are measures commonly used to assess the risk and quality of mortgage loans. The LTV ratio is expressed as a percentage of the amount of the loan relative to the value of the underlying property. A LTV ratio in excess of 100% indicates the unpaid loan amount exceeds the underlying collateral. The DSC ratio, based upon the most recently received financial statements, is expressed as a percentage of the amount of a property’s net income to its debt service payments. A DSC ratio of less than 1.00 indicates that a property’s operations do not generate sufficient income to cover debt payments.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474"/>
        <w:spacing w:after="0" w:line="261" w:lineRule="auto"/>
        <w:rPr>
          <w:sz w:val="20"/>
          <w:szCs w:val="20"/>
          <w:color w:val="auto"/>
        </w:rPr>
      </w:pPr>
      <w:r>
        <w:rPr>
          <w:rFonts w:ascii="Arial" w:cs="Arial" w:eastAsia="Arial" w:hAnsi="Arial"/>
          <w:sz w:val="18"/>
          <w:szCs w:val="18"/>
          <w:color w:val="auto"/>
        </w:rPr>
        <w:t>The following tables present the recorded investment in CMLs by LTV and DSC ratio categories and estimated fair value by the indicated loan-to-value ratios at June 30, 2022 and December 31, 2021 (dollars in millions)</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2167255</wp:posOffset>
            </wp:positionH>
            <wp:positionV relativeFrom="paragraph">
              <wp:posOffset>73025</wp:posOffset>
            </wp:positionV>
            <wp:extent cx="487108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871085" cy="8255"/>
                    </a:xfrm>
                    <a:prstGeom prst="rect">
                      <a:avLst/>
                    </a:prstGeom>
                    <a:noFill/>
                  </pic:spPr>
                </pic:pic>
              </a:graphicData>
            </a:graphic>
          </wp:anchor>
        </w:drawing>
      </w:r>
    </w:p>
    <w:p>
      <w:pPr>
        <w:spacing w:after="0" w:line="388" w:lineRule="exact"/>
        <w:rPr>
          <w:sz w:val="20"/>
          <w:szCs w:val="20"/>
          <w:color w:val="auto"/>
        </w:rPr>
      </w:pPr>
    </w:p>
    <w:tbl>
      <w:tblPr>
        <w:tblLayout w:type="fixed"/>
        <w:tblInd w:w="180" w:type="dxa"/>
        <w:tblCellMar>
          <w:top w:w="0" w:type="dxa"/>
          <w:left w:w="0" w:type="dxa"/>
          <w:bottom w:w="0" w:type="dxa"/>
          <w:right w:w="0" w:type="dxa"/>
        </w:tblCellMar>
      </w:tblPr>
      <w:tr>
        <w:trPr>
          <w:trHeight w:val="213"/>
        </w:trPr>
        <w:tc>
          <w:tcPr>
            <w:tcW w:w="3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Debt-Service Coverage Ratios</w:t>
            </w:r>
          </w:p>
        </w:tc>
        <w:tc>
          <w:tcPr>
            <w:tcW w:w="6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ind w:left="60"/>
              <w:spacing w:after="0"/>
              <w:rPr>
                <w:sz w:val="20"/>
                <w:szCs w:val="20"/>
                <w:color w:val="auto"/>
              </w:rPr>
            </w:pPr>
            <w:r>
              <w:rPr>
                <w:rFonts w:ascii="Arial" w:cs="Arial" w:eastAsia="Arial" w:hAnsi="Arial"/>
                <w:sz w:val="14"/>
                <w:szCs w:val="14"/>
                <w:b w:val="1"/>
                <w:bCs w:val="1"/>
                <w:color w:val="auto"/>
              </w:rPr>
              <w:t>Total Amount</w:t>
            </w:r>
          </w:p>
        </w:tc>
        <w:tc>
          <w:tcPr>
            <w:tcW w:w="1180" w:type="dxa"/>
            <w:vAlign w:val="bottom"/>
            <w:gridSpan w:val="2"/>
          </w:tcPr>
          <w:p>
            <w:pPr>
              <w:ind w:left="200"/>
              <w:spacing w:after="0"/>
              <w:rPr>
                <w:sz w:val="20"/>
                <w:szCs w:val="20"/>
                <w:color w:val="auto"/>
              </w:rPr>
            </w:pPr>
            <w:r>
              <w:rPr>
                <w:rFonts w:ascii="Arial" w:cs="Arial" w:eastAsia="Arial" w:hAnsi="Arial"/>
                <w:sz w:val="14"/>
                <w:szCs w:val="14"/>
                <w:b w:val="1"/>
                <w:bCs w:val="1"/>
                <w:color w:val="auto"/>
              </w:rPr>
              <w:t>% of Total</w:t>
            </w:r>
          </w:p>
        </w:tc>
        <w:tc>
          <w:tcPr>
            <w:tcW w:w="10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Estimated Fair</w:t>
            </w:r>
          </w:p>
        </w:tc>
        <w:tc>
          <w:tcPr>
            <w:tcW w:w="1080" w:type="dxa"/>
            <w:vAlign w:val="bottom"/>
          </w:tcPr>
          <w:p>
            <w:pPr>
              <w:jc w:val="right"/>
              <w:ind w:right="150"/>
              <w:spacing w:after="0"/>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157"/>
        </w:trPr>
        <w:tc>
          <w:tcPr>
            <w:tcW w:w="3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vMerge w:val="restart"/>
          </w:tcPr>
          <w:p>
            <w:pPr>
              <w:jc w:val="right"/>
              <w:ind w:right="250"/>
              <w:spacing w:after="0"/>
              <w:rPr>
                <w:sz w:val="20"/>
                <w:szCs w:val="20"/>
                <w:color w:val="auto"/>
              </w:rPr>
            </w:pPr>
            <w:r>
              <w:rPr>
                <w:rFonts w:ascii="Arial" w:cs="Arial" w:eastAsia="Arial" w:hAnsi="Arial"/>
                <w:sz w:val="14"/>
                <w:szCs w:val="14"/>
                <w:b w:val="1"/>
                <w:bCs w:val="1"/>
                <w:color w:val="auto"/>
              </w:rPr>
              <w:t>&gt;1.25</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vMerge w:val="restart"/>
          </w:tcPr>
          <w:p>
            <w:pPr>
              <w:jc w:val="right"/>
              <w:ind w:right="110"/>
              <w:spacing w:after="0"/>
              <w:rPr>
                <w:sz w:val="20"/>
                <w:szCs w:val="20"/>
                <w:color w:val="auto"/>
              </w:rPr>
            </w:pPr>
            <w:r>
              <w:rPr>
                <w:rFonts w:ascii="Arial" w:cs="Arial" w:eastAsia="Arial" w:hAnsi="Arial"/>
                <w:sz w:val="14"/>
                <w:szCs w:val="14"/>
                <w:b w:val="1"/>
                <w:bCs w:val="1"/>
                <w:color w:val="auto"/>
                <w:w w:val="92"/>
              </w:rPr>
              <w:t>1.00 - 1.25</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vMerge w:val="restart"/>
          </w:tcPr>
          <w:p>
            <w:pPr>
              <w:jc w:val="right"/>
              <w:ind w:right="190"/>
              <w:spacing w:after="0"/>
              <w:rPr>
                <w:sz w:val="20"/>
                <w:szCs w:val="20"/>
                <w:color w:val="auto"/>
              </w:rPr>
            </w:pPr>
            <w:r>
              <w:rPr>
                <w:rFonts w:ascii="Arial" w:cs="Arial" w:eastAsia="Arial" w:hAnsi="Arial"/>
                <w:sz w:val="14"/>
                <w:szCs w:val="14"/>
                <w:b w:val="1"/>
                <w:bCs w:val="1"/>
                <w:color w:val="auto"/>
                <w:w w:val="90"/>
              </w:rPr>
              <w:t>&lt;1.00</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200"/>
              <w:spacing w:after="0" w:line="157" w:lineRule="exact"/>
              <w:rPr>
                <w:sz w:val="20"/>
                <w:szCs w:val="20"/>
                <w:color w:val="auto"/>
              </w:rPr>
            </w:pPr>
            <w:r>
              <w:rPr>
                <w:rFonts w:ascii="Arial" w:cs="Arial" w:eastAsia="Arial" w:hAnsi="Arial"/>
                <w:sz w:val="14"/>
                <w:szCs w:val="14"/>
                <w:b w:val="1"/>
                <w:bCs w:val="1"/>
                <w:color w:val="auto"/>
                <w:w w:val="90"/>
              </w:rPr>
              <w:t>Value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3"/>
        </w:trPr>
        <w:tc>
          <w:tcPr>
            <w:tcW w:w="32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32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June 30, 2022</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240" w:type="dxa"/>
            <w:vAlign w:val="bottom"/>
          </w:tcPr>
          <w:p>
            <w:pPr>
              <w:spacing w:after="0"/>
              <w:rPr>
                <w:sz w:val="20"/>
                <w:szCs w:val="20"/>
                <w:color w:val="auto"/>
              </w:rPr>
            </w:pPr>
            <w:r>
              <w:rPr>
                <w:rFonts w:ascii="Arial" w:cs="Arial" w:eastAsia="Arial" w:hAnsi="Arial"/>
                <w:sz w:val="14"/>
                <w:szCs w:val="14"/>
                <w:color w:val="auto"/>
              </w:rPr>
              <w:t>LTV Ratios:</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240" w:type="dxa"/>
            <w:vAlign w:val="bottom"/>
            <w:shd w:val="clear" w:color="auto" w:fill="CCEEFF"/>
          </w:tcPr>
          <w:p>
            <w:pPr>
              <w:spacing w:after="0"/>
              <w:rPr>
                <w:sz w:val="20"/>
                <w:szCs w:val="20"/>
                <w:color w:val="auto"/>
              </w:rPr>
            </w:pPr>
            <w:r>
              <w:rPr>
                <w:rFonts w:ascii="Arial" w:cs="Arial" w:eastAsia="Arial" w:hAnsi="Arial"/>
                <w:sz w:val="14"/>
                <w:szCs w:val="14"/>
                <w:color w:val="auto"/>
              </w:rPr>
              <w:t>Less than 50%</w:t>
            </w:r>
          </w:p>
        </w:tc>
        <w:tc>
          <w:tcPr>
            <w:tcW w:w="2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411</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18 %</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19 %</w:t>
            </w:r>
          </w:p>
        </w:tc>
        <w:tc>
          <w:tcPr>
            <w:tcW w:w="0" w:type="dxa"/>
            <w:vAlign w:val="bottom"/>
          </w:tcPr>
          <w:p>
            <w:pPr>
              <w:spacing w:after="0"/>
              <w:rPr>
                <w:sz w:val="1"/>
                <w:szCs w:val="1"/>
                <w:color w:val="auto"/>
              </w:rPr>
            </w:pPr>
          </w:p>
        </w:tc>
      </w:tr>
      <w:tr>
        <w:trPr>
          <w:trHeight w:val="182"/>
        </w:trPr>
        <w:tc>
          <w:tcPr>
            <w:tcW w:w="3240" w:type="dxa"/>
            <w:vAlign w:val="bottom"/>
          </w:tcPr>
          <w:p>
            <w:pPr>
              <w:spacing w:after="0"/>
              <w:rPr>
                <w:sz w:val="20"/>
                <w:szCs w:val="20"/>
                <w:color w:val="auto"/>
              </w:rPr>
            </w:pPr>
            <w:r>
              <w:rPr>
                <w:rFonts w:ascii="Arial" w:cs="Arial" w:eastAsia="Arial" w:hAnsi="Arial"/>
                <w:sz w:val="14"/>
                <w:szCs w:val="14"/>
                <w:color w:val="auto"/>
              </w:rPr>
              <w:t>50% to 60%</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771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771</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33 %</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712</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34 %</w:t>
            </w:r>
          </w:p>
        </w:tc>
        <w:tc>
          <w:tcPr>
            <w:tcW w:w="0" w:type="dxa"/>
            <w:vAlign w:val="bottom"/>
          </w:tcPr>
          <w:p>
            <w:pPr>
              <w:spacing w:after="0"/>
              <w:rPr>
                <w:sz w:val="1"/>
                <w:szCs w:val="1"/>
                <w:color w:val="auto"/>
              </w:rPr>
            </w:pPr>
          </w:p>
        </w:tc>
      </w:tr>
      <w:tr>
        <w:trPr>
          <w:trHeight w:val="187"/>
        </w:trPr>
        <w:tc>
          <w:tcPr>
            <w:tcW w:w="3240" w:type="dxa"/>
            <w:vAlign w:val="bottom"/>
            <w:shd w:val="clear" w:color="auto" w:fill="CCEEFF"/>
          </w:tcPr>
          <w:p>
            <w:pPr>
              <w:spacing w:after="0"/>
              <w:rPr>
                <w:sz w:val="20"/>
                <w:szCs w:val="20"/>
                <w:color w:val="auto"/>
              </w:rPr>
            </w:pPr>
            <w:r>
              <w:rPr>
                <w:rFonts w:ascii="Arial" w:cs="Arial" w:eastAsia="Arial" w:hAnsi="Arial"/>
                <w:sz w:val="14"/>
                <w:szCs w:val="14"/>
                <w:color w:val="auto"/>
              </w:rPr>
              <w:t>60% to 75%</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1,130</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48 %</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47 %</w:t>
            </w:r>
          </w:p>
        </w:tc>
        <w:tc>
          <w:tcPr>
            <w:tcW w:w="0" w:type="dxa"/>
            <w:vAlign w:val="bottom"/>
          </w:tcPr>
          <w:p>
            <w:pPr>
              <w:spacing w:after="0"/>
              <w:rPr>
                <w:sz w:val="1"/>
                <w:szCs w:val="1"/>
                <w:color w:val="auto"/>
              </w:rPr>
            </w:pPr>
          </w:p>
        </w:tc>
      </w:tr>
      <w:tr>
        <w:trPr>
          <w:trHeight w:val="182"/>
        </w:trPr>
        <w:tc>
          <w:tcPr>
            <w:tcW w:w="3240" w:type="dxa"/>
            <w:vAlign w:val="bottom"/>
          </w:tcPr>
          <w:p>
            <w:pPr>
              <w:spacing w:after="0"/>
              <w:rPr>
                <w:sz w:val="20"/>
                <w:szCs w:val="20"/>
                <w:color w:val="auto"/>
              </w:rPr>
            </w:pPr>
            <w:r>
              <w:rPr>
                <w:rFonts w:ascii="Arial" w:cs="Arial" w:eastAsia="Arial" w:hAnsi="Arial"/>
                <w:sz w:val="14"/>
                <w:szCs w:val="14"/>
                <w:color w:val="auto"/>
              </w:rPr>
              <w:t>75% to 85%</w:t>
            </w:r>
          </w:p>
        </w:tc>
        <w:tc>
          <w:tcPr>
            <w:tcW w:w="200" w:type="dxa"/>
            <w:vAlign w:val="bottom"/>
          </w:tcPr>
          <w:p>
            <w:pPr>
              <w:jc w:val="right"/>
              <w:ind w:right="50"/>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5"/>
                <w:szCs w:val="15"/>
                <w:color w:val="auto"/>
              </w:rPr>
            </w:pPr>
          </w:p>
        </w:tc>
        <w:tc>
          <w:tcPr>
            <w:tcW w:w="220" w:type="dxa"/>
            <w:vAlign w:val="bottom"/>
          </w:tcPr>
          <w:p>
            <w:pPr>
              <w:jc w:val="right"/>
              <w:ind w:right="70"/>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90"/>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1 %</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05"/>
        </w:trPr>
        <w:tc>
          <w:tcPr>
            <w:tcW w:w="3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Commercial mortgage loans</w:t>
            </w: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2,321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32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December 31, 2021</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240" w:type="dxa"/>
            <w:vAlign w:val="bottom"/>
          </w:tcPr>
          <w:p>
            <w:pPr>
              <w:spacing w:after="0"/>
              <w:rPr>
                <w:sz w:val="20"/>
                <w:szCs w:val="20"/>
                <w:color w:val="auto"/>
              </w:rPr>
            </w:pPr>
            <w:r>
              <w:rPr>
                <w:rFonts w:ascii="Arial" w:cs="Arial" w:eastAsia="Arial" w:hAnsi="Arial"/>
                <w:sz w:val="14"/>
                <w:szCs w:val="14"/>
                <w:color w:val="auto"/>
              </w:rPr>
              <w:t>LTV Ratios:</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240" w:type="dxa"/>
            <w:vAlign w:val="bottom"/>
            <w:shd w:val="clear" w:color="auto" w:fill="CCEEFF"/>
          </w:tcPr>
          <w:p>
            <w:pPr>
              <w:spacing w:after="0"/>
              <w:rPr>
                <w:sz w:val="20"/>
                <w:szCs w:val="20"/>
                <w:color w:val="auto"/>
              </w:rPr>
            </w:pPr>
            <w:r>
              <w:rPr>
                <w:rFonts w:ascii="Arial" w:cs="Arial" w:eastAsia="Arial" w:hAnsi="Arial"/>
                <w:sz w:val="14"/>
                <w:szCs w:val="14"/>
                <w:color w:val="auto"/>
              </w:rPr>
              <w:t>Less than 50%</w:t>
            </w:r>
          </w:p>
        </w:tc>
        <w:tc>
          <w:tcPr>
            <w:tcW w:w="2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668</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31 %</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745</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33 %</w:t>
            </w:r>
          </w:p>
        </w:tc>
        <w:tc>
          <w:tcPr>
            <w:tcW w:w="0" w:type="dxa"/>
            <w:vAlign w:val="bottom"/>
          </w:tcPr>
          <w:p>
            <w:pPr>
              <w:spacing w:after="0"/>
              <w:rPr>
                <w:sz w:val="1"/>
                <w:szCs w:val="1"/>
                <w:color w:val="auto"/>
              </w:rPr>
            </w:pPr>
          </w:p>
        </w:tc>
      </w:tr>
      <w:tr>
        <w:trPr>
          <w:trHeight w:val="182"/>
        </w:trPr>
        <w:tc>
          <w:tcPr>
            <w:tcW w:w="3240" w:type="dxa"/>
            <w:vAlign w:val="bottom"/>
          </w:tcPr>
          <w:p>
            <w:pPr>
              <w:spacing w:after="0"/>
              <w:rPr>
                <w:sz w:val="20"/>
                <w:szCs w:val="20"/>
                <w:color w:val="auto"/>
              </w:rPr>
            </w:pPr>
            <w:r>
              <w:rPr>
                <w:rFonts w:ascii="Arial" w:cs="Arial" w:eastAsia="Arial" w:hAnsi="Arial"/>
                <w:sz w:val="14"/>
                <w:szCs w:val="14"/>
                <w:color w:val="auto"/>
              </w:rPr>
              <w:t>50% to 60%</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470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470</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22 %</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481</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21 %</w:t>
            </w:r>
          </w:p>
        </w:tc>
        <w:tc>
          <w:tcPr>
            <w:tcW w:w="0" w:type="dxa"/>
            <w:vAlign w:val="bottom"/>
          </w:tcPr>
          <w:p>
            <w:pPr>
              <w:spacing w:after="0"/>
              <w:rPr>
                <w:sz w:val="1"/>
                <w:szCs w:val="1"/>
                <w:color w:val="auto"/>
              </w:rPr>
            </w:pPr>
          </w:p>
        </w:tc>
      </w:tr>
      <w:tr>
        <w:trPr>
          <w:trHeight w:val="184"/>
        </w:trPr>
        <w:tc>
          <w:tcPr>
            <w:tcW w:w="3240" w:type="dxa"/>
            <w:vAlign w:val="bottom"/>
            <w:shd w:val="clear" w:color="auto" w:fill="CCEEFF"/>
          </w:tcPr>
          <w:p>
            <w:pPr>
              <w:spacing w:after="0"/>
              <w:rPr>
                <w:sz w:val="20"/>
                <w:szCs w:val="20"/>
                <w:color w:val="auto"/>
              </w:rPr>
            </w:pPr>
            <w:r>
              <w:rPr>
                <w:rFonts w:ascii="Arial" w:cs="Arial" w:eastAsia="Arial" w:hAnsi="Arial"/>
                <w:sz w:val="14"/>
                <w:szCs w:val="14"/>
                <w:color w:val="auto"/>
              </w:rPr>
              <w:t>60% to 75%</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1,036</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47 %</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1,039</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46 %</w:t>
            </w:r>
          </w:p>
        </w:tc>
        <w:tc>
          <w:tcPr>
            <w:tcW w:w="0" w:type="dxa"/>
            <w:vAlign w:val="bottom"/>
          </w:tcPr>
          <w:p>
            <w:pPr>
              <w:spacing w:after="0"/>
              <w:rPr>
                <w:sz w:val="1"/>
                <w:szCs w:val="1"/>
                <w:color w:val="auto"/>
              </w:rPr>
            </w:pPr>
          </w:p>
        </w:tc>
      </w:tr>
      <w:tr>
        <w:trPr>
          <w:trHeight w:val="180"/>
        </w:trPr>
        <w:tc>
          <w:tcPr>
            <w:tcW w:w="3240" w:type="dxa"/>
            <w:vAlign w:val="bottom"/>
          </w:tcPr>
          <w:p>
            <w:pPr>
              <w:spacing w:after="0"/>
              <w:rPr>
                <w:sz w:val="20"/>
                <w:szCs w:val="20"/>
                <w:color w:val="auto"/>
              </w:rPr>
            </w:pPr>
            <w:r>
              <w:rPr>
                <w:rFonts w:ascii="Arial" w:cs="Arial" w:eastAsia="Arial" w:hAnsi="Arial"/>
                <w:sz w:val="14"/>
                <w:szCs w:val="14"/>
                <w:color w:val="auto"/>
              </w:rPr>
              <w:t>Commercial mortgage loans</w:t>
            </w: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2,132</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5"/>
                <w:szCs w:val="15"/>
                <w:color w:val="auto"/>
              </w:rPr>
            </w:pPr>
          </w:p>
        </w:tc>
        <w:tc>
          <w:tcPr>
            <w:tcW w:w="3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2,174</w:t>
            </w:r>
          </w:p>
        </w:tc>
        <w:tc>
          <w:tcPr>
            <w:tcW w:w="120" w:type="dxa"/>
            <w:vAlign w:val="bottom"/>
          </w:tcPr>
          <w:p>
            <w:pPr>
              <w:spacing w:after="0"/>
              <w:rPr>
                <w:sz w:val="15"/>
                <w:szCs w:val="15"/>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2,265</w:t>
            </w:r>
          </w:p>
        </w:tc>
        <w:tc>
          <w:tcPr>
            <w:tcW w:w="120" w:type="dxa"/>
            <w:vAlign w:val="bottom"/>
          </w:tcPr>
          <w:p>
            <w:pPr>
              <w:spacing w:after="0"/>
              <w:rPr>
                <w:sz w:val="15"/>
                <w:szCs w:val="15"/>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We recognize a mortgage loan as delinquent when payments on the loan are greater than 30 days past due. At June 30, 2022 we had one CML that was delinquent in principal or interest payments as shown in the risk rating exposure table below. At December 31, 2021 we had no CMLs that were delinquent in principal or interest payments.</w:t>
      </w:r>
    </w:p>
    <w:p>
      <w:pPr>
        <w:spacing w:after="0" w:line="79"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Residential Mortgage Loans</w:t>
      </w:r>
    </w:p>
    <w:p>
      <w:pPr>
        <w:spacing w:after="0" w:line="115"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Residential mortgage loans ("RMLs") represented approximately 6% of our total investments as of June 30, 2022. Our residential mortgage loans are closed end, amortizing loans and 100% of the properties are located in the United States. We diversify our RML portfolio by state to attempt to reduce concentration risk. The distribution of RMLs by state with highest-to-lowest concentration are reflected in the following tables (dollars in millions):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ind w:left="1140"/>
              <w:spacing w:after="0"/>
              <w:rPr>
                <w:sz w:val="20"/>
                <w:szCs w:val="20"/>
                <w:color w:val="auto"/>
              </w:rPr>
            </w:pPr>
            <w:r>
              <w:rPr>
                <w:rFonts w:ascii="Arial" w:cs="Arial" w:eastAsia="Arial" w:hAnsi="Arial"/>
                <w:sz w:val="14"/>
                <w:szCs w:val="14"/>
                <w:b w:val="1"/>
                <w:bCs w:val="1"/>
                <w:color w:val="auto"/>
                <w:w w:val="96"/>
              </w:rPr>
              <w:t>June 30, 2022</w:t>
            </w:r>
          </w:p>
        </w:tc>
        <w:tc>
          <w:tcPr>
            <w:tcW w:w="1260" w:type="dxa"/>
            <w:vAlign w:val="bottom"/>
            <w:tcBorders>
              <w:bottom w:val="single" w:sz="8" w:color="auto"/>
            </w:tcBorders>
          </w:tcPr>
          <w:p>
            <w:pPr>
              <w:spacing w:after="0"/>
              <w:rPr>
                <w:sz w:val="16"/>
                <w:szCs w:val="16"/>
                <w:color w:val="auto"/>
              </w:rPr>
            </w:pPr>
          </w:p>
        </w:tc>
      </w:tr>
      <w:tr>
        <w:trPr>
          <w:trHeight w:val="183"/>
        </w:trPr>
        <w:tc>
          <w:tcPr>
            <w:tcW w:w="7720" w:type="dxa"/>
            <w:vAlign w:val="bottom"/>
          </w:tcPr>
          <w:p>
            <w:pPr>
              <w:ind w:left="20"/>
              <w:spacing w:after="0"/>
              <w:rPr>
                <w:sz w:val="20"/>
                <w:szCs w:val="20"/>
                <w:color w:val="auto"/>
              </w:rPr>
            </w:pPr>
            <w:r>
              <w:rPr>
                <w:rFonts w:ascii="Arial" w:cs="Arial" w:eastAsia="Arial" w:hAnsi="Arial"/>
                <w:sz w:val="14"/>
                <w:szCs w:val="14"/>
                <w:b w:val="1"/>
                <w:bCs w:val="1"/>
                <w:color w:val="auto"/>
              </w:rPr>
              <w:t>U.S. State:</w:t>
            </w:r>
          </w:p>
        </w:tc>
        <w:tc>
          <w:tcPr>
            <w:tcW w:w="220" w:type="dxa"/>
            <w:vAlign w:val="bottom"/>
          </w:tcPr>
          <w:p>
            <w:pPr>
              <w:spacing w:after="0"/>
              <w:rPr>
                <w:sz w:val="15"/>
                <w:szCs w:val="15"/>
                <w:color w:val="auto"/>
              </w:rPr>
            </w:pPr>
          </w:p>
        </w:tc>
        <w:tc>
          <w:tcPr>
            <w:tcW w:w="2040" w:type="dxa"/>
            <w:vAlign w:val="bottom"/>
            <w:gridSpan w:val="3"/>
          </w:tcPr>
          <w:p>
            <w:pPr>
              <w:ind w:left="120"/>
              <w:spacing w:after="0"/>
              <w:rPr>
                <w:sz w:val="20"/>
                <w:szCs w:val="20"/>
                <w:color w:val="auto"/>
              </w:rPr>
            </w:pPr>
            <w:r>
              <w:rPr>
                <w:rFonts w:ascii="Arial" w:cs="Arial" w:eastAsia="Arial" w:hAnsi="Arial"/>
                <w:sz w:val="14"/>
                <w:szCs w:val="14"/>
                <w:b w:val="1"/>
                <w:bCs w:val="1"/>
                <w:color w:val="auto"/>
              </w:rPr>
              <w:t>Amortized Cost</w:t>
            </w:r>
          </w:p>
        </w:tc>
        <w:tc>
          <w:tcPr>
            <w:tcW w:w="1260" w:type="dxa"/>
            <w:vAlign w:val="bottom"/>
          </w:tcPr>
          <w:p>
            <w:pPr>
              <w:jc w:val="right"/>
              <w:ind w:right="470"/>
              <w:spacing w:after="0"/>
              <w:rPr>
                <w:sz w:val="20"/>
                <w:szCs w:val="20"/>
                <w:color w:val="auto"/>
              </w:rPr>
            </w:pPr>
            <w:r>
              <w:rPr>
                <w:rFonts w:ascii="Arial" w:cs="Arial" w:eastAsia="Arial" w:hAnsi="Arial"/>
                <w:sz w:val="14"/>
                <w:szCs w:val="14"/>
                <w:b w:val="1"/>
                <w:bCs w:val="1"/>
                <w:color w:val="auto"/>
              </w:rPr>
              <w:t>% of Total</w:t>
            </w:r>
          </w:p>
        </w:tc>
      </w:tr>
      <w:tr>
        <w:trPr>
          <w:trHeight w:val="176"/>
        </w:trPr>
        <w:tc>
          <w:tcPr>
            <w:tcW w:w="7720" w:type="dxa"/>
            <w:vAlign w:val="bottom"/>
          </w:tcPr>
          <w:p>
            <w:pPr>
              <w:ind w:left="20"/>
              <w:spacing w:after="0"/>
              <w:rPr>
                <w:sz w:val="20"/>
                <w:szCs w:val="20"/>
                <w:color w:val="auto"/>
              </w:rPr>
            </w:pPr>
            <w:r>
              <w:rPr>
                <w:rFonts w:ascii="Arial" w:cs="Arial" w:eastAsia="Arial" w:hAnsi="Arial"/>
                <w:sz w:val="14"/>
                <w:szCs w:val="14"/>
                <w:color w:val="auto"/>
              </w:rPr>
              <w:t>Florida</w:t>
            </w:r>
          </w:p>
        </w:tc>
        <w:tc>
          <w:tcPr>
            <w:tcW w:w="22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302</w:t>
            </w:r>
          </w:p>
        </w:tc>
        <w:tc>
          <w:tcPr>
            <w:tcW w:w="16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14 %</w:t>
            </w:r>
          </w:p>
        </w:tc>
      </w:tr>
      <w:tr>
        <w:trPr>
          <w:trHeight w:val="187"/>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Texas</w:t>
            </w:r>
          </w:p>
        </w:tc>
        <w:tc>
          <w:tcPr>
            <w:tcW w:w="2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w:t>
            </w: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11 %</w:t>
            </w:r>
          </w:p>
        </w:tc>
      </w:tr>
      <w:tr>
        <w:trPr>
          <w:trHeight w:val="182"/>
        </w:trPr>
        <w:tc>
          <w:tcPr>
            <w:tcW w:w="7720" w:type="dxa"/>
            <w:vAlign w:val="bottom"/>
          </w:tcPr>
          <w:p>
            <w:pPr>
              <w:ind w:left="20"/>
              <w:spacing w:after="0"/>
              <w:rPr>
                <w:sz w:val="20"/>
                <w:szCs w:val="20"/>
                <w:color w:val="auto"/>
              </w:rPr>
            </w:pPr>
            <w:r>
              <w:rPr>
                <w:rFonts w:ascii="Arial" w:cs="Arial" w:eastAsia="Arial" w:hAnsi="Arial"/>
                <w:sz w:val="14"/>
                <w:szCs w:val="14"/>
                <w:color w:val="auto"/>
              </w:rPr>
              <w:t>New Jersey</w:t>
            </w:r>
          </w:p>
        </w:tc>
        <w:tc>
          <w:tcPr>
            <w:tcW w:w="2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171</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8 %</w:t>
            </w:r>
          </w:p>
        </w:tc>
      </w:tr>
      <w:tr>
        <w:trPr>
          <w:trHeight w:val="187"/>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Pennsylvania</w:t>
            </w:r>
          </w:p>
        </w:tc>
        <w:tc>
          <w:tcPr>
            <w:tcW w:w="2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7 %</w:t>
            </w:r>
          </w:p>
        </w:tc>
      </w:tr>
      <w:tr>
        <w:trPr>
          <w:trHeight w:val="182"/>
        </w:trPr>
        <w:tc>
          <w:tcPr>
            <w:tcW w:w="7720" w:type="dxa"/>
            <w:vAlign w:val="bottom"/>
          </w:tcPr>
          <w:p>
            <w:pPr>
              <w:ind w:left="20"/>
              <w:spacing w:after="0"/>
              <w:rPr>
                <w:sz w:val="20"/>
                <w:szCs w:val="20"/>
                <w:color w:val="auto"/>
              </w:rPr>
            </w:pPr>
            <w:r>
              <w:rPr>
                <w:rFonts w:ascii="Arial" w:cs="Arial" w:eastAsia="Arial" w:hAnsi="Arial"/>
                <w:sz w:val="14"/>
                <w:szCs w:val="14"/>
                <w:color w:val="auto"/>
              </w:rPr>
              <w:t>California</w:t>
            </w:r>
          </w:p>
        </w:tc>
        <w:tc>
          <w:tcPr>
            <w:tcW w:w="2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145</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7 %</w:t>
            </w:r>
          </w:p>
        </w:tc>
      </w:tr>
      <w:tr>
        <w:trPr>
          <w:trHeight w:val="187"/>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New York</w:t>
            </w:r>
          </w:p>
        </w:tc>
        <w:tc>
          <w:tcPr>
            <w:tcW w:w="2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6 %</w:t>
            </w:r>
          </w:p>
        </w:tc>
      </w:tr>
      <w:tr>
        <w:trPr>
          <w:trHeight w:val="182"/>
        </w:trPr>
        <w:tc>
          <w:tcPr>
            <w:tcW w:w="7720" w:type="dxa"/>
            <w:vAlign w:val="bottom"/>
          </w:tcPr>
          <w:p>
            <w:pPr>
              <w:ind w:left="20"/>
              <w:spacing w:after="0"/>
              <w:rPr>
                <w:sz w:val="20"/>
                <w:szCs w:val="20"/>
                <w:color w:val="auto"/>
              </w:rPr>
            </w:pPr>
            <w:r>
              <w:rPr>
                <w:rFonts w:ascii="Arial" w:cs="Arial" w:eastAsia="Arial" w:hAnsi="Arial"/>
                <w:sz w:val="14"/>
                <w:szCs w:val="14"/>
                <w:color w:val="auto"/>
              </w:rPr>
              <w:t>Georgia</w:t>
            </w:r>
          </w:p>
        </w:tc>
        <w:tc>
          <w:tcPr>
            <w:tcW w:w="2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117</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5 %</w:t>
            </w:r>
          </w:p>
        </w:tc>
      </w:tr>
      <w:tr>
        <w:trPr>
          <w:trHeight w:val="184"/>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All Other States (1)</w:t>
            </w:r>
          </w:p>
        </w:tc>
        <w:tc>
          <w:tcPr>
            <w:tcW w:w="22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903</w:t>
            </w:r>
          </w:p>
        </w:tc>
        <w:tc>
          <w:tcPr>
            <w:tcW w:w="16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42 %</w:t>
            </w:r>
          </w:p>
        </w:tc>
      </w:tr>
      <w:tr>
        <w:trPr>
          <w:trHeight w:val="180"/>
        </w:trPr>
        <w:tc>
          <w:tcPr>
            <w:tcW w:w="7720" w:type="dxa"/>
            <w:vAlign w:val="bottom"/>
          </w:tcPr>
          <w:p>
            <w:pPr>
              <w:ind w:left="20"/>
              <w:spacing w:after="0"/>
              <w:rPr>
                <w:sz w:val="20"/>
                <w:szCs w:val="20"/>
                <w:color w:val="auto"/>
              </w:rPr>
            </w:pPr>
            <w:r>
              <w:rPr>
                <w:rFonts w:ascii="Arial" w:cs="Arial" w:eastAsia="Arial" w:hAnsi="Arial"/>
                <w:sz w:val="14"/>
                <w:szCs w:val="14"/>
                <w:b w:val="1"/>
                <w:bCs w:val="1"/>
                <w:color w:val="auto"/>
              </w:rPr>
              <w:t>Total residential mortgage loans</w:t>
            </w:r>
          </w:p>
        </w:tc>
        <w:tc>
          <w:tcPr>
            <w:tcW w:w="2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2,148</w:t>
            </w:r>
          </w:p>
        </w:tc>
        <w:tc>
          <w:tcPr>
            <w:tcW w:w="16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100 %</w:t>
            </w:r>
          </w:p>
        </w:tc>
      </w:tr>
      <w:tr>
        <w:trPr>
          <w:trHeight w:val="20"/>
        </w:trPr>
        <w:tc>
          <w:tcPr>
            <w:tcW w:w="7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(1) The individual concentration of each state is equal to or less than 5% as of June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ind w:left="980"/>
              <w:spacing w:after="0"/>
              <w:rPr>
                <w:sz w:val="20"/>
                <w:szCs w:val="20"/>
                <w:color w:val="auto"/>
              </w:rPr>
            </w:pPr>
            <w:r>
              <w:rPr>
                <w:rFonts w:ascii="Arial" w:cs="Arial" w:eastAsia="Arial" w:hAnsi="Arial"/>
                <w:sz w:val="14"/>
                <w:szCs w:val="14"/>
                <w:b w:val="1"/>
                <w:bCs w:val="1"/>
                <w:color w:val="auto"/>
                <w:w w:val="88"/>
              </w:rPr>
              <w:t>December 31, 2021</w:t>
            </w:r>
          </w:p>
        </w:tc>
        <w:tc>
          <w:tcPr>
            <w:tcW w:w="1180" w:type="dxa"/>
            <w:vAlign w:val="bottom"/>
            <w:tcBorders>
              <w:bottom w:val="single" w:sz="8" w:color="auto"/>
            </w:tcBorders>
          </w:tcPr>
          <w:p>
            <w:pPr>
              <w:spacing w:after="0"/>
              <w:rPr>
                <w:sz w:val="16"/>
                <w:szCs w:val="16"/>
                <w:color w:val="auto"/>
              </w:rPr>
            </w:pPr>
          </w:p>
        </w:tc>
      </w:tr>
      <w:tr>
        <w:trPr>
          <w:trHeight w:val="183"/>
        </w:trPr>
        <w:tc>
          <w:tcPr>
            <w:tcW w:w="7720" w:type="dxa"/>
            <w:vAlign w:val="bottom"/>
          </w:tcPr>
          <w:p>
            <w:pPr>
              <w:ind w:left="20"/>
              <w:spacing w:after="0"/>
              <w:rPr>
                <w:sz w:val="20"/>
                <w:szCs w:val="20"/>
                <w:color w:val="auto"/>
              </w:rPr>
            </w:pPr>
            <w:r>
              <w:rPr>
                <w:rFonts w:ascii="Arial" w:cs="Arial" w:eastAsia="Arial" w:hAnsi="Arial"/>
                <w:sz w:val="14"/>
                <w:szCs w:val="14"/>
                <w:b w:val="1"/>
                <w:bCs w:val="1"/>
                <w:color w:val="auto"/>
              </w:rPr>
              <w:t>U.S. State:</w:t>
            </w:r>
          </w:p>
        </w:tc>
        <w:tc>
          <w:tcPr>
            <w:tcW w:w="220" w:type="dxa"/>
            <w:vAlign w:val="bottom"/>
          </w:tcPr>
          <w:p>
            <w:pPr>
              <w:spacing w:after="0"/>
              <w:rPr>
                <w:sz w:val="15"/>
                <w:szCs w:val="15"/>
                <w:color w:val="auto"/>
              </w:rPr>
            </w:pPr>
          </w:p>
        </w:tc>
        <w:tc>
          <w:tcPr>
            <w:tcW w:w="2120" w:type="dxa"/>
            <w:vAlign w:val="bottom"/>
            <w:gridSpan w:val="3"/>
          </w:tcPr>
          <w:p>
            <w:pPr>
              <w:ind w:left="120"/>
              <w:spacing w:after="0"/>
              <w:rPr>
                <w:sz w:val="20"/>
                <w:szCs w:val="20"/>
                <w:color w:val="auto"/>
              </w:rPr>
            </w:pPr>
            <w:r>
              <w:rPr>
                <w:rFonts w:ascii="Arial" w:cs="Arial" w:eastAsia="Arial" w:hAnsi="Arial"/>
                <w:sz w:val="14"/>
                <w:szCs w:val="14"/>
                <w:b w:val="1"/>
                <w:bCs w:val="1"/>
                <w:color w:val="auto"/>
              </w:rPr>
              <w:t>Amortized Cost</w:t>
            </w:r>
          </w:p>
        </w:tc>
        <w:tc>
          <w:tcPr>
            <w:tcW w:w="1180" w:type="dxa"/>
            <w:vAlign w:val="bottom"/>
          </w:tcPr>
          <w:p>
            <w:pPr>
              <w:jc w:val="right"/>
              <w:ind w:right="470"/>
              <w:spacing w:after="0"/>
              <w:rPr>
                <w:sz w:val="20"/>
                <w:szCs w:val="20"/>
                <w:color w:val="auto"/>
              </w:rPr>
            </w:pPr>
            <w:r>
              <w:rPr>
                <w:rFonts w:ascii="Arial" w:cs="Arial" w:eastAsia="Arial" w:hAnsi="Arial"/>
                <w:sz w:val="14"/>
                <w:szCs w:val="14"/>
                <w:b w:val="1"/>
                <w:bCs w:val="1"/>
                <w:color w:val="auto"/>
                <w:w w:val="92"/>
              </w:rPr>
              <w:t>% of Total</w:t>
            </w:r>
          </w:p>
        </w:tc>
      </w:tr>
      <w:tr>
        <w:trPr>
          <w:trHeight w:val="176"/>
        </w:trPr>
        <w:tc>
          <w:tcPr>
            <w:tcW w:w="7720" w:type="dxa"/>
            <w:vAlign w:val="bottom"/>
          </w:tcPr>
          <w:p>
            <w:pPr>
              <w:ind w:left="20"/>
              <w:spacing w:after="0"/>
              <w:rPr>
                <w:sz w:val="20"/>
                <w:szCs w:val="20"/>
                <w:color w:val="auto"/>
              </w:rPr>
            </w:pPr>
            <w:r>
              <w:rPr>
                <w:rFonts w:ascii="Arial" w:cs="Arial" w:eastAsia="Arial" w:hAnsi="Arial"/>
                <w:sz w:val="14"/>
                <w:szCs w:val="14"/>
                <w:color w:val="auto"/>
              </w:rPr>
              <w:t>Florida</w:t>
            </w:r>
          </w:p>
        </w:tc>
        <w:tc>
          <w:tcPr>
            <w:tcW w:w="22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231</w:t>
            </w:r>
          </w:p>
        </w:tc>
        <w:tc>
          <w:tcPr>
            <w:tcW w:w="16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15 %</w:t>
            </w:r>
          </w:p>
        </w:tc>
      </w:tr>
      <w:tr>
        <w:trPr>
          <w:trHeight w:val="187"/>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Texas</w:t>
            </w:r>
          </w:p>
        </w:tc>
        <w:tc>
          <w:tcPr>
            <w:tcW w:w="2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10 %</w:t>
            </w:r>
          </w:p>
        </w:tc>
      </w:tr>
      <w:tr>
        <w:trPr>
          <w:trHeight w:val="182"/>
        </w:trPr>
        <w:tc>
          <w:tcPr>
            <w:tcW w:w="7720" w:type="dxa"/>
            <w:vAlign w:val="bottom"/>
          </w:tcPr>
          <w:p>
            <w:pPr>
              <w:ind w:left="20"/>
              <w:spacing w:after="0"/>
              <w:rPr>
                <w:sz w:val="20"/>
                <w:szCs w:val="20"/>
                <w:color w:val="auto"/>
              </w:rPr>
            </w:pPr>
            <w:r>
              <w:rPr>
                <w:rFonts w:ascii="Arial" w:cs="Arial" w:eastAsia="Arial" w:hAnsi="Arial"/>
                <w:sz w:val="14"/>
                <w:szCs w:val="14"/>
                <w:color w:val="auto"/>
              </w:rPr>
              <w:t>New Jersey</w:t>
            </w:r>
          </w:p>
        </w:tc>
        <w:tc>
          <w:tcPr>
            <w:tcW w:w="2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150</w:t>
            </w: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10 %</w:t>
            </w:r>
          </w:p>
        </w:tc>
      </w:tr>
      <w:tr>
        <w:trPr>
          <w:trHeight w:val="184"/>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All other states (1)</w:t>
            </w:r>
          </w:p>
        </w:tc>
        <w:tc>
          <w:tcPr>
            <w:tcW w:w="22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1,027</w:t>
            </w:r>
          </w:p>
        </w:tc>
        <w:tc>
          <w:tcPr>
            <w:tcW w:w="16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65 %</w:t>
            </w:r>
          </w:p>
        </w:tc>
      </w:tr>
      <w:tr>
        <w:trPr>
          <w:trHeight w:val="180"/>
        </w:trPr>
        <w:tc>
          <w:tcPr>
            <w:tcW w:w="7720" w:type="dxa"/>
            <w:vAlign w:val="bottom"/>
          </w:tcPr>
          <w:p>
            <w:pPr>
              <w:ind w:left="20"/>
              <w:spacing w:after="0"/>
              <w:rPr>
                <w:sz w:val="20"/>
                <w:szCs w:val="20"/>
                <w:color w:val="auto"/>
              </w:rPr>
            </w:pPr>
            <w:r>
              <w:rPr>
                <w:rFonts w:ascii="Arial" w:cs="Arial" w:eastAsia="Arial" w:hAnsi="Arial"/>
                <w:sz w:val="14"/>
                <w:szCs w:val="14"/>
                <w:b w:val="1"/>
                <w:bCs w:val="1"/>
                <w:color w:val="auto"/>
              </w:rPr>
              <w:t>Total residential mortgage loans</w:t>
            </w:r>
          </w:p>
        </w:tc>
        <w:tc>
          <w:tcPr>
            <w:tcW w:w="2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1,575</w:t>
            </w:r>
          </w:p>
        </w:tc>
        <w:tc>
          <w:tcPr>
            <w:tcW w:w="16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100 %</w:t>
            </w:r>
          </w:p>
        </w:tc>
      </w:tr>
      <w:tr>
        <w:trPr>
          <w:trHeight w:val="20"/>
        </w:trPr>
        <w:tc>
          <w:tcPr>
            <w:tcW w:w="7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auto"/>
        </w:rPr>
        <w:t>(1) The individual concentration of each state is less than 9% as of December 31, 2021.</w:t>
      </w:r>
    </w:p>
    <w:p>
      <w:pPr>
        <w:spacing w:after="0" w:line="108"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Residential mortgage loans have a primary credit quality indicator of either a performing or nonperforming loan. We define non-performing residential mortgage loans as those that are 90 or more days past due or in nonaccrual status, which is assessed monthly. The credit quality of RMLs as of June 30, 2022 and December 31, 2021, was as follows (dollars in millions):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8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ind w:left="1000"/>
              <w:spacing w:after="0"/>
              <w:rPr>
                <w:sz w:val="20"/>
                <w:szCs w:val="20"/>
                <w:color w:val="auto"/>
              </w:rPr>
            </w:pPr>
            <w:r>
              <w:rPr>
                <w:rFonts w:ascii="Arial" w:cs="Arial" w:eastAsia="Arial" w:hAnsi="Arial"/>
                <w:sz w:val="14"/>
                <w:szCs w:val="14"/>
                <w:b w:val="1"/>
                <w:bCs w:val="1"/>
                <w:color w:val="auto"/>
                <w:w w:val="92"/>
              </w:rPr>
              <w:t>June 30, 2022</w:t>
            </w:r>
          </w:p>
        </w:tc>
        <w:tc>
          <w:tcPr>
            <w:tcW w:w="1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3"/>
          </w:tcPr>
          <w:p>
            <w:pPr>
              <w:jc w:val="right"/>
              <w:ind w:right="930"/>
              <w:spacing w:after="0"/>
              <w:rPr>
                <w:sz w:val="20"/>
                <w:szCs w:val="20"/>
                <w:color w:val="auto"/>
              </w:rPr>
            </w:pPr>
            <w:r>
              <w:rPr>
                <w:rFonts w:ascii="Arial" w:cs="Arial" w:eastAsia="Arial" w:hAnsi="Arial"/>
                <w:sz w:val="14"/>
                <w:szCs w:val="14"/>
                <w:b w:val="1"/>
                <w:bCs w:val="1"/>
                <w:color w:val="auto"/>
              </w:rPr>
              <w:t>December 31, 2021</w:t>
            </w:r>
          </w:p>
        </w:tc>
      </w:tr>
      <w:tr>
        <w:trPr>
          <w:trHeight w:val="183"/>
        </w:trPr>
        <w:tc>
          <w:tcPr>
            <w:tcW w:w="4800" w:type="dxa"/>
            <w:vAlign w:val="bottom"/>
          </w:tcPr>
          <w:p>
            <w:pPr>
              <w:ind w:left="20"/>
              <w:spacing w:after="0"/>
              <w:rPr>
                <w:sz w:val="20"/>
                <w:szCs w:val="20"/>
                <w:color w:val="auto"/>
              </w:rPr>
            </w:pPr>
            <w:r>
              <w:rPr>
                <w:rFonts w:ascii="Arial" w:cs="Arial" w:eastAsia="Arial" w:hAnsi="Arial"/>
                <w:sz w:val="14"/>
                <w:szCs w:val="14"/>
                <w:b w:val="1"/>
                <w:bCs w:val="1"/>
                <w:color w:val="auto"/>
              </w:rPr>
              <w:t>Performance indicators:</w:t>
            </w:r>
          </w:p>
        </w:tc>
        <w:tc>
          <w:tcPr>
            <w:tcW w:w="180" w:type="dxa"/>
            <w:vAlign w:val="bottom"/>
          </w:tcPr>
          <w:p>
            <w:pPr>
              <w:spacing w:after="0"/>
              <w:rPr>
                <w:sz w:val="15"/>
                <w:szCs w:val="15"/>
                <w:color w:val="auto"/>
              </w:rPr>
            </w:pPr>
          </w:p>
        </w:tc>
        <w:tc>
          <w:tcPr>
            <w:tcW w:w="1860" w:type="dxa"/>
            <w:vAlign w:val="bottom"/>
            <w:gridSpan w:val="3"/>
          </w:tcPr>
          <w:p>
            <w:pPr>
              <w:ind w:left="80"/>
              <w:spacing w:after="0"/>
              <w:rPr>
                <w:sz w:val="20"/>
                <w:szCs w:val="20"/>
                <w:color w:val="auto"/>
              </w:rPr>
            </w:pPr>
            <w:r>
              <w:rPr>
                <w:rFonts w:ascii="Arial" w:cs="Arial" w:eastAsia="Arial" w:hAnsi="Arial"/>
                <w:sz w:val="14"/>
                <w:szCs w:val="14"/>
                <w:b w:val="1"/>
                <w:bCs w:val="1"/>
                <w:color w:val="auto"/>
              </w:rPr>
              <w:t>Carrying Value</w:t>
            </w:r>
          </w:p>
        </w:tc>
        <w:tc>
          <w:tcPr>
            <w:tcW w:w="1140" w:type="dxa"/>
            <w:vAlign w:val="bottom"/>
          </w:tcPr>
          <w:p>
            <w:pPr>
              <w:jc w:val="right"/>
              <w:ind w:right="390"/>
              <w:spacing w:after="0"/>
              <w:rPr>
                <w:sz w:val="20"/>
                <w:szCs w:val="20"/>
                <w:color w:val="auto"/>
              </w:rPr>
            </w:pPr>
            <w:r>
              <w:rPr>
                <w:rFonts w:ascii="Arial" w:cs="Arial" w:eastAsia="Arial" w:hAnsi="Arial"/>
                <w:sz w:val="14"/>
                <w:szCs w:val="14"/>
                <w:b w:val="1"/>
                <w:bCs w:val="1"/>
                <w:color w:val="auto"/>
                <w:w w:val="98"/>
              </w:rPr>
              <w:t>% of Total</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Carrying Value</w:t>
            </w:r>
          </w:p>
        </w:tc>
        <w:tc>
          <w:tcPr>
            <w:tcW w:w="1560" w:type="dxa"/>
            <w:vAlign w:val="bottom"/>
          </w:tcPr>
          <w:p>
            <w:pPr>
              <w:jc w:val="right"/>
              <w:ind w:right="390"/>
              <w:spacing w:after="0"/>
              <w:rPr>
                <w:sz w:val="20"/>
                <w:szCs w:val="20"/>
                <w:color w:val="auto"/>
              </w:rPr>
            </w:pPr>
            <w:r>
              <w:rPr>
                <w:rFonts w:ascii="Arial" w:cs="Arial" w:eastAsia="Arial" w:hAnsi="Arial"/>
                <w:sz w:val="14"/>
                <w:szCs w:val="14"/>
                <w:b w:val="1"/>
                <w:bCs w:val="1"/>
                <w:color w:val="auto"/>
              </w:rPr>
              <w:t>% of Total</w:t>
            </w:r>
          </w:p>
        </w:tc>
      </w:tr>
      <w:tr>
        <w:trPr>
          <w:trHeight w:val="176"/>
        </w:trPr>
        <w:tc>
          <w:tcPr>
            <w:tcW w:w="4800" w:type="dxa"/>
            <w:vAlign w:val="bottom"/>
          </w:tcPr>
          <w:p>
            <w:pPr>
              <w:ind w:left="20"/>
              <w:spacing w:after="0"/>
              <w:rPr>
                <w:sz w:val="20"/>
                <w:szCs w:val="20"/>
                <w:color w:val="auto"/>
              </w:rPr>
            </w:pPr>
            <w:r>
              <w:rPr>
                <w:rFonts w:ascii="Arial" w:cs="Arial" w:eastAsia="Arial" w:hAnsi="Arial"/>
                <w:sz w:val="14"/>
                <w:szCs w:val="14"/>
                <w:color w:val="auto"/>
              </w:rPr>
              <w:t>Performing</w:t>
            </w:r>
          </w:p>
        </w:tc>
        <w:tc>
          <w:tcPr>
            <w:tcW w:w="18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2,083</w:t>
            </w:r>
          </w:p>
        </w:tc>
        <w:tc>
          <w:tcPr>
            <w:tcW w:w="16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97 %</w:t>
            </w:r>
          </w:p>
        </w:tc>
        <w:tc>
          <w:tcPr>
            <w:tcW w:w="120" w:type="dxa"/>
            <w:vAlign w:val="bottom"/>
          </w:tcPr>
          <w:p>
            <w:pPr>
              <w:spacing w:after="0"/>
              <w:rPr>
                <w:sz w:val="15"/>
                <w:szCs w:val="15"/>
                <w:color w:val="auto"/>
              </w:rPr>
            </w:pPr>
          </w:p>
        </w:tc>
        <w:tc>
          <w:tcPr>
            <w:tcW w:w="18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1,533</w:t>
            </w:r>
          </w:p>
        </w:tc>
        <w:tc>
          <w:tcPr>
            <w:tcW w:w="120" w:type="dxa"/>
            <w:vAlign w:val="bottom"/>
          </w:tcPr>
          <w:p>
            <w:pPr>
              <w:spacing w:after="0"/>
              <w:rPr>
                <w:sz w:val="15"/>
                <w:szCs w:val="15"/>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95 %</w:t>
            </w:r>
          </w:p>
        </w:tc>
      </w:tr>
      <w:tr>
        <w:trPr>
          <w:trHeight w:val="187"/>
        </w:trPr>
        <w:tc>
          <w:tcPr>
            <w:tcW w:w="4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Non-performing</w:t>
            </w:r>
          </w:p>
        </w:tc>
        <w:tc>
          <w:tcPr>
            <w:tcW w:w="18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6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120" w:type="dxa"/>
            <w:vAlign w:val="bottom"/>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5 %</w:t>
            </w:r>
          </w:p>
        </w:tc>
      </w:tr>
      <w:tr>
        <w:trPr>
          <w:trHeight w:val="175"/>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residential mortgage loans, gross of valuation allowance</w:t>
            </w:r>
          </w:p>
        </w:tc>
        <w:tc>
          <w:tcPr>
            <w:tcW w:w="1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2,151</w:t>
            </w:r>
          </w:p>
        </w:tc>
        <w:tc>
          <w:tcPr>
            <w:tcW w:w="16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1,606</w:t>
            </w:r>
          </w:p>
        </w:tc>
        <w:tc>
          <w:tcPr>
            <w:tcW w:w="12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100 %</w:t>
            </w:r>
          </w:p>
        </w:tc>
      </w:tr>
      <w:tr>
        <w:trPr>
          <w:trHeight w:val="177"/>
        </w:trPr>
        <w:tc>
          <w:tcPr>
            <w:tcW w:w="4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Allowance for expected loan loss</w:t>
            </w:r>
          </w:p>
        </w:tc>
        <w:tc>
          <w:tcPr>
            <w:tcW w:w="1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6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w:t>
            </w:r>
          </w:p>
        </w:tc>
      </w:tr>
      <w:tr>
        <w:trPr>
          <w:trHeight w:val="180"/>
        </w:trPr>
        <w:tc>
          <w:tcPr>
            <w:tcW w:w="4800" w:type="dxa"/>
            <w:vAlign w:val="bottom"/>
          </w:tcPr>
          <w:p>
            <w:pPr>
              <w:ind w:left="20"/>
              <w:spacing w:after="0"/>
              <w:rPr>
                <w:sz w:val="20"/>
                <w:szCs w:val="20"/>
                <w:color w:val="auto"/>
              </w:rPr>
            </w:pPr>
            <w:r>
              <w:rPr>
                <w:rFonts w:ascii="Arial" w:cs="Arial" w:eastAsia="Arial" w:hAnsi="Arial"/>
                <w:sz w:val="14"/>
                <w:szCs w:val="14"/>
                <w:b w:val="1"/>
                <w:bCs w:val="1"/>
                <w:color w:val="auto"/>
              </w:rPr>
              <w:t>Total residential mortgage loans</w:t>
            </w:r>
          </w:p>
        </w:tc>
        <w:tc>
          <w:tcPr>
            <w:tcW w:w="1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2,122</w:t>
            </w:r>
          </w:p>
        </w:tc>
        <w:tc>
          <w:tcPr>
            <w:tcW w:w="1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1,581</w:t>
            </w:r>
          </w:p>
        </w:tc>
        <w:tc>
          <w:tcPr>
            <w:tcW w:w="120" w:type="dxa"/>
            <w:vAlign w:val="bottom"/>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100 %</w:t>
            </w:r>
          </w:p>
        </w:tc>
      </w:tr>
      <w:tr>
        <w:trPr>
          <w:trHeight w:val="20"/>
        </w:trPr>
        <w:tc>
          <w:tcPr>
            <w:tcW w:w="4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Loans segregated by risk rating exposure as of June 30, 2022 and December 31, 2021, were as follows (in millions):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8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10"/>
              <w:spacing w:after="0"/>
              <w:rPr>
                <w:sz w:val="20"/>
                <w:szCs w:val="20"/>
                <w:color w:val="auto"/>
              </w:rPr>
            </w:pPr>
            <w:r>
              <w:rPr>
                <w:rFonts w:ascii="Arial" w:cs="Arial" w:eastAsia="Arial" w:hAnsi="Arial"/>
                <w:sz w:val="14"/>
                <w:szCs w:val="14"/>
                <w:b w:val="1"/>
                <w:bCs w:val="1"/>
                <w:color w:val="auto"/>
                <w:w w:val="87"/>
              </w:rPr>
              <w:t>June 30, 2022</w:t>
            </w: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88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Amortized Cost by Origination Year</w:t>
            </w: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88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0"/>
              <w:spacing w:after="0"/>
              <w:rPr>
                <w:sz w:val="20"/>
                <w:szCs w:val="20"/>
                <w:color w:val="auto"/>
              </w:rPr>
            </w:pPr>
            <w:r>
              <w:rPr>
                <w:rFonts w:ascii="Arial" w:cs="Arial" w:eastAsia="Arial" w:hAnsi="Arial"/>
                <w:sz w:val="14"/>
                <w:szCs w:val="14"/>
                <w:b w:val="1"/>
                <w:bCs w:val="1"/>
                <w:color w:val="auto"/>
                <w:w w:val="89"/>
              </w:rPr>
              <w:t>2019</w:t>
            </w: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Prior</w:t>
            </w:r>
          </w:p>
        </w:tc>
        <w:tc>
          <w:tcPr>
            <w:tcW w:w="2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5"/>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Residential mortgages</w:t>
            </w:r>
          </w:p>
        </w:tc>
        <w:tc>
          <w:tcPr>
            <w:tcW w:w="7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880" w:type="dxa"/>
            <w:vAlign w:val="bottom"/>
          </w:tcPr>
          <w:p>
            <w:pPr>
              <w:ind w:left="20"/>
              <w:spacing w:after="0"/>
              <w:rPr>
                <w:sz w:val="20"/>
                <w:szCs w:val="20"/>
                <w:color w:val="auto"/>
              </w:rPr>
            </w:pPr>
            <w:r>
              <w:rPr>
                <w:rFonts w:ascii="Arial" w:cs="Arial" w:eastAsia="Arial" w:hAnsi="Arial"/>
                <w:sz w:val="14"/>
                <w:szCs w:val="14"/>
                <w:color w:val="auto"/>
              </w:rPr>
              <w:t>Current (less than 30 days past due)</w:t>
            </w:r>
          </w:p>
        </w:tc>
        <w:tc>
          <w:tcPr>
            <w:tcW w:w="720" w:type="dxa"/>
            <w:vAlign w:val="bottom"/>
          </w:tcPr>
          <w:p>
            <w:pPr>
              <w:jc w:val="right"/>
              <w:ind w:right="570"/>
              <w:spacing w:after="0"/>
              <w:rPr>
                <w:sz w:val="20"/>
                <w:szCs w:val="20"/>
                <w:color w:val="auto"/>
              </w:rPr>
            </w:pPr>
            <w:r>
              <w:rPr>
                <w:rFonts w:ascii="Arial" w:cs="Arial" w:eastAsia="Arial" w:hAnsi="Arial"/>
                <w:sz w:val="14"/>
                <w:szCs w:val="14"/>
                <w:color w:val="auto"/>
                <w:w w:val="76"/>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605</w:t>
            </w:r>
          </w:p>
        </w:tc>
        <w:tc>
          <w:tcPr>
            <w:tcW w:w="26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896</w:t>
            </w:r>
          </w:p>
        </w:tc>
        <w:tc>
          <w:tcPr>
            <w:tcW w:w="2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244</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211</w:t>
            </w:r>
          </w:p>
        </w:tc>
        <w:tc>
          <w:tcPr>
            <w:tcW w:w="780" w:type="dxa"/>
            <w:vAlign w:val="bottom"/>
          </w:tcPr>
          <w:p>
            <w:pPr>
              <w:jc w:val="right"/>
              <w:ind w:right="590"/>
              <w:spacing w:after="0"/>
              <w:rPr>
                <w:sz w:val="20"/>
                <w:szCs w:val="20"/>
                <w:color w:val="auto"/>
              </w:rPr>
            </w:pPr>
            <w:r>
              <w:rPr>
                <w:rFonts w:ascii="Arial" w:cs="Arial" w:eastAsia="Arial" w:hAnsi="Arial"/>
                <w:sz w:val="14"/>
                <w:szCs w:val="14"/>
                <w:color w:val="auto"/>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29</w:t>
            </w:r>
          </w:p>
        </w:tc>
        <w:tc>
          <w:tcPr>
            <w:tcW w:w="760" w:type="dxa"/>
            <w:vAlign w:val="bottom"/>
          </w:tcPr>
          <w:p>
            <w:pPr>
              <w:jc w:val="right"/>
              <w:ind w:right="590"/>
              <w:spacing w:after="0"/>
              <w:rPr>
                <w:sz w:val="20"/>
                <w:szCs w:val="20"/>
                <w:color w:val="auto"/>
              </w:rPr>
            </w:pPr>
            <w:r>
              <w:rPr>
                <w:rFonts w:ascii="Arial" w:cs="Arial" w:eastAsia="Arial" w:hAnsi="Arial"/>
                <w:sz w:val="14"/>
                <w:szCs w:val="14"/>
                <w:color w:val="auto"/>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43</w:t>
            </w:r>
          </w:p>
        </w:tc>
        <w:tc>
          <w:tcPr>
            <w:tcW w:w="26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2,028</w:t>
            </w:r>
          </w:p>
        </w:tc>
        <w:tc>
          <w:tcPr>
            <w:tcW w:w="0" w:type="dxa"/>
            <w:vAlign w:val="bottom"/>
          </w:tcPr>
          <w:p>
            <w:pPr>
              <w:spacing w:after="0"/>
              <w:rPr>
                <w:sz w:val="1"/>
                <w:szCs w:val="1"/>
                <w:color w:val="auto"/>
              </w:rPr>
            </w:pPr>
          </w:p>
        </w:tc>
      </w:tr>
      <w:tr>
        <w:trPr>
          <w:trHeight w:val="187"/>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30-89 days past due</w:t>
            </w:r>
          </w:p>
        </w:tc>
        <w:tc>
          <w:tcPr>
            <w:tcW w:w="72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78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76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82"/>
        </w:trPr>
        <w:tc>
          <w:tcPr>
            <w:tcW w:w="38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Over 90 days past due</w:t>
            </w:r>
          </w:p>
        </w:tc>
        <w:tc>
          <w:tcPr>
            <w:tcW w:w="7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7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7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205"/>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residential mortgages</w:t>
            </w:r>
          </w:p>
        </w:tc>
        <w:tc>
          <w:tcPr>
            <w:tcW w:w="72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4"/>
                <w:szCs w:val="14"/>
                <w:color w:val="auto"/>
                <w:w w:val="76"/>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620</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921</w:t>
            </w:r>
          </w:p>
        </w:tc>
        <w:tc>
          <w:tcPr>
            <w:tcW w:w="2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w:t>
            </w:r>
          </w:p>
        </w:tc>
        <w:tc>
          <w:tcPr>
            <w:tcW w:w="78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76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2,151</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Commercial mortgages</w:t>
            </w: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388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(less than 30 days past due)</w:t>
            </w:r>
          </w:p>
        </w:tc>
        <w:tc>
          <w:tcPr>
            <w:tcW w:w="720" w:type="dxa"/>
            <w:vAlign w:val="bottom"/>
            <w:shd w:val="clear" w:color="auto" w:fill="CCEEFF"/>
          </w:tcPr>
          <w:p>
            <w:pPr>
              <w:jc w:val="right"/>
              <w:ind w:right="570"/>
              <w:spacing w:after="0"/>
              <w:rPr>
                <w:sz w:val="20"/>
                <w:szCs w:val="20"/>
                <w:color w:val="auto"/>
              </w:rPr>
            </w:pPr>
            <w:r>
              <w:rPr>
                <w:rFonts w:ascii="Arial" w:cs="Arial" w:eastAsia="Arial" w:hAnsi="Arial"/>
                <w:sz w:val="14"/>
                <w:szCs w:val="14"/>
                <w:color w:val="auto"/>
                <w:w w:val="76"/>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1,301</w:t>
            </w:r>
          </w:p>
        </w:tc>
        <w:tc>
          <w:tcPr>
            <w:tcW w:w="2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509</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59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9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273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2,312</w:t>
            </w:r>
          </w:p>
        </w:tc>
        <w:tc>
          <w:tcPr>
            <w:tcW w:w="0" w:type="dxa"/>
            <w:vAlign w:val="bottom"/>
          </w:tcPr>
          <w:p>
            <w:pPr>
              <w:spacing w:after="0"/>
              <w:rPr>
                <w:sz w:val="1"/>
                <w:szCs w:val="1"/>
                <w:color w:val="auto"/>
              </w:rPr>
            </w:pPr>
          </w:p>
        </w:tc>
      </w:tr>
      <w:tr>
        <w:trPr>
          <w:trHeight w:val="182"/>
        </w:trPr>
        <w:tc>
          <w:tcPr>
            <w:tcW w:w="3880" w:type="dxa"/>
            <w:vAlign w:val="bottom"/>
          </w:tcPr>
          <w:p>
            <w:pPr>
              <w:ind w:left="20"/>
              <w:spacing w:after="0"/>
              <w:rPr>
                <w:sz w:val="20"/>
                <w:szCs w:val="20"/>
                <w:color w:val="auto"/>
              </w:rPr>
            </w:pPr>
            <w:r>
              <w:rPr>
                <w:rFonts w:ascii="Arial" w:cs="Arial" w:eastAsia="Arial" w:hAnsi="Arial"/>
                <w:sz w:val="14"/>
                <w:szCs w:val="14"/>
                <w:color w:val="auto"/>
              </w:rPr>
              <w:t>30-89 days past due</w:t>
            </w:r>
          </w:p>
        </w:tc>
        <w:tc>
          <w:tcPr>
            <w:tcW w:w="7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Over 90 days past due</w:t>
            </w:r>
          </w:p>
        </w:tc>
        <w:tc>
          <w:tcPr>
            <w:tcW w:w="72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2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80"/>
        </w:trPr>
        <w:tc>
          <w:tcPr>
            <w:tcW w:w="3880" w:type="dxa"/>
            <w:vAlign w:val="bottom"/>
          </w:tcPr>
          <w:p>
            <w:pPr>
              <w:ind w:left="20"/>
              <w:spacing w:after="0"/>
              <w:rPr>
                <w:sz w:val="20"/>
                <w:szCs w:val="20"/>
                <w:color w:val="auto"/>
              </w:rPr>
            </w:pPr>
            <w:r>
              <w:rPr>
                <w:rFonts w:ascii="Arial" w:cs="Arial" w:eastAsia="Arial" w:hAnsi="Arial"/>
                <w:sz w:val="14"/>
                <w:szCs w:val="14"/>
                <w:color w:val="auto"/>
              </w:rPr>
              <w:t>Total commercial mortgages</w:t>
            </w:r>
          </w:p>
        </w:tc>
        <w:tc>
          <w:tcPr>
            <w:tcW w:w="720" w:type="dxa"/>
            <w:vAlign w:val="bottom"/>
            <w:tcBorders>
              <w:bottom w:val="single" w:sz="8" w:color="auto"/>
            </w:tcBorders>
          </w:tcPr>
          <w:p>
            <w:pPr>
              <w:jc w:val="right"/>
              <w:ind w:right="570"/>
              <w:spacing w:after="0"/>
              <w:rPr>
                <w:sz w:val="20"/>
                <w:szCs w:val="20"/>
                <w:color w:val="auto"/>
              </w:rPr>
            </w:pPr>
            <w:r>
              <w:rPr>
                <w:rFonts w:ascii="Arial" w:cs="Arial" w:eastAsia="Arial" w:hAnsi="Arial"/>
                <w:sz w:val="14"/>
                <w:szCs w:val="14"/>
                <w:color w:val="auto"/>
                <w:w w:val="76"/>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1,301</w:t>
            </w:r>
          </w:p>
        </w:tc>
        <w:tc>
          <w:tcPr>
            <w:tcW w:w="26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59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59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282</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2,321</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8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40" w:type="dxa"/>
            <w:vAlign w:val="bottom"/>
            <w:gridSpan w:val="3"/>
          </w:tcPr>
          <w:p>
            <w:pPr>
              <w:jc w:val="center"/>
              <w:ind w:right="110"/>
              <w:spacing w:after="0"/>
              <w:rPr>
                <w:sz w:val="20"/>
                <w:szCs w:val="20"/>
                <w:color w:val="auto"/>
              </w:rPr>
            </w:pPr>
            <w:r>
              <w:rPr>
                <w:rFonts w:ascii="Arial" w:cs="Arial" w:eastAsia="Arial" w:hAnsi="Arial"/>
                <w:sz w:val="14"/>
                <w:szCs w:val="14"/>
                <w:b w:val="1"/>
                <w:bCs w:val="1"/>
                <w:color w:val="auto"/>
                <w:w w:val="88"/>
              </w:rPr>
              <w:t>December 31, 2021</w:t>
            </w: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88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5"/>
          </w:tcPr>
          <w:p>
            <w:pPr>
              <w:jc w:val="center"/>
              <w:ind w:right="170"/>
              <w:spacing w:after="0"/>
              <w:rPr>
                <w:sz w:val="20"/>
                <w:szCs w:val="20"/>
                <w:color w:val="auto"/>
              </w:rPr>
            </w:pPr>
            <w:r>
              <w:rPr>
                <w:rFonts w:ascii="Arial" w:cs="Arial" w:eastAsia="Arial" w:hAnsi="Arial"/>
                <w:sz w:val="14"/>
                <w:szCs w:val="14"/>
                <w:b w:val="1"/>
                <w:bCs w:val="1"/>
                <w:color w:val="auto"/>
                <w:w w:val="92"/>
              </w:rPr>
              <w:t>Amortized Cost by Origination Year</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88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30"/>
              <w:spacing w:after="0"/>
              <w:rPr>
                <w:sz w:val="20"/>
                <w:szCs w:val="20"/>
                <w:color w:val="auto"/>
              </w:rPr>
            </w:pPr>
            <w:r>
              <w:rPr>
                <w:rFonts w:ascii="Arial" w:cs="Arial" w:eastAsia="Arial" w:hAnsi="Arial"/>
                <w:sz w:val="14"/>
                <w:szCs w:val="14"/>
                <w:b w:val="1"/>
                <w:bCs w:val="1"/>
                <w:color w:val="auto"/>
                <w:w w:val="89"/>
              </w:rPr>
              <w:t>2018</w:t>
            </w: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b w:val="1"/>
                <w:bCs w:val="1"/>
                <w:color w:val="auto"/>
              </w:rPr>
              <w:t>Prior</w:t>
            </w: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5"/>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Residential mortgages</w:t>
            </w:r>
          </w:p>
        </w:tc>
        <w:tc>
          <w:tcPr>
            <w:tcW w:w="6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880" w:type="dxa"/>
            <w:vAlign w:val="bottom"/>
          </w:tcPr>
          <w:p>
            <w:pPr>
              <w:ind w:left="20"/>
              <w:spacing w:after="0"/>
              <w:rPr>
                <w:sz w:val="20"/>
                <w:szCs w:val="20"/>
                <w:color w:val="auto"/>
              </w:rPr>
            </w:pPr>
            <w:r>
              <w:rPr>
                <w:rFonts w:ascii="Arial" w:cs="Arial" w:eastAsia="Arial" w:hAnsi="Arial"/>
                <w:sz w:val="14"/>
                <w:szCs w:val="14"/>
                <w:color w:val="auto"/>
              </w:rPr>
              <w:t>Current (less than 30 days past due)</w:t>
            </w:r>
          </w:p>
        </w:tc>
        <w:tc>
          <w:tcPr>
            <w:tcW w:w="660" w:type="dxa"/>
            <w:vAlign w:val="bottom"/>
          </w:tcPr>
          <w:p>
            <w:pPr>
              <w:jc w:val="right"/>
              <w:ind w:right="510"/>
              <w:spacing w:after="0"/>
              <w:rPr>
                <w:sz w:val="20"/>
                <w:szCs w:val="20"/>
                <w:color w:val="auto"/>
              </w:rPr>
            </w:pPr>
            <w:r>
              <w:rPr>
                <w:rFonts w:ascii="Arial" w:cs="Arial" w:eastAsia="Arial" w:hAnsi="Arial"/>
                <w:sz w:val="14"/>
                <w:szCs w:val="14"/>
                <w:color w:val="auto"/>
                <w:w w:val="76"/>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795</w:t>
            </w:r>
          </w:p>
        </w:tc>
        <w:tc>
          <w:tcPr>
            <w:tcW w:w="26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293</w:t>
            </w:r>
          </w:p>
        </w:tc>
        <w:tc>
          <w:tcPr>
            <w:tcW w:w="2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323</w:t>
            </w:r>
          </w:p>
        </w:tc>
        <w:tc>
          <w:tcPr>
            <w:tcW w:w="28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50</w:t>
            </w:r>
          </w:p>
        </w:tc>
        <w:tc>
          <w:tcPr>
            <w:tcW w:w="26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36</w:t>
            </w:r>
          </w:p>
        </w:tc>
        <w:tc>
          <w:tcPr>
            <w:tcW w:w="24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21</w:t>
            </w:r>
          </w:p>
        </w:tc>
        <w:tc>
          <w:tcPr>
            <w:tcW w:w="26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1,518</w:t>
            </w:r>
          </w:p>
        </w:tc>
        <w:tc>
          <w:tcPr>
            <w:tcW w:w="0" w:type="dxa"/>
            <w:vAlign w:val="bottom"/>
          </w:tcPr>
          <w:p>
            <w:pPr>
              <w:spacing w:after="0"/>
              <w:rPr>
                <w:sz w:val="1"/>
                <w:szCs w:val="1"/>
                <w:color w:val="auto"/>
              </w:rPr>
            </w:pPr>
          </w:p>
        </w:tc>
      </w:tr>
      <w:tr>
        <w:trPr>
          <w:trHeight w:val="187"/>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30-89 days past due</w:t>
            </w:r>
          </w:p>
        </w:tc>
        <w:tc>
          <w:tcPr>
            <w:tcW w:w="66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82"/>
        </w:trPr>
        <w:tc>
          <w:tcPr>
            <w:tcW w:w="38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Over 90 days past due</w:t>
            </w:r>
          </w:p>
        </w:tc>
        <w:tc>
          <w:tcPr>
            <w:tcW w:w="6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2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2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205"/>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residential mortgages</w:t>
            </w:r>
          </w:p>
        </w:tc>
        <w:tc>
          <w:tcPr>
            <w:tcW w:w="66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4"/>
                <w:szCs w:val="14"/>
                <w:color w:val="auto"/>
                <w:w w:val="76"/>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801</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320</w:t>
            </w:r>
          </w:p>
        </w:tc>
        <w:tc>
          <w:tcPr>
            <w:tcW w:w="2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375</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2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1,606</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Commercial mortgages</w:t>
            </w: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388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(less than 30 days past due)</w:t>
            </w:r>
          </w:p>
        </w:tc>
        <w:tc>
          <w:tcPr>
            <w:tcW w:w="660" w:type="dxa"/>
            <w:vAlign w:val="bottom"/>
            <w:shd w:val="clear" w:color="auto" w:fill="CCEEFF"/>
          </w:tcPr>
          <w:p>
            <w:pPr>
              <w:jc w:val="right"/>
              <w:ind w:right="510"/>
              <w:spacing w:after="0"/>
              <w:rPr>
                <w:sz w:val="20"/>
                <w:szCs w:val="20"/>
                <w:color w:val="auto"/>
              </w:rPr>
            </w:pPr>
            <w:r>
              <w:rPr>
                <w:rFonts w:ascii="Arial" w:cs="Arial" w:eastAsia="Arial" w:hAnsi="Arial"/>
                <w:sz w:val="14"/>
                <w:szCs w:val="14"/>
                <w:color w:val="auto"/>
                <w:w w:val="76"/>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1,301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w:t>
            </w:r>
          </w:p>
        </w:tc>
        <w:tc>
          <w:tcPr>
            <w:tcW w:w="2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2,174</w:t>
            </w:r>
          </w:p>
        </w:tc>
        <w:tc>
          <w:tcPr>
            <w:tcW w:w="0" w:type="dxa"/>
            <w:vAlign w:val="bottom"/>
          </w:tcPr>
          <w:p>
            <w:pPr>
              <w:spacing w:after="0"/>
              <w:rPr>
                <w:sz w:val="1"/>
                <w:szCs w:val="1"/>
                <w:color w:val="auto"/>
              </w:rPr>
            </w:pPr>
          </w:p>
        </w:tc>
      </w:tr>
      <w:tr>
        <w:trPr>
          <w:trHeight w:val="182"/>
        </w:trPr>
        <w:tc>
          <w:tcPr>
            <w:tcW w:w="3880" w:type="dxa"/>
            <w:vAlign w:val="bottom"/>
          </w:tcPr>
          <w:p>
            <w:pPr>
              <w:ind w:left="20"/>
              <w:spacing w:after="0"/>
              <w:rPr>
                <w:sz w:val="20"/>
                <w:szCs w:val="20"/>
                <w:color w:val="auto"/>
              </w:rPr>
            </w:pPr>
            <w:r>
              <w:rPr>
                <w:rFonts w:ascii="Arial" w:cs="Arial" w:eastAsia="Arial" w:hAnsi="Arial"/>
                <w:sz w:val="14"/>
                <w:szCs w:val="14"/>
                <w:color w:val="auto"/>
              </w:rPr>
              <w:t>30-89 days past due</w:t>
            </w:r>
          </w:p>
        </w:tc>
        <w:tc>
          <w:tcPr>
            <w:tcW w:w="6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Over 90 days past due</w:t>
            </w:r>
          </w:p>
        </w:tc>
        <w:tc>
          <w:tcPr>
            <w:tcW w:w="66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880" w:type="dxa"/>
            <w:vAlign w:val="bottom"/>
          </w:tcPr>
          <w:p>
            <w:pPr>
              <w:ind w:left="20"/>
              <w:spacing w:after="0"/>
              <w:rPr>
                <w:sz w:val="20"/>
                <w:szCs w:val="20"/>
                <w:color w:val="auto"/>
              </w:rPr>
            </w:pPr>
            <w:r>
              <w:rPr>
                <w:rFonts w:ascii="Arial" w:cs="Arial" w:eastAsia="Arial" w:hAnsi="Arial"/>
                <w:sz w:val="14"/>
                <w:szCs w:val="14"/>
                <w:color w:val="auto"/>
              </w:rPr>
              <w:t>Total commercial mortgage</w:t>
            </w:r>
          </w:p>
        </w:tc>
        <w:tc>
          <w:tcPr>
            <w:tcW w:w="66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color w:val="auto"/>
                <w:w w:val="76"/>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5"/>
              </w:rPr>
              <w:t>1,301</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543</w:t>
            </w:r>
          </w:p>
        </w:tc>
        <w:tc>
          <w:tcPr>
            <w:tcW w:w="26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324</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2,174</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8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10"/>
              <w:spacing w:after="0"/>
              <w:rPr>
                <w:sz w:val="20"/>
                <w:szCs w:val="20"/>
                <w:color w:val="auto"/>
              </w:rPr>
            </w:pPr>
            <w:r>
              <w:rPr>
                <w:rFonts w:ascii="Arial" w:cs="Arial" w:eastAsia="Arial" w:hAnsi="Arial"/>
                <w:sz w:val="14"/>
                <w:szCs w:val="14"/>
                <w:b w:val="1"/>
                <w:bCs w:val="1"/>
                <w:color w:val="auto"/>
                <w:w w:val="87"/>
              </w:rPr>
              <w:t>June 30, 2022</w:t>
            </w: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88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Amortized Cost by Origination Year</w:t>
            </w: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88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0"/>
              <w:spacing w:after="0"/>
              <w:rPr>
                <w:sz w:val="20"/>
                <w:szCs w:val="20"/>
                <w:color w:val="auto"/>
              </w:rPr>
            </w:pPr>
            <w:r>
              <w:rPr>
                <w:rFonts w:ascii="Arial" w:cs="Arial" w:eastAsia="Arial" w:hAnsi="Arial"/>
                <w:sz w:val="14"/>
                <w:szCs w:val="14"/>
                <w:b w:val="1"/>
                <w:bCs w:val="1"/>
                <w:color w:val="auto"/>
                <w:w w:val="89"/>
              </w:rPr>
              <w:t>2019</w:t>
            </w: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Prior</w:t>
            </w:r>
          </w:p>
        </w:tc>
        <w:tc>
          <w:tcPr>
            <w:tcW w:w="2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5"/>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Commercial mortgages</w:t>
            </w:r>
          </w:p>
        </w:tc>
        <w:tc>
          <w:tcPr>
            <w:tcW w:w="7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880" w:type="dxa"/>
            <w:vAlign w:val="bottom"/>
          </w:tcPr>
          <w:p>
            <w:pPr>
              <w:ind w:left="20"/>
              <w:spacing w:after="0"/>
              <w:rPr>
                <w:sz w:val="20"/>
                <w:szCs w:val="20"/>
                <w:color w:val="auto"/>
              </w:rPr>
            </w:pPr>
            <w:r>
              <w:rPr>
                <w:rFonts w:ascii="Arial" w:cs="Arial" w:eastAsia="Arial" w:hAnsi="Arial"/>
                <w:sz w:val="14"/>
                <w:szCs w:val="14"/>
                <w:color w:val="auto"/>
              </w:rPr>
              <w:t>LTV</w:t>
            </w: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than 50%</w:t>
            </w:r>
          </w:p>
        </w:tc>
        <w:tc>
          <w:tcPr>
            <w:tcW w:w="720" w:type="dxa"/>
            <w:vAlign w:val="bottom"/>
            <w:shd w:val="clear" w:color="auto" w:fill="CCEEFF"/>
          </w:tcPr>
          <w:p>
            <w:pPr>
              <w:jc w:val="right"/>
              <w:ind w:right="570"/>
              <w:spacing w:after="0"/>
              <w:rPr>
                <w:sz w:val="20"/>
                <w:szCs w:val="20"/>
                <w:color w:val="auto"/>
              </w:rPr>
            </w:pPr>
            <w:r>
              <w:rPr>
                <w:rFonts w:ascii="Arial" w:cs="Arial" w:eastAsia="Arial" w:hAnsi="Arial"/>
                <w:sz w:val="14"/>
                <w:szCs w:val="14"/>
                <w:color w:val="auto"/>
                <w:w w:val="76"/>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2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0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 $</w:t>
            </w:r>
          </w:p>
        </w:tc>
        <w:tc>
          <w:tcPr>
            <w:tcW w:w="10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 $</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123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w:t>
            </w:r>
          </w:p>
        </w:tc>
        <w:tc>
          <w:tcPr>
            <w:tcW w:w="0" w:type="dxa"/>
            <w:vAlign w:val="bottom"/>
          </w:tcPr>
          <w:p>
            <w:pPr>
              <w:spacing w:after="0"/>
              <w:rPr>
                <w:sz w:val="1"/>
                <w:szCs w:val="1"/>
                <w:color w:val="auto"/>
              </w:rPr>
            </w:pPr>
          </w:p>
        </w:tc>
      </w:tr>
      <w:tr>
        <w:trPr>
          <w:trHeight w:val="182"/>
        </w:trPr>
        <w:tc>
          <w:tcPr>
            <w:tcW w:w="3880" w:type="dxa"/>
            <w:vAlign w:val="bottom"/>
          </w:tcPr>
          <w:p>
            <w:pPr>
              <w:ind w:left="20"/>
              <w:spacing w:after="0"/>
              <w:rPr>
                <w:sz w:val="20"/>
                <w:szCs w:val="20"/>
                <w:color w:val="auto"/>
              </w:rPr>
            </w:pPr>
            <w:r>
              <w:rPr>
                <w:rFonts w:ascii="Arial" w:cs="Arial" w:eastAsia="Arial" w:hAnsi="Arial"/>
                <w:sz w:val="14"/>
                <w:szCs w:val="14"/>
                <w:color w:val="auto"/>
              </w:rPr>
              <w:t>50% to 60%</w:t>
            </w:r>
          </w:p>
        </w:tc>
        <w:tc>
          <w:tcPr>
            <w:tcW w:w="7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105</w:t>
            </w: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292</w:t>
            </w: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234</w:t>
            </w:r>
          </w:p>
        </w:tc>
        <w:tc>
          <w:tcPr>
            <w:tcW w:w="120" w:type="dxa"/>
            <w:vAlign w:val="bottom"/>
          </w:tcPr>
          <w:p>
            <w:pPr>
              <w:spacing w:after="0"/>
              <w:rPr>
                <w:sz w:val="15"/>
                <w:szCs w:val="15"/>
                <w:color w:val="auto"/>
              </w:rPr>
            </w:pPr>
          </w:p>
        </w:tc>
        <w:tc>
          <w:tcPr>
            <w:tcW w:w="920" w:type="dxa"/>
            <w:vAlign w:val="bottom"/>
          </w:tcPr>
          <w:p>
            <w:pPr>
              <w:ind w:left="74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5"/>
                <w:szCs w:val="15"/>
                <w:color w:val="auto"/>
              </w:rPr>
            </w:pPr>
          </w:p>
        </w:tc>
        <w:tc>
          <w:tcPr>
            <w:tcW w:w="280" w:type="dxa"/>
            <w:vAlign w:val="bottom"/>
          </w:tcPr>
          <w:p>
            <w:pPr>
              <w:ind w:left="10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w w:val="94"/>
              </w:rPr>
              <w:t>140</w:t>
            </w: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771</w:t>
            </w:r>
          </w:p>
        </w:tc>
        <w:tc>
          <w:tcPr>
            <w:tcW w:w="0" w:type="dxa"/>
            <w:vAlign w:val="bottom"/>
          </w:tcPr>
          <w:p>
            <w:pPr>
              <w:spacing w:after="0"/>
              <w:rPr>
                <w:sz w:val="1"/>
                <w:szCs w:val="1"/>
                <w:color w:val="auto"/>
              </w:rPr>
            </w:pPr>
          </w:p>
        </w:tc>
      </w:tr>
      <w:tr>
        <w:trPr>
          <w:trHeight w:val="187"/>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60% to 75%</w:t>
            </w:r>
          </w:p>
        </w:tc>
        <w:tc>
          <w:tcPr>
            <w:tcW w:w="72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888</w:t>
            </w: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spacing w:after="0"/>
              <w:rPr>
                <w:sz w:val="16"/>
                <w:szCs w:val="16"/>
                <w:color w:val="auto"/>
              </w:rPr>
            </w:pPr>
          </w:p>
        </w:tc>
        <w:tc>
          <w:tcPr>
            <w:tcW w:w="2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1,130</w:t>
            </w:r>
          </w:p>
        </w:tc>
        <w:tc>
          <w:tcPr>
            <w:tcW w:w="0" w:type="dxa"/>
            <w:vAlign w:val="bottom"/>
          </w:tcPr>
          <w:p>
            <w:pPr>
              <w:spacing w:after="0"/>
              <w:rPr>
                <w:sz w:val="1"/>
                <w:szCs w:val="1"/>
                <w:color w:val="auto"/>
              </w:rPr>
            </w:pPr>
          </w:p>
        </w:tc>
      </w:tr>
      <w:tr>
        <w:trPr>
          <w:trHeight w:val="182"/>
        </w:trPr>
        <w:tc>
          <w:tcPr>
            <w:tcW w:w="38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75% to 85%</w:t>
            </w:r>
          </w:p>
        </w:tc>
        <w:tc>
          <w:tcPr>
            <w:tcW w:w="7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ind w:left="74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05"/>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commercial mortgages</w:t>
            </w:r>
          </w:p>
        </w:tc>
        <w:tc>
          <w:tcPr>
            <w:tcW w:w="72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4"/>
                <w:szCs w:val="14"/>
                <w:color w:val="auto"/>
                <w:w w:val="76"/>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1,301</w:t>
            </w:r>
          </w:p>
        </w:tc>
        <w:tc>
          <w:tcPr>
            <w:tcW w:w="2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282</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2,321</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Commercial mortgages</w:t>
            </w: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388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DSCR</w:t>
            </w:r>
          </w:p>
        </w:tc>
        <w:tc>
          <w:tcPr>
            <w:tcW w:w="7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880" w:type="dxa"/>
            <w:vAlign w:val="bottom"/>
          </w:tcPr>
          <w:p>
            <w:pPr>
              <w:ind w:left="20"/>
              <w:spacing w:after="0"/>
              <w:rPr>
                <w:sz w:val="20"/>
                <w:szCs w:val="20"/>
                <w:color w:val="auto"/>
              </w:rPr>
            </w:pPr>
            <w:r>
              <w:rPr>
                <w:rFonts w:ascii="Arial" w:cs="Arial" w:eastAsia="Arial" w:hAnsi="Arial"/>
                <w:sz w:val="14"/>
                <w:szCs w:val="14"/>
                <w:color w:val="auto"/>
              </w:rPr>
              <w:t>Greater than 1.25x</w:t>
            </w:r>
          </w:p>
        </w:tc>
        <w:tc>
          <w:tcPr>
            <w:tcW w:w="720" w:type="dxa"/>
            <w:vAlign w:val="bottom"/>
          </w:tcPr>
          <w:p>
            <w:pPr>
              <w:jc w:val="right"/>
              <w:ind w:right="570"/>
              <w:spacing w:after="0"/>
              <w:rPr>
                <w:sz w:val="20"/>
                <w:szCs w:val="20"/>
                <w:color w:val="auto"/>
              </w:rPr>
            </w:pPr>
            <w:r>
              <w:rPr>
                <w:rFonts w:ascii="Arial" w:cs="Arial" w:eastAsia="Arial" w:hAnsi="Arial"/>
                <w:sz w:val="14"/>
                <w:szCs w:val="14"/>
                <w:color w:val="auto"/>
                <w:w w:val="76"/>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229</w:t>
            </w:r>
          </w:p>
        </w:tc>
        <w:tc>
          <w:tcPr>
            <w:tcW w:w="26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1,301</w:t>
            </w:r>
          </w:p>
        </w:tc>
        <w:tc>
          <w:tcPr>
            <w:tcW w:w="2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509</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ind w:left="74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590"/>
              <w:spacing w:after="0"/>
              <w:rPr>
                <w:sz w:val="20"/>
                <w:szCs w:val="20"/>
                <w:color w:val="auto"/>
              </w:rPr>
            </w:pPr>
            <w:r>
              <w:rPr>
                <w:rFonts w:ascii="Arial" w:cs="Arial" w:eastAsia="Arial" w:hAnsi="Arial"/>
                <w:sz w:val="14"/>
                <w:szCs w:val="14"/>
                <w:color w:val="auto"/>
              </w:rPr>
              <w:t>$</w:t>
            </w:r>
          </w:p>
        </w:tc>
        <w:tc>
          <w:tcPr>
            <w:tcW w:w="280" w:type="dxa"/>
            <w:vAlign w:val="bottom"/>
          </w:tcPr>
          <w:p>
            <w:pPr>
              <w:ind w:left="10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90"/>
              <w:spacing w:after="0"/>
              <w:rPr>
                <w:sz w:val="20"/>
                <w:szCs w:val="20"/>
                <w:color w:val="auto"/>
              </w:rPr>
            </w:pPr>
            <w:r>
              <w:rPr>
                <w:rFonts w:ascii="Arial" w:cs="Arial" w:eastAsia="Arial" w:hAnsi="Arial"/>
                <w:sz w:val="14"/>
                <w:szCs w:val="14"/>
                <w:color w:val="auto"/>
              </w:rPr>
              <w:t>$</w:t>
            </w:r>
          </w:p>
        </w:tc>
        <w:tc>
          <w:tcPr>
            <w:tcW w:w="280" w:type="dxa"/>
            <w:vAlign w:val="bottom"/>
          </w:tcPr>
          <w:p>
            <w:pPr>
              <w:jc w:val="right"/>
              <w:spacing w:after="0"/>
              <w:rPr>
                <w:sz w:val="20"/>
                <w:szCs w:val="20"/>
                <w:color w:val="auto"/>
              </w:rPr>
            </w:pPr>
            <w:r>
              <w:rPr>
                <w:rFonts w:ascii="Arial" w:cs="Arial" w:eastAsia="Arial" w:hAnsi="Arial"/>
                <w:sz w:val="14"/>
                <w:szCs w:val="14"/>
                <w:color w:val="auto"/>
                <w:w w:val="94"/>
              </w:rPr>
              <w:t>260</w:t>
            </w:r>
          </w:p>
        </w:tc>
        <w:tc>
          <w:tcPr>
            <w:tcW w:w="26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2,299</w:t>
            </w:r>
          </w:p>
        </w:tc>
        <w:tc>
          <w:tcPr>
            <w:tcW w:w="0" w:type="dxa"/>
            <w:vAlign w:val="bottom"/>
          </w:tcPr>
          <w:p>
            <w:pPr>
              <w:spacing w:after="0"/>
              <w:rPr>
                <w:sz w:val="1"/>
                <w:szCs w:val="1"/>
                <w:color w:val="auto"/>
              </w:rPr>
            </w:pPr>
          </w:p>
        </w:tc>
      </w:tr>
      <w:tr>
        <w:trPr>
          <w:trHeight w:val="187"/>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1.00x - 1.25x</w:t>
            </w:r>
          </w:p>
        </w:tc>
        <w:tc>
          <w:tcPr>
            <w:tcW w:w="72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spacing w:after="0"/>
              <w:rPr>
                <w:sz w:val="16"/>
                <w:szCs w:val="16"/>
                <w:color w:val="auto"/>
              </w:rPr>
            </w:pPr>
          </w:p>
        </w:tc>
        <w:tc>
          <w:tcPr>
            <w:tcW w:w="2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82"/>
        </w:trPr>
        <w:tc>
          <w:tcPr>
            <w:tcW w:w="38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than 1.00x</w:t>
            </w:r>
          </w:p>
        </w:tc>
        <w:tc>
          <w:tcPr>
            <w:tcW w:w="7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ind w:left="74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05"/>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commercial mortgages</w:t>
            </w:r>
          </w:p>
        </w:tc>
        <w:tc>
          <w:tcPr>
            <w:tcW w:w="72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4"/>
                <w:szCs w:val="14"/>
                <w:color w:val="auto"/>
                <w:w w:val="76"/>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1,301</w:t>
            </w:r>
          </w:p>
        </w:tc>
        <w:tc>
          <w:tcPr>
            <w:tcW w:w="2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282</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2,321</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8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60" w:type="dxa"/>
            <w:vAlign w:val="bottom"/>
            <w:gridSpan w:val="3"/>
          </w:tcPr>
          <w:p>
            <w:pPr>
              <w:jc w:val="center"/>
              <w:ind w:right="630"/>
              <w:spacing w:after="0"/>
              <w:rPr>
                <w:sz w:val="20"/>
                <w:szCs w:val="20"/>
                <w:color w:val="auto"/>
              </w:rPr>
            </w:pPr>
            <w:r>
              <w:rPr>
                <w:rFonts w:ascii="Arial" w:cs="Arial" w:eastAsia="Arial" w:hAnsi="Arial"/>
                <w:sz w:val="14"/>
                <w:szCs w:val="14"/>
                <w:b w:val="1"/>
                <w:bCs w:val="1"/>
                <w:color w:val="auto"/>
                <w:w w:val="88"/>
              </w:rPr>
              <w:t>December 31, 2021</w:t>
            </w: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90"/>
        </w:trPr>
        <w:tc>
          <w:tcPr>
            <w:tcW w:w="388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Amortized Cost by Origination Year</w:t>
            </w: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182"/>
        </w:trPr>
        <w:tc>
          <w:tcPr>
            <w:tcW w:w="388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2019</w:t>
            </w:r>
          </w:p>
        </w:tc>
        <w:tc>
          <w:tcPr>
            <w:tcW w:w="820" w:type="dxa"/>
            <w:vAlign w:val="bottom"/>
            <w:tcBorders>
              <w:bottom w:val="single" w:sz="8" w:color="auto"/>
            </w:tcBorders>
          </w:tcPr>
          <w:p>
            <w:pPr>
              <w:jc w:val="center"/>
              <w:ind w:left="270"/>
              <w:spacing w:after="0"/>
              <w:rPr>
                <w:sz w:val="20"/>
                <w:szCs w:val="20"/>
                <w:color w:val="auto"/>
              </w:rPr>
            </w:pPr>
            <w:r>
              <w:rPr>
                <w:rFonts w:ascii="Arial" w:cs="Arial" w:eastAsia="Arial" w:hAnsi="Arial"/>
                <w:sz w:val="14"/>
                <w:szCs w:val="14"/>
                <w:b w:val="1"/>
                <w:bCs w:val="1"/>
                <w:color w:val="auto"/>
                <w:w w:val="89"/>
              </w:rPr>
              <w:t>2018</w:t>
            </w: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Prior</w:t>
            </w:r>
          </w:p>
        </w:tc>
        <w:tc>
          <w:tcPr>
            <w:tcW w:w="2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4"/>
                <w:szCs w:val="14"/>
                <w:b w:val="1"/>
                <w:bCs w:val="1"/>
                <w:color w:val="auto"/>
              </w:rPr>
              <w:t>Total</w:t>
            </w:r>
          </w:p>
        </w:tc>
      </w:tr>
      <w:tr>
        <w:trPr>
          <w:trHeight w:val="165"/>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Commercial mortgages</w:t>
            </w:r>
          </w:p>
        </w:tc>
        <w:tc>
          <w:tcPr>
            <w:tcW w:w="6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82"/>
        </w:trPr>
        <w:tc>
          <w:tcPr>
            <w:tcW w:w="3880" w:type="dxa"/>
            <w:vAlign w:val="bottom"/>
          </w:tcPr>
          <w:p>
            <w:pPr>
              <w:ind w:left="20"/>
              <w:spacing w:after="0"/>
              <w:rPr>
                <w:sz w:val="20"/>
                <w:szCs w:val="20"/>
                <w:color w:val="auto"/>
              </w:rPr>
            </w:pPr>
            <w:r>
              <w:rPr>
                <w:rFonts w:ascii="Arial" w:cs="Arial" w:eastAsia="Arial" w:hAnsi="Arial"/>
                <w:sz w:val="14"/>
                <w:szCs w:val="14"/>
                <w:color w:val="auto"/>
              </w:rPr>
              <w:t>LTV</w:t>
            </w: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7"/>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than 50%</w:t>
            </w:r>
          </w:p>
        </w:tc>
        <w:tc>
          <w:tcPr>
            <w:tcW w:w="660" w:type="dxa"/>
            <w:vAlign w:val="bottom"/>
            <w:shd w:val="clear" w:color="auto" w:fill="CCEEFF"/>
          </w:tcPr>
          <w:p>
            <w:pPr>
              <w:jc w:val="right"/>
              <w:ind w:right="510"/>
              <w:spacing w:after="0"/>
              <w:rPr>
                <w:sz w:val="20"/>
                <w:szCs w:val="20"/>
                <w:color w:val="auto"/>
              </w:rPr>
            </w:pPr>
            <w:r>
              <w:rPr>
                <w:rFonts w:ascii="Arial" w:cs="Arial" w:eastAsia="Arial" w:hAnsi="Arial"/>
                <w:sz w:val="14"/>
                <w:szCs w:val="14"/>
                <w:color w:val="auto"/>
                <w:w w:val="76"/>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w:t>
            </w:r>
          </w:p>
        </w:tc>
        <w:tc>
          <w:tcPr>
            <w:tcW w:w="2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 $</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780" w:type="dxa"/>
            <w:vAlign w:val="bottom"/>
            <w:shd w:val="clear" w:color="auto" w:fill="CCEEFF"/>
          </w:tcPr>
          <w:p>
            <w:pPr>
              <w:jc w:val="right"/>
              <w:ind w:right="59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 $</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313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668</w:t>
            </w:r>
          </w:p>
        </w:tc>
      </w:tr>
      <w:tr>
        <w:trPr>
          <w:trHeight w:val="182"/>
        </w:trPr>
        <w:tc>
          <w:tcPr>
            <w:tcW w:w="3880" w:type="dxa"/>
            <w:vAlign w:val="bottom"/>
          </w:tcPr>
          <w:p>
            <w:pPr>
              <w:ind w:left="20"/>
              <w:spacing w:after="0"/>
              <w:rPr>
                <w:sz w:val="20"/>
                <w:szCs w:val="20"/>
                <w:color w:val="auto"/>
              </w:rPr>
            </w:pPr>
            <w:r>
              <w:rPr>
                <w:rFonts w:ascii="Arial" w:cs="Arial" w:eastAsia="Arial" w:hAnsi="Arial"/>
                <w:sz w:val="14"/>
                <w:szCs w:val="14"/>
                <w:color w:val="auto"/>
              </w:rPr>
              <w:t>50% to 60%</w:t>
            </w:r>
          </w:p>
        </w:tc>
        <w:tc>
          <w:tcPr>
            <w:tcW w:w="6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267</w:t>
            </w: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192</w:t>
            </w:r>
          </w:p>
        </w:tc>
        <w:tc>
          <w:tcPr>
            <w:tcW w:w="260" w:type="dxa"/>
            <w:vAlign w:val="bottom"/>
          </w:tcPr>
          <w:p>
            <w:pPr>
              <w:spacing w:after="0"/>
              <w:rPr>
                <w:sz w:val="15"/>
                <w:szCs w:val="15"/>
                <w:color w:val="auto"/>
              </w:rPr>
            </w:pPr>
          </w:p>
        </w:tc>
        <w:tc>
          <w:tcPr>
            <w:tcW w:w="760" w:type="dxa"/>
            <w:vAlign w:val="bottom"/>
          </w:tcPr>
          <w:p>
            <w:pPr>
              <w:ind w:left="620"/>
              <w:spacing w:after="0"/>
              <w:rPr>
                <w:sz w:val="20"/>
                <w:szCs w:val="20"/>
                <w:color w:val="auto"/>
              </w:rPr>
            </w:pPr>
            <w:r>
              <w:rPr>
                <w:rFonts w:ascii="Arial" w:cs="Arial" w:eastAsia="Arial" w:hAnsi="Arial"/>
                <w:sz w:val="14"/>
                <w:szCs w:val="14"/>
                <w:color w:val="auto"/>
                <w:w w:val="85"/>
              </w:rPr>
              <w:t>—</w:t>
            </w:r>
          </w:p>
        </w:tc>
        <w:tc>
          <w:tcPr>
            <w:tcW w:w="82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5"/>
                <w:szCs w:val="15"/>
                <w:color w:val="auto"/>
              </w:rPr>
            </w:pPr>
          </w:p>
        </w:tc>
        <w:tc>
          <w:tcPr>
            <w:tcW w:w="280" w:type="dxa"/>
            <w:vAlign w:val="bottom"/>
          </w:tcPr>
          <w:p>
            <w:pPr>
              <w:ind w:left="10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11</w:t>
            </w: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470</w:t>
            </w:r>
          </w:p>
        </w:tc>
      </w:tr>
      <w:tr>
        <w:trPr>
          <w:trHeight w:val="184"/>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60% to 75%</w:t>
            </w:r>
          </w:p>
        </w:tc>
        <w:tc>
          <w:tcPr>
            <w:tcW w:w="66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914</w:t>
            </w:r>
          </w:p>
        </w:tc>
        <w:tc>
          <w:tcPr>
            <w:tcW w:w="2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2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4"/>
                <w:szCs w:val="14"/>
                <w:color w:val="auto"/>
                <w:w w:val="85"/>
              </w:rPr>
              <w:t>—</w:t>
            </w:r>
          </w:p>
        </w:tc>
        <w:tc>
          <w:tcPr>
            <w:tcW w:w="82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1,036</w:t>
            </w:r>
          </w:p>
        </w:tc>
      </w:tr>
      <w:tr>
        <w:trPr>
          <w:trHeight w:val="180"/>
        </w:trPr>
        <w:tc>
          <w:tcPr>
            <w:tcW w:w="3880" w:type="dxa"/>
            <w:vAlign w:val="bottom"/>
          </w:tcPr>
          <w:p>
            <w:pPr>
              <w:ind w:left="20"/>
              <w:spacing w:after="0"/>
              <w:rPr>
                <w:sz w:val="20"/>
                <w:szCs w:val="20"/>
                <w:color w:val="auto"/>
              </w:rPr>
            </w:pPr>
            <w:r>
              <w:rPr>
                <w:rFonts w:ascii="Arial" w:cs="Arial" w:eastAsia="Arial" w:hAnsi="Arial"/>
                <w:sz w:val="14"/>
                <w:szCs w:val="14"/>
                <w:color w:val="auto"/>
              </w:rPr>
              <w:t>Total commercial mortgages</w:t>
            </w:r>
          </w:p>
        </w:tc>
        <w:tc>
          <w:tcPr>
            <w:tcW w:w="66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color w:val="auto"/>
                <w:w w:val="76"/>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5"/>
              </w:rPr>
              <w:t>1,301</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543</w:t>
            </w:r>
          </w:p>
        </w:tc>
        <w:tc>
          <w:tcPr>
            <w:tcW w:w="26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w w:val="85"/>
              </w:rPr>
              <w:t>—</w:t>
            </w:r>
          </w:p>
        </w:tc>
        <w:tc>
          <w:tcPr>
            <w:tcW w:w="820" w:type="dxa"/>
            <w:vAlign w:val="bottom"/>
            <w:tcBorders>
              <w:bottom w:val="single" w:sz="8" w:color="auto"/>
            </w:tcBorders>
          </w:tcPr>
          <w:p>
            <w:pPr>
              <w:jc w:val="right"/>
              <w:ind w:right="61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780" w:type="dxa"/>
            <w:vAlign w:val="bottom"/>
            <w:tcBorders>
              <w:bottom w:val="single" w:sz="8" w:color="auto"/>
            </w:tcBorders>
          </w:tcPr>
          <w:p>
            <w:pPr>
              <w:jc w:val="right"/>
              <w:ind w:right="59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59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324</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2,174</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51"/>
        </w:trPr>
        <w:tc>
          <w:tcPr>
            <w:tcW w:w="3880" w:type="dxa"/>
            <w:vAlign w:val="bottom"/>
            <w:shd w:val="clear" w:color="auto" w:fill="CCEEFF"/>
          </w:tcPr>
          <w:p>
            <w:pPr>
              <w:ind w:left="20"/>
              <w:spacing w:after="0" w:line="151" w:lineRule="exact"/>
              <w:rPr>
                <w:sz w:val="20"/>
                <w:szCs w:val="20"/>
                <w:color w:val="auto"/>
              </w:rPr>
            </w:pPr>
            <w:r>
              <w:rPr>
                <w:rFonts w:ascii="Arial" w:cs="Arial" w:eastAsia="Arial" w:hAnsi="Arial"/>
                <w:sz w:val="14"/>
                <w:szCs w:val="14"/>
                <w:b w:val="1"/>
                <w:bCs w:val="1"/>
                <w:color w:val="auto"/>
              </w:rPr>
              <w:t>Commercial mortgages</w:t>
            </w:r>
          </w:p>
        </w:tc>
        <w:tc>
          <w:tcPr>
            <w:tcW w:w="6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r>
        <w:trPr>
          <w:trHeight w:val="182"/>
        </w:trPr>
        <w:tc>
          <w:tcPr>
            <w:tcW w:w="3880" w:type="dxa"/>
            <w:vAlign w:val="bottom"/>
          </w:tcPr>
          <w:p>
            <w:pPr>
              <w:ind w:left="20"/>
              <w:spacing w:after="0"/>
              <w:rPr>
                <w:sz w:val="20"/>
                <w:szCs w:val="20"/>
                <w:color w:val="auto"/>
              </w:rPr>
            </w:pPr>
            <w:r>
              <w:rPr>
                <w:rFonts w:ascii="Arial" w:cs="Arial" w:eastAsia="Arial" w:hAnsi="Arial"/>
                <w:sz w:val="14"/>
                <w:szCs w:val="14"/>
                <w:color w:val="auto"/>
              </w:rPr>
              <w:t>DSCR</w:t>
            </w: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7"/>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Greater than 1.25x</w:t>
            </w:r>
          </w:p>
        </w:tc>
        <w:tc>
          <w:tcPr>
            <w:tcW w:w="660" w:type="dxa"/>
            <w:vAlign w:val="bottom"/>
            <w:shd w:val="clear" w:color="auto" w:fill="CCEEFF"/>
          </w:tcPr>
          <w:p>
            <w:pPr>
              <w:jc w:val="right"/>
              <w:ind w:right="510"/>
              <w:spacing w:after="0"/>
              <w:rPr>
                <w:sz w:val="20"/>
                <w:szCs w:val="20"/>
                <w:color w:val="auto"/>
              </w:rPr>
            </w:pPr>
            <w:r>
              <w:rPr>
                <w:rFonts w:ascii="Arial" w:cs="Arial" w:eastAsia="Arial" w:hAnsi="Arial"/>
                <w:sz w:val="14"/>
                <w:szCs w:val="14"/>
                <w:color w:val="auto"/>
                <w:w w:val="76"/>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1,301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w:t>
            </w:r>
          </w:p>
        </w:tc>
        <w:tc>
          <w:tcPr>
            <w:tcW w:w="2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ind w:left="620"/>
              <w:spacing w:after="0"/>
              <w:rPr>
                <w:sz w:val="20"/>
                <w:szCs w:val="20"/>
                <w:color w:val="auto"/>
              </w:rPr>
            </w:pPr>
            <w:r>
              <w:rPr>
                <w:rFonts w:ascii="Arial" w:cs="Arial" w:eastAsia="Arial" w:hAnsi="Arial"/>
                <w:sz w:val="14"/>
                <w:szCs w:val="14"/>
                <w:color w:val="auto"/>
                <w:w w:val="85"/>
              </w:rPr>
              <w:t>—</w:t>
            </w:r>
          </w:p>
        </w:tc>
        <w:tc>
          <w:tcPr>
            <w:tcW w:w="820" w:type="dxa"/>
            <w:vAlign w:val="bottom"/>
            <w:shd w:val="clear" w:color="auto" w:fill="CCEEFF"/>
          </w:tcPr>
          <w:p>
            <w:pPr>
              <w:jc w:val="right"/>
              <w:ind w:right="61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780" w:type="dxa"/>
            <w:vAlign w:val="bottom"/>
            <w:shd w:val="clear" w:color="auto" w:fill="CCEEFF"/>
          </w:tcPr>
          <w:p>
            <w:pPr>
              <w:jc w:val="right"/>
              <w:ind w:right="59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9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284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2,132</w:t>
            </w:r>
          </w:p>
        </w:tc>
      </w:tr>
      <w:tr>
        <w:trPr>
          <w:trHeight w:val="182"/>
        </w:trPr>
        <w:tc>
          <w:tcPr>
            <w:tcW w:w="3880" w:type="dxa"/>
            <w:vAlign w:val="bottom"/>
          </w:tcPr>
          <w:p>
            <w:pPr>
              <w:ind w:left="20"/>
              <w:spacing w:after="0"/>
              <w:rPr>
                <w:sz w:val="20"/>
                <w:szCs w:val="20"/>
                <w:color w:val="auto"/>
              </w:rPr>
            </w:pPr>
            <w:r>
              <w:rPr>
                <w:rFonts w:ascii="Arial" w:cs="Arial" w:eastAsia="Arial" w:hAnsi="Arial"/>
                <w:sz w:val="14"/>
                <w:szCs w:val="14"/>
                <w:color w:val="auto"/>
              </w:rPr>
              <w:t>1.00x - 1.25x</w:t>
            </w:r>
          </w:p>
        </w:tc>
        <w:tc>
          <w:tcPr>
            <w:tcW w:w="6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760" w:type="dxa"/>
            <w:vAlign w:val="bottom"/>
          </w:tcPr>
          <w:p>
            <w:pPr>
              <w:ind w:left="620"/>
              <w:spacing w:after="0"/>
              <w:rPr>
                <w:sz w:val="20"/>
                <w:szCs w:val="20"/>
                <w:color w:val="auto"/>
              </w:rPr>
            </w:pPr>
            <w:r>
              <w:rPr>
                <w:rFonts w:ascii="Arial" w:cs="Arial" w:eastAsia="Arial" w:hAnsi="Arial"/>
                <w:sz w:val="14"/>
                <w:szCs w:val="14"/>
                <w:color w:val="auto"/>
                <w:w w:val="85"/>
              </w:rPr>
              <w:t>—</w:t>
            </w:r>
          </w:p>
        </w:tc>
        <w:tc>
          <w:tcPr>
            <w:tcW w:w="82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2</w:t>
            </w:r>
          </w:p>
        </w:tc>
        <w:tc>
          <w:tcPr>
            <w:tcW w:w="780" w:type="dxa"/>
            <w:vAlign w:val="bottom"/>
          </w:tcPr>
          <w:p>
            <w:pPr>
              <w:spacing w:after="0"/>
              <w:rPr>
                <w:sz w:val="15"/>
                <w:szCs w:val="15"/>
                <w:color w:val="auto"/>
              </w:rPr>
            </w:pPr>
          </w:p>
        </w:tc>
        <w:tc>
          <w:tcPr>
            <w:tcW w:w="280" w:type="dxa"/>
            <w:vAlign w:val="bottom"/>
          </w:tcPr>
          <w:p>
            <w:pPr>
              <w:ind w:left="10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31</w:t>
            </w: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184"/>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than 1.00x</w:t>
            </w:r>
          </w:p>
        </w:tc>
        <w:tc>
          <w:tcPr>
            <w:tcW w:w="66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4"/>
                <w:szCs w:val="14"/>
                <w:color w:val="auto"/>
                <w:w w:val="85"/>
              </w:rPr>
              <w:t>—</w:t>
            </w:r>
          </w:p>
        </w:tc>
        <w:tc>
          <w:tcPr>
            <w:tcW w:w="82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2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r>
      <w:tr>
        <w:trPr>
          <w:trHeight w:val="180"/>
        </w:trPr>
        <w:tc>
          <w:tcPr>
            <w:tcW w:w="3880" w:type="dxa"/>
            <w:vAlign w:val="bottom"/>
          </w:tcPr>
          <w:p>
            <w:pPr>
              <w:ind w:left="20"/>
              <w:spacing w:after="0"/>
              <w:rPr>
                <w:sz w:val="20"/>
                <w:szCs w:val="20"/>
                <w:color w:val="auto"/>
              </w:rPr>
            </w:pPr>
            <w:r>
              <w:rPr>
                <w:rFonts w:ascii="Arial" w:cs="Arial" w:eastAsia="Arial" w:hAnsi="Arial"/>
                <w:sz w:val="14"/>
                <w:szCs w:val="14"/>
                <w:color w:val="auto"/>
              </w:rPr>
              <w:t>Total commercial mortgages</w:t>
            </w:r>
          </w:p>
        </w:tc>
        <w:tc>
          <w:tcPr>
            <w:tcW w:w="66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color w:val="auto"/>
                <w:w w:val="76"/>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5"/>
              </w:rPr>
              <w:t>1,301</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543</w:t>
            </w:r>
          </w:p>
        </w:tc>
        <w:tc>
          <w:tcPr>
            <w:tcW w:w="26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w w:val="85"/>
              </w:rPr>
              <w:t>—</w:t>
            </w:r>
          </w:p>
        </w:tc>
        <w:tc>
          <w:tcPr>
            <w:tcW w:w="820" w:type="dxa"/>
            <w:vAlign w:val="bottom"/>
            <w:tcBorders>
              <w:bottom w:val="single" w:sz="8" w:color="auto"/>
            </w:tcBorders>
          </w:tcPr>
          <w:p>
            <w:pPr>
              <w:jc w:val="right"/>
              <w:ind w:right="61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780" w:type="dxa"/>
            <w:vAlign w:val="bottom"/>
            <w:tcBorders>
              <w:bottom w:val="single" w:sz="8" w:color="auto"/>
            </w:tcBorders>
          </w:tcPr>
          <w:p>
            <w:pPr>
              <w:jc w:val="right"/>
              <w:ind w:right="59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59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324</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2,174</w:t>
            </w:r>
          </w:p>
        </w:tc>
      </w:tr>
      <w:tr>
        <w:trPr>
          <w:trHeight w:val="20"/>
        </w:trPr>
        <w:tc>
          <w:tcPr>
            <w:tcW w:w="38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Non-accrual loans by amortized cost as of June 30, 2022 and December 31, 2021, were as follows (in millions):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Amortized cost of loans on non-accrual</w:t>
            </w:r>
          </w:p>
        </w:tc>
        <w:tc>
          <w:tcPr>
            <w:tcW w:w="400" w:type="dxa"/>
            <w:vAlign w:val="bottom"/>
            <w:shd w:val="clear" w:color="auto" w:fill="CCEEFF"/>
          </w:tcPr>
          <w:p>
            <w:pPr>
              <w:spacing w:after="0"/>
              <w:rPr>
                <w:sz w:val="16"/>
                <w:szCs w:val="16"/>
                <w:color w:val="auto"/>
              </w:rPr>
            </w:pPr>
          </w:p>
        </w:tc>
        <w:tc>
          <w:tcPr>
            <w:tcW w:w="1940" w:type="dxa"/>
            <w:vAlign w:val="bottom"/>
            <w:gridSpan w:val="2"/>
            <w:shd w:val="clear" w:color="auto" w:fill="CCEEFF"/>
          </w:tcPr>
          <w:p>
            <w:pPr>
              <w:ind w:left="300"/>
              <w:spacing w:after="0"/>
              <w:rPr>
                <w:sz w:val="20"/>
                <w:szCs w:val="20"/>
                <w:color w:val="auto"/>
              </w:rPr>
            </w:pPr>
            <w:r>
              <w:rPr>
                <w:rFonts w:ascii="Arial" w:cs="Arial" w:eastAsia="Arial" w:hAnsi="Arial"/>
                <w:sz w:val="14"/>
                <w:szCs w:val="14"/>
                <w:b w:val="1"/>
                <w:bCs w:val="1"/>
                <w:color w:val="auto"/>
              </w:rPr>
              <w:t>June 30, 2022</w:t>
            </w:r>
          </w:p>
        </w:tc>
        <w:tc>
          <w:tcPr>
            <w:tcW w:w="320" w:type="dxa"/>
            <w:vAlign w:val="bottom"/>
            <w:shd w:val="clear" w:color="auto" w:fill="CCEEFF"/>
          </w:tcPr>
          <w:p>
            <w:pPr>
              <w:spacing w:after="0"/>
              <w:rPr>
                <w:sz w:val="16"/>
                <w:szCs w:val="16"/>
                <w:color w:val="auto"/>
              </w:rPr>
            </w:pPr>
          </w:p>
        </w:tc>
        <w:tc>
          <w:tcPr>
            <w:tcW w:w="1920" w:type="dxa"/>
            <w:vAlign w:val="bottom"/>
            <w:shd w:val="clear" w:color="auto" w:fill="CCEEFF"/>
          </w:tcPr>
          <w:p>
            <w:pPr>
              <w:jc w:val="right"/>
              <w:ind w:right="490"/>
              <w:spacing w:after="0"/>
              <w:rPr>
                <w:sz w:val="20"/>
                <w:szCs w:val="20"/>
                <w:color w:val="auto"/>
              </w:rPr>
            </w:pPr>
            <w:r>
              <w:rPr>
                <w:rFonts w:ascii="Arial" w:cs="Arial" w:eastAsia="Arial" w:hAnsi="Arial"/>
                <w:sz w:val="14"/>
                <w:szCs w:val="14"/>
                <w:b w:val="1"/>
                <w:bCs w:val="1"/>
                <w:color w:val="auto"/>
              </w:rPr>
              <w:t>December 31, 2021</w:t>
            </w:r>
          </w:p>
        </w:tc>
      </w:tr>
      <w:tr>
        <w:trPr>
          <w:trHeight w:val="175"/>
        </w:trPr>
        <w:tc>
          <w:tcPr>
            <w:tcW w:w="6660" w:type="dxa"/>
            <w:vAlign w:val="bottom"/>
          </w:tcPr>
          <w:p>
            <w:pPr>
              <w:ind w:left="20"/>
              <w:spacing w:after="0"/>
              <w:rPr>
                <w:sz w:val="20"/>
                <w:szCs w:val="20"/>
                <w:color w:val="auto"/>
              </w:rPr>
            </w:pPr>
            <w:r>
              <w:rPr>
                <w:rFonts w:ascii="Arial" w:cs="Arial" w:eastAsia="Arial" w:hAnsi="Arial"/>
                <w:sz w:val="14"/>
                <w:szCs w:val="14"/>
                <w:color w:val="auto"/>
              </w:rPr>
              <w:t>Residential mortgage:</w:t>
            </w:r>
          </w:p>
        </w:tc>
        <w:tc>
          <w:tcPr>
            <w:tcW w:w="400" w:type="dxa"/>
            <w:vAlign w:val="bottom"/>
            <w:tcBorders>
              <w:top w:val="single" w:sz="8" w:color="auto"/>
            </w:tcBorders>
          </w:tcPr>
          <w:p>
            <w:pPr>
              <w:jc w:val="right"/>
              <w:ind w:right="250"/>
              <w:spacing w:after="0"/>
              <w:rPr>
                <w:sz w:val="20"/>
                <w:szCs w:val="20"/>
                <w:color w:val="auto"/>
              </w:rPr>
            </w:pPr>
            <w:r>
              <w:rPr>
                <w:rFonts w:ascii="Arial" w:cs="Arial" w:eastAsia="Arial" w:hAnsi="Arial"/>
                <w:sz w:val="14"/>
                <w:szCs w:val="14"/>
                <w:color w:val="auto"/>
                <w:w w:val="76"/>
              </w:rPr>
              <w:t>$</w:t>
            </w: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15"/>
                <w:szCs w:val="15"/>
                <w:color w:val="auto"/>
              </w:rPr>
            </w:pPr>
          </w:p>
        </w:tc>
        <w:tc>
          <w:tcPr>
            <w:tcW w:w="320" w:type="dxa"/>
            <w:vAlign w:val="bottom"/>
            <w:tcBorders>
              <w:top w:val="single" w:sz="8" w:color="auto"/>
            </w:tcBorders>
          </w:tcPr>
          <w:p>
            <w:pPr>
              <w:jc w:val="right"/>
              <w:ind w:right="170"/>
              <w:spacing w:after="0"/>
              <w:rPr>
                <w:sz w:val="20"/>
                <w:szCs w:val="20"/>
                <w:color w:val="auto"/>
              </w:rPr>
            </w:pPr>
            <w:r>
              <w:rPr>
                <w:rFonts w:ascii="Arial" w:cs="Arial" w:eastAsia="Arial" w:hAnsi="Arial"/>
                <w:sz w:val="14"/>
                <w:szCs w:val="14"/>
                <w:color w:val="auto"/>
                <w:w w:val="76"/>
              </w:rPr>
              <w:t>$</w:t>
            </w:r>
          </w:p>
        </w:tc>
        <w:tc>
          <w:tcPr>
            <w:tcW w:w="1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72</w:t>
            </w:r>
          </w:p>
        </w:tc>
      </w:tr>
      <w:tr>
        <w:trPr>
          <w:trHeight w:val="184"/>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Commercial mortgage:</w:t>
            </w:r>
          </w:p>
        </w:tc>
        <w:tc>
          <w:tcPr>
            <w:tcW w:w="400" w:type="dxa"/>
            <w:vAlign w:val="bottom"/>
            <w:shd w:val="clear" w:color="auto" w:fill="CCEEFF"/>
          </w:tcPr>
          <w:p>
            <w:pPr>
              <w:spacing w:after="0"/>
              <w:rPr>
                <w:sz w:val="16"/>
                <w:szCs w:val="16"/>
                <w:color w:val="auto"/>
              </w:rPr>
            </w:pPr>
          </w:p>
        </w:tc>
        <w:tc>
          <w:tcPr>
            <w:tcW w:w="1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6660" w:type="dxa"/>
            <w:vAlign w:val="bottom"/>
          </w:tcPr>
          <w:p>
            <w:pPr>
              <w:ind w:left="20"/>
              <w:spacing w:after="0"/>
              <w:rPr>
                <w:sz w:val="20"/>
                <w:szCs w:val="20"/>
                <w:color w:val="auto"/>
              </w:rPr>
            </w:pPr>
            <w:r>
              <w:rPr>
                <w:rFonts w:ascii="Arial" w:cs="Arial" w:eastAsia="Arial" w:hAnsi="Arial"/>
                <w:sz w:val="14"/>
                <w:szCs w:val="14"/>
                <w:b w:val="1"/>
                <w:bCs w:val="1"/>
                <w:color w:val="auto"/>
              </w:rPr>
              <w:t>Total non-accrual loans</w:t>
            </w:r>
          </w:p>
        </w:tc>
        <w:tc>
          <w:tcPr>
            <w:tcW w:w="4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4"/>
                <w:szCs w:val="14"/>
                <w:color w:val="auto"/>
                <w:w w:val="76"/>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4"/>
                <w:szCs w:val="14"/>
                <w:color w:val="auto"/>
                <w:w w:val="76"/>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72</w:t>
            </w:r>
          </w:p>
        </w:tc>
      </w:tr>
      <w:tr>
        <w:trPr>
          <w:trHeight w:val="20"/>
        </w:trPr>
        <w:tc>
          <w:tcPr>
            <w:tcW w:w="66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Immaterial interest income was recognized on non-accrual financing receivables for the three and six months ended June 30, 2022.</w:t>
      </w:r>
    </w:p>
    <w:p>
      <w:pPr>
        <w:spacing w:after="0" w:line="135" w:lineRule="exact"/>
        <w:rPr>
          <w:sz w:val="20"/>
          <w:szCs w:val="20"/>
          <w:color w:val="auto"/>
        </w:rPr>
      </w:pPr>
    </w:p>
    <w:p>
      <w:pPr>
        <w:jc w:val="both"/>
        <w:ind w:firstLine="395"/>
        <w:spacing w:after="0" w:line="219" w:lineRule="auto"/>
        <w:rPr>
          <w:sz w:val="20"/>
          <w:szCs w:val="20"/>
          <w:color w:val="auto"/>
        </w:rPr>
      </w:pPr>
      <w:r>
        <w:rPr>
          <w:rFonts w:ascii="Arial" w:cs="Arial" w:eastAsia="Arial" w:hAnsi="Arial"/>
          <w:sz w:val="18"/>
          <w:szCs w:val="18"/>
          <w:color w:val="auto"/>
        </w:rPr>
        <w:t>It is our policy to cease to accrue interest on loans that are over 90 days delinquent. For loans less than 90 days delinquent, interest is accrued unless it is determined that the accrued interest is not collectible. If a loan becomes over 90 days delinquent, it is our general policy to initiate foreclosure proceedings unless a workout arrangement to bring the loan current is in place. As of June 30, 2022 and December 31, 2021, we had $69 million and $72 million, respectively, of residential mortgage loans that were over 90 days past due, of which $38 million and $39 million was in the process of foreclosure as of June 30, 2022 and December 31, 2021, respectively. We will continue to evaluate these policies with regard to the economic challenges for mortgage debtors related to COVID-19. Our ability to initiate foreclosure proceedings may be limited by legislation passed and executive orders issued in response to COVID-19.</w:t>
      </w: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Expected Credit Loss</w:t>
      </w:r>
    </w:p>
    <w:p>
      <w:pPr>
        <w:spacing w:after="0" w:line="240"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We estimate expected credit losses for our commercial and residential mortgage loan portfolios using a probability of default/loss given default model. Significant inputs to this model include, where applicable, the loans' current performance, underlying collateral type, location, contractual life, LTV, DSC and Debt to Income or FICO. The model projects losses using a two year reasonable and supportable forecast and then reverts over a three year period to market-wide historical loss experience. Changes in our allowance for expected credit losses on mortgage loans are recognized in Recognized gains and losses, net in the accompanying unaudited Condensed Consolidated Statements of Earnings.</w:t>
      </w:r>
    </w:p>
    <w:p>
      <w:pPr>
        <w:spacing w:after="0" w:line="18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allowances for our mortgage loan portfolio is summarized as follows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600" w:type="dxa"/>
            <w:vAlign w:val="bottom"/>
          </w:tcPr>
          <w:p>
            <w:pPr>
              <w:spacing w:after="0"/>
              <w:rPr>
                <w:sz w:val="16"/>
                <w:szCs w:val="16"/>
                <w:color w:val="auto"/>
              </w:rPr>
            </w:pPr>
          </w:p>
        </w:tc>
        <w:tc>
          <w:tcPr>
            <w:tcW w:w="2980" w:type="dxa"/>
            <w:vAlign w:val="bottom"/>
            <w:gridSpan w:val="7"/>
          </w:tcPr>
          <w:p>
            <w:pPr>
              <w:jc w:val="center"/>
              <w:ind w:left="710"/>
              <w:spacing w:after="0"/>
              <w:rPr>
                <w:sz w:val="20"/>
                <w:szCs w:val="20"/>
                <w:color w:val="auto"/>
              </w:rPr>
            </w:pPr>
            <w:r>
              <w:rPr>
                <w:rFonts w:ascii="Arial" w:cs="Arial" w:eastAsia="Arial" w:hAnsi="Arial"/>
                <w:sz w:val="14"/>
                <w:szCs w:val="14"/>
                <w:b w:val="1"/>
                <w:bCs w:val="1"/>
                <w:color w:val="auto"/>
                <w:w w:val="89"/>
              </w:rPr>
              <w:t>Three months ended June 30, 2022</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0" w:type="dxa"/>
            <w:vAlign w:val="bottom"/>
            <w:gridSpan w:val="6"/>
          </w:tcPr>
          <w:p>
            <w:pPr>
              <w:jc w:val="center"/>
              <w:ind w:right="30"/>
              <w:spacing w:after="0"/>
              <w:rPr>
                <w:sz w:val="20"/>
                <w:szCs w:val="20"/>
                <w:color w:val="auto"/>
              </w:rPr>
            </w:pPr>
            <w:r>
              <w:rPr>
                <w:rFonts w:ascii="Arial" w:cs="Arial" w:eastAsia="Arial" w:hAnsi="Arial"/>
                <w:sz w:val="14"/>
                <w:szCs w:val="14"/>
                <w:b w:val="1"/>
                <w:bCs w:val="1"/>
                <w:color w:val="auto"/>
                <w:w w:val="88"/>
              </w:rPr>
              <w:t>Six months ended June 30, 2022</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600" w:type="dxa"/>
            <w:vAlign w:val="bottom"/>
          </w:tcPr>
          <w:p>
            <w:pPr>
              <w:spacing w:after="0"/>
              <w:rPr>
                <w:sz w:val="11"/>
                <w:szCs w:val="11"/>
                <w:color w:val="auto"/>
              </w:rPr>
            </w:pPr>
          </w:p>
        </w:tc>
        <w:tc>
          <w:tcPr>
            <w:tcW w:w="96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b w:val="1"/>
                <w:bCs w:val="1"/>
                <w:color w:val="auto"/>
              </w:rPr>
              <w:t>Residential</w:t>
            </w:r>
          </w:p>
        </w:tc>
        <w:tc>
          <w:tcPr>
            <w:tcW w:w="2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tcPr>
          <w:p>
            <w:pPr>
              <w:jc w:val="center"/>
              <w:ind w:right="240"/>
              <w:spacing w:after="0" w:line="130" w:lineRule="exact"/>
              <w:rPr>
                <w:sz w:val="20"/>
                <w:szCs w:val="20"/>
                <w:color w:val="auto"/>
              </w:rPr>
            </w:pPr>
            <w:r>
              <w:rPr>
                <w:rFonts w:ascii="Arial" w:cs="Arial" w:eastAsia="Arial" w:hAnsi="Arial"/>
                <w:sz w:val="14"/>
                <w:szCs w:val="14"/>
                <w:b w:val="1"/>
                <w:bCs w:val="1"/>
                <w:color w:val="auto"/>
                <w:w w:val="92"/>
              </w:rPr>
              <w:t>Commercial</w:t>
            </w:r>
          </w:p>
        </w:tc>
        <w:tc>
          <w:tcPr>
            <w:tcW w:w="4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vMerge w:val="restart"/>
          </w:tcPr>
          <w:p>
            <w:pPr>
              <w:jc w:val="right"/>
              <w:ind w:right="390"/>
              <w:spacing w:after="0"/>
              <w:rPr>
                <w:sz w:val="20"/>
                <w:szCs w:val="20"/>
                <w:color w:val="auto"/>
              </w:rPr>
            </w:pPr>
            <w:r>
              <w:rPr>
                <w:rFonts w:ascii="Arial" w:cs="Arial" w:eastAsia="Arial" w:hAnsi="Arial"/>
                <w:sz w:val="14"/>
                <w:szCs w:val="14"/>
                <w:b w:val="1"/>
                <w:bCs w:val="1"/>
                <w:color w:val="auto"/>
                <w:w w:val="95"/>
              </w:rPr>
              <w:t>Total</w:t>
            </w:r>
          </w:p>
        </w:tc>
        <w:tc>
          <w:tcPr>
            <w:tcW w:w="80" w:type="dxa"/>
            <w:vAlign w:val="bottom"/>
            <w:vMerge w:val="restart"/>
          </w:tcPr>
          <w:p>
            <w:pPr>
              <w:spacing w:after="0"/>
              <w:rPr>
                <w:sz w:val="11"/>
                <w:szCs w:val="11"/>
                <w:color w:val="auto"/>
              </w:rPr>
            </w:pPr>
          </w:p>
        </w:tc>
        <w:tc>
          <w:tcPr>
            <w:tcW w:w="94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b w:val="1"/>
                <w:bCs w:val="1"/>
                <w:color w:val="auto"/>
              </w:rPr>
              <w:t>Residential</w:t>
            </w:r>
          </w:p>
        </w:tc>
        <w:tc>
          <w:tcPr>
            <w:tcW w:w="2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ind w:right="110"/>
              <w:spacing w:after="0" w:line="130" w:lineRule="exact"/>
              <w:rPr>
                <w:sz w:val="20"/>
                <w:szCs w:val="20"/>
                <w:color w:val="auto"/>
              </w:rPr>
            </w:pPr>
            <w:r>
              <w:rPr>
                <w:rFonts w:ascii="Arial" w:cs="Arial" w:eastAsia="Arial" w:hAnsi="Arial"/>
                <w:sz w:val="14"/>
                <w:szCs w:val="14"/>
                <w:b w:val="1"/>
                <w:bCs w:val="1"/>
                <w:color w:val="auto"/>
                <w:w w:val="92"/>
              </w:rPr>
              <w:t>Commercial</w:t>
            </w:r>
          </w:p>
        </w:tc>
        <w:tc>
          <w:tcPr>
            <w:tcW w:w="8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7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3600" w:type="dxa"/>
            <w:vAlign w:val="bottom"/>
          </w:tcPr>
          <w:p>
            <w:pPr>
              <w:spacing w:after="0"/>
              <w:rPr>
                <w:sz w:val="15"/>
                <w:szCs w:val="15"/>
                <w:color w:val="auto"/>
              </w:rPr>
            </w:pPr>
          </w:p>
        </w:tc>
        <w:tc>
          <w:tcPr>
            <w:tcW w:w="960" w:type="dxa"/>
            <w:vAlign w:val="bottom"/>
          </w:tcPr>
          <w:p>
            <w:pPr>
              <w:jc w:val="right"/>
              <w:ind w:right="10"/>
              <w:spacing w:after="0"/>
              <w:rPr>
                <w:sz w:val="20"/>
                <w:szCs w:val="20"/>
                <w:color w:val="auto"/>
              </w:rPr>
            </w:pPr>
            <w:r>
              <w:rPr>
                <w:rFonts w:ascii="Arial" w:cs="Arial" w:eastAsia="Arial" w:hAnsi="Arial"/>
                <w:sz w:val="14"/>
                <w:szCs w:val="14"/>
                <w:b w:val="1"/>
                <w:bCs w:val="1"/>
                <w:color w:val="auto"/>
              </w:rPr>
              <w:t>Mortgage</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Mortgage</w:t>
            </w:r>
          </w:p>
        </w:tc>
        <w:tc>
          <w:tcPr>
            <w:tcW w:w="4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Mortgage</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Mortgage</w:t>
            </w:r>
          </w:p>
        </w:tc>
        <w:tc>
          <w:tcPr>
            <w:tcW w:w="36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Beginning Balance</w:t>
            </w:r>
          </w:p>
        </w:tc>
        <w:tc>
          <w:tcPr>
            <w:tcW w:w="960" w:type="dxa"/>
            <w:vAlign w:val="bottom"/>
            <w:tcBorders>
              <w:top w:val="single" w:sz="8" w:color="auto"/>
            </w:tcBorders>
            <w:shd w:val="clear" w:color="auto" w:fill="CCEEFF"/>
          </w:tcPr>
          <w:p>
            <w:pPr>
              <w:jc w:val="right"/>
              <w:ind w:right="810"/>
              <w:spacing w:after="0"/>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8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ind w:right="770"/>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8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82"/>
        </w:trPr>
        <w:tc>
          <w:tcPr>
            <w:tcW w:w="3600" w:type="dxa"/>
            <w:vAlign w:val="bottom"/>
          </w:tcPr>
          <w:p>
            <w:pPr>
              <w:ind w:left="20"/>
              <w:spacing w:after="0"/>
              <w:rPr>
                <w:sz w:val="20"/>
                <w:szCs w:val="20"/>
                <w:color w:val="auto"/>
              </w:rPr>
            </w:pPr>
            <w:r>
              <w:rPr>
                <w:rFonts w:ascii="Arial" w:cs="Arial" w:eastAsia="Arial" w:hAnsi="Arial"/>
                <w:sz w:val="14"/>
                <w:szCs w:val="14"/>
                <w:color w:val="auto"/>
              </w:rPr>
              <w:t>Provision for loan losses</w:t>
            </w:r>
          </w:p>
        </w:tc>
        <w:tc>
          <w:tcPr>
            <w:tcW w:w="96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5"/>
        </w:trPr>
        <w:tc>
          <w:tcPr>
            <w:tcW w:w="3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Ending Balance</w:t>
            </w:r>
          </w:p>
        </w:tc>
        <w:tc>
          <w:tcPr>
            <w:tcW w:w="960" w:type="dxa"/>
            <w:vAlign w:val="bottom"/>
            <w:tcBorders>
              <w:top w:val="single" w:sz="8" w:color="auto"/>
              <w:bottom w:val="single" w:sz="8" w:color="auto"/>
            </w:tcBorders>
            <w:shd w:val="clear" w:color="auto" w:fill="CCEEFF"/>
          </w:tcPr>
          <w:p>
            <w:pPr>
              <w:jc w:val="right"/>
              <w:ind w:right="810"/>
              <w:spacing w:after="0"/>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ind w:right="770"/>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600" w:type="dxa"/>
            <w:vAlign w:val="bottom"/>
          </w:tcPr>
          <w:p>
            <w:pPr>
              <w:spacing w:after="0"/>
              <w:rPr>
                <w:sz w:val="16"/>
                <w:szCs w:val="16"/>
                <w:color w:val="auto"/>
              </w:rPr>
            </w:pPr>
          </w:p>
        </w:tc>
        <w:tc>
          <w:tcPr>
            <w:tcW w:w="2980" w:type="dxa"/>
            <w:vAlign w:val="bottom"/>
            <w:gridSpan w:val="7"/>
          </w:tcPr>
          <w:p>
            <w:pPr>
              <w:jc w:val="center"/>
              <w:ind w:left="710"/>
              <w:spacing w:after="0"/>
              <w:rPr>
                <w:sz w:val="20"/>
                <w:szCs w:val="20"/>
                <w:color w:val="auto"/>
              </w:rPr>
            </w:pPr>
            <w:r>
              <w:rPr>
                <w:rFonts w:ascii="Arial" w:cs="Arial" w:eastAsia="Arial" w:hAnsi="Arial"/>
                <w:sz w:val="14"/>
                <w:szCs w:val="14"/>
                <w:b w:val="1"/>
                <w:bCs w:val="1"/>
                <w:color w:val="auto"/>
                <w:w w:val="89"/>
              </w:rPr>
              <w:t>Three months ended June 30, 2021</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0" w:type="dxa"/>
            <w:vAlign w:val="bottom"/>
            <w:gridSpan w:val="6"/>
          </w:tcPr>
          <w:p>
            <w:pPr>
              <w:jc w:val="center"/>
              <w:ind w:right="30"/>
              <w:spacing w:after="0"/>
              <w:rPr>
                <w:sz w:val="20"/>
                <w:szCs w:val="20"/>
                <w:color w:val="auto"/>
              </w:rPr>
            </w:pPr>
            <w:r>
              <w:rPr>
                <w:rFonts w:ascii="Arial" w:cs="Arial" w:eastAsia="Arial" w:hAnsi="Arial"/>
                <w:sz w:val="14"/>
                <w:szCs w:val="14"/>
                <w:b w:val="1"/>
                <w:bCs w:val="1"/>
                <w:color w:val="auto"/>
                <w:w w:val="88"/>
              </w:rPr>
              <w:t>Six months ended June 30, 2021</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600" w:type="dxa"/>
            <w:vAlign w:val="bottom"/>
          </w:tcPr>
          <w:p>
            <w:pPr>
              <w:spacing w:after="0"/>
              <w:rPr>
                <w:sz w:val="11"/>
                <w:szCs w:val="11"/>
                <w:color w:val="auto"/>
              </w:rPr>
            </w:pPr>
          </w:p>
        </w:tc>
        <w:tc>
          <w:tcPr>
            <w:tcW w:w="96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b w:val="1"/>
                <w:bCs w:val="1"/>
                <w:color w:val="auto"/>
              </w:rPr>
              <w:t>Residential</w:t>
            </w:r>
          </w:p>
        </w:tc>
        <w:tc>
          <w:tcPr>
            <w:tcW w:w="2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tcPr>
          <w:p>
            <w:pPr>
              <w:jc w:val="center"/>
              <w:ind w:right="240"/>
              <w:spacing w:after="0" w:line="130" w:lineRule="exact"/>
              <w:rPr>
                <w:sz w:val="20"/>
                <w:szCs w:val="20"/>
                <w:color w:val="auto"/>
              </w:rPr>
            </w:pPr>
            <w:r>
              <w:rPr>
                <w:rFonts w:ascii="Arial" w:cs="Arial" w:eastAsia="Arial" w:hAnsi="Arial"/>
                <w:sz w:val="14"/>
                <w:szCs w:val="14"/>
                <w:b w:val="1"/>
                <w:bCs w:val="1"/>
                <w:color w:val="auto"/>
                <w:w w:val="92"/>
              </w:rPr>
              <w:t>Commercial</w:t>
            </w:r>
          </w:p>
        </w:tc>
        <w:tc>
          <w:tcPr>
            <w:tcW w:w="4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Total</w:t>
            </w:r>
          </w:p>
        </w:tc>
        <w:tc>
          <w:tcPr>
            <w:tcW w:w="80" w:type="dxa"/>
            <w:vAlign w:val="bottom"/>
            <w:vMerge w:val="restart"/>
          </w:tcPr>
          <w:p>
            <w:pPr>
              <w:spacing w:after="0"/>
              <w:rPr>
                <w:sz w:val="11"/>
                <w:szCs w:val="11"/>
                <w:color w:val="auto"/>
              </w:rPr>
            </w:pPr>
          </w:p>
        </w:tc>
        <w:tc>
          <w:tcPr>
            <w:tcW w:w="94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b w:val="1"/>
                <w:bCs w:val="1"/>
                <w:color w:val="auto"/>
              </w:rPr>
              <w:t>Residential</w:t>
            </w:r>
          </w:p>
        </w:tc>
        <w:tc>
          <w:tcPr>
            <w:tcW w:w="2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ind w:right="110"/>
              <w:spacing w:after="0" w:line="130" w:lineRule="exact"/>
              <w:rPr>
                <w:sz w:val="20"/>
                <w:szCs w:val="20"/>
                <w:color w:val="auto"/>
              </w:rPr>
            </w:pPr>
            <w:r>
              <w:rPr>
                <w:rFonts w:ascii="Arial" w:cs="Arial" w:eastAsia="Arial" w:hAnsi="Arial"/>
                <w:sz w:val="14"/>
                <w:szCs w:val="14"/>
                <w:b w:val="1"/>
                <w:bCs w:val="1"/>
                <w:color w:val="auto"/>
                <w:w w:val="92"/>
              </w:rPr>
              <w:t>Commercial</w:t>
            </w:r>
          </w:p>
        </w:tc>
        <w:tc>
          <w:tcPr>
            <w:tcW w:w="8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3600" w:type="dxa"/>
            <w:vAlign w:val="bottom"/>
          </w:tcPr>
          <w:p>
            <w:pPr>
              <w:spacing w:after="0"/>
              <w:rPr>
                <w:sz w:val="15"/>
                <w:szCs w:val="15"/>
                <w:color w:val="auto"/>
              </w:rPr>
            </w:pPr>
          </w:p>
        </w:tc>
        <w:tc>
          <w:tcPr>
            <w:tcW w:w="960" w:type="dxa"/>
            <w:vAlign w:val="bottom"/>
          </w:tcPr>
          <w:p>
            <w:pPr>
              <w:jc w:val="right"/>
              <w:ind w:right="10"/>
              <w:spacing w:after="0"/>
              <w:rPr>
                <w:sz w:val="20"/>
                <w:szCs w:val="20"/>
                <w:color w:val="auto"/>
              </w:rPr>
            </w:pPr>
            <w:r>
              <w:rPr>
                <w:rFonts w:ascii="Arial" w:cs="Arial" w:eastAsia="Arial" w:hAnsi="Arial"/>
                <w:sz w:val="14"/>
                <w:szCs w:val="14"/>
                <w:b w:val="1"/>
                <w:bCs w:val="1"/>
                <w:color w:val="auto"/>
              </w:rPr>
              <w:t>Mortgage</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Mortgage</w:t>
            </w:r>
          </w:p>
        </w:tc>
        <w:tc>
          <w:tcPr>
            <w:tcW w:w="4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Mortgage</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Mortgage</w:t>
            </w:r>
          </w:p>
        </w:tc>
        <w:tc>
          <w:tcPr>
            <w:tcW w:w="36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Beginning Balance</w:t>
            </w:r>
          </w:p>
        </w:tc>
        <w:tc>
          <w:tcPr>
            <w:tcW w:w="960" w:type="dxa"/>
            <w:vAlign w:val="bottom"/>
            <w:tcBorders>
              <w:top w:val="single" w:sz="8" w:color="auto"/>
            </w:tcBorders>
            <w:shd w:val="clear" w:color="auto" w:fill="CCEEFF"/>
          </w:tcPr>
          <w:p>
            <w:pPr>
              <w:jc w:val="right"/>
              <w:ind w:right="810"/>
              <w:spacing w:after="0"/>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31</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4"/>
                <w:szCs w:val="14"/>
                <w:color w:val="auto"/>
              </w:rPr>
              <w:t>36</w:t>
            </w:r>
          </w:p>
        </w:tc>
        <w:tc>
          <w:tcPr>
            <w:tcW w:w="8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ind w:right="770"/>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37</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82"/>
        </w:trPr>
        <w:tc>
          <w:tcPr>
            <w:tcW w:w="3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Provision for loan losses</w:t>
            </w:r>
          </w:p>
        </w:tc>
        <w:tc>
          <w:tcPr>
            <w:tcW w:w="9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(3)</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ind w:left="600"/>
              <w:spacing w:after="0"/>
              <w:rPr>
                <w:sz w:val="20"/>
                <w:szCs w:val="20"/>
                <w:color w:val="auto"/>
              </w:rPr>
            </w:pPr>
            <w:r>
              <w:rPr>
                <w:rFonts w:ascii="Arial" w:cs="Arial" w:eastAsia="Arial" w:hAnsi="Arial"/>
                <w:sz w:val="14"/>
                <w:szCs w:val="14"/>
                <w:color w:val="auto"/>
              </w:rPr>
              <w:t>(2)</w:t>
            </w:r>
          </w:p>
        </w:tc>
        <w:tc>
          <w:tcPr>
            <w:tcW w:w="8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w w:val="93"/>
              </w:rPr>
              <w:t>(9)</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ind w:left="660"/>
              <w:spacing w:after="0"/>
              <w:rPr>
                <w:sz w:val="20"/>
                <w:szCs w:val="20"/>
                <w:color w:val="auto"/>
              </w:rPr>
            </w:pPr>
            <w:r>
              <w:rPr>
                <w:rFonts w:ascii="Arial" w:cs="Arial" w:eastAsia="Arial" w:hAnsi="Arial"/>
                <w:sz w:val="14"/>
                <w:szCs w:val="14"/>
                <w:color w:val="auto"/>
                <w:w w:val="93"/>
              </w:rPr>
              <w:t>(5)</w:t>
            </w:r>
          </w:p>
        </w:tc>
        <w:tc>
          <w:tcPr>
            <w:tcW w:w="0" w:type="dxa"/>
            <w:vAlign w:val="bottom"/>
          </w:tcPr>
          <w:p>
            <w:pPr>
              <w:spacing w:after="0"/>
              <w:rPr>
                <w:sz w:val="1"/>
                <w:szCs w:val="1"/>
                <w:color w:val="auto"/>
              </w:rPr>
            </w:pPr>
          </w:p>
        </w:tc>
      </w:tr>
      <w:tr>
        <w:trPr>
          <w:trHeight w:val="205"/>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Ending Balance</w:t>
            </w:r>
          </w:p>
        </w:tc>
        <w:tc>
          <w:tcPr>
            <w:tcW w:w="96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4"/>
                <w:szCs w:val="14"/>
                <w:color w:val="auto"/>
                <w:w w:val="76"/>
              </w:rPr>
              <w:t>$</w:t>
            </w:r>
          </w:p>
        </w:tc>
        <w:tc>
          <w:tcPr>
            <w:tcW w:w="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28</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4"/>
                <w:szCs w:val="14"/>
                <w:color w:val="auto"/>
              </w:rPr>
              <w:t>34</w:t>
            </w:r>
          </w:p>
        </w:tc>
        <w:tc>
          <w:tcPr>
            <w:tcW w:w="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28</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both"/>
        <w:ind w:firstLine="395"/>
        <w:spacing w:after="0" w:line="238" w:lineRule="auto"/>
        <w:rPr>
          <w:sz w:val="20"/>
          <w:szCs w:val="20"/>
          <w:color w:val="auto"/>
        </w:rPr>
      </w:pPr>
      <w:r>
        <w:rPr>
          <w:rFonts w:ascii="Arial" w:cs="Arial" w:eastAsia="Arial" w:hAnsi="Arial"/>
          <w:sz w:val="18"/>
          <w:szCs w:val="18"/>
          <w:color w:val="auto"/>
        </w:rPr>
        <w:t>An allowance for expected credit loss is not measured on accrued interest income for commercial mortgage loans as we have a process to write-off interest on loans that enter into non-accrual status (over 90 days past due). Allowances for expected credit losses are measured on accrued interest income for residential mortgage loans and were immaterial as of June 30, 2022 and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Investment Income</w:t>
      </w:r>
    </w:p>
    <w:p>
      <w:pPr>
        <w:spacing w:after="0" w:line="122" w:lineRule="exact"/>
        <w:rPr>
          <w:sz w:val="20"/>
          <w:szCs w:val="20"/>
          <w:color w:val="auto"/>
        </w:rPr>
      </w:pPr>
    </w:p>
    <w:p>
      <w:pPr>
        <w:ind w:firstLine="395"/>
        <w:spacing w:after="0" w:line="261" w:lineRule="auto"/>
        <w:rPr>
          <w:sz w:val="20"/>
          <w:szCs w:val="20"/>
          <w:color w:val="auto"/>
        </w:rPr>
      </w:pPr>
      <w:r>
        <w:rPr>
          <w:rFonts w:ascii="Arial" w:cs="Arial" w:eastAsia="Arial" w:hAnsi="Arial"/>
          <w:sz w:val="18"/>
          <w:szCs w:val="18"/>
          <w:color w:val="auto"/>
        </w:rPr>
        <w:t>The major sources of Interest and investment income reported on the accompanying unaudited Condensed Consolidated Statements of Earnings were as follows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80" w:type="dxa"/>
            <w:vAlign w:val="bottom"/>
          </w:tcPr>
          <w:p>
            <w:pPr>
              <w:spacing w:after="0"/>
              <w:rPr>
                <w:sz w:val="16"/>
                <w:szCs w:val="16"/>
                <w:color w:val="auto"/>
              </w:rPr>
            </w:pPr>
          </w:p>
        </w:tc>
        <w:tc>
          <w:tcPr>
            <w:tcW w:w="262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870"/>
              <w:spacing w:after="0"/>
              <w:rPr>
                <w:sz w:val="20"/>
                <w:szCs w:val="20"/>
                <w:color w:val="auto"/>
              </w:rPr>
            </w:pPr>
            <w:r>
              <w:rPr>
                <w:rFonts w:ascii="Arial" w:cs="Arial" w:eastAsia="Arial" w:hAnsi="Arial"/>
                <w:sz w:val="14"/>
                <w:szCs w:val="14"/>
                <w:b w:val="1"/>
                <w:bCs w:val="1"/>
                <w:color w:val="auto"/>
              </w:rPr>
              <w:t>Six months ended</w:t>
            </w:r>
          </w:p>
        </w:tc>
      </w:tr>
      <w:tr>
        <w:trPr>
          <w:trHeight w:val="181"/>
        </w:trPr>
        <w:tc>
          <w:tcPr>
            <w:tcW w:w="52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June 30, 2022</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June 30, 2021</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2022</w:t>
            </w:r>
          </w:p>
        </w:tc>
        <w:tc>
          <w:tcPr>
            <w:tcW w:w="180" w:type="dxa"/>
            <w:vAlign w:val="bottom"/>
          </w:tcPr>
          <w:p>
            <w:pPr>
              <w:spacing w:after="0"/>
              <w:rPr>
                <w:sz w:val="15"/>
                <w:szCs w:val="15"/>
                <w:color w:val="auto"/>
              </w:rPr>
            </w:pPr>
          </w:p>
        </w:tc>
        <w:tc>
          <w:tcPr>
            <w:tcW w:w="1220" w:type="dxa"/>
            <w:vAlign w:val="bottom"/>
          </w:tcPr>
          <w:p>
            <w:pPr>
              <w:jc w:val="right"/>
              <w:ind w:right="230"/>
              <w:spacing w:after="0"/>
              <w:rPr>
                <w:sz w:val="20"/>
                <w:szCs w:val="20"/>
                <w:color w:val="auto"/>
              </w:rPr>
            </w:pPr>
            <w:r>
              <w:rPr>
                <w:rFonts w:ascii="Arial" w:cs="Arial" w:eastAsia="Arial" w:hAnsi="Arial"/>
                <w:sz w:val="14"/>
                <w:szCs w:val="14"/>
                <w:b w:val="1"/>
                <w:bCs w:val="1"/>
                <w:color w:val="auto"/>
                <w:w w:val="98"/>
              </w:rPr>
              <w:t>June 30, 2021</w:t>
            </w:r>
          </w:p>
        </w:tc>
      </w:tr>
      <w:tr>
        <w:trPr>
          <w:trHeight w:val="176"/>
        </w:trPr>
        <w:tc>
          <w:tcPr>
            <w:tcW w:w="5280" w:type="dxa"/>
            <w:vAlign w:val="bottom"/>
          </w:tcPr>
          <w:p>
            <w:pPr>
              <w:ind w:left="20"/>
              <w:spacing w:after="0"/>
              <w:rPr>
                <w:sz w:val="20"/>
                <w:szCs w:val="20"/>
                <w:color w:val="auto"/>
              </w:rPr>
            </w:pPr>
            <w:r>
              <w:rPr>
                <w:rFonts w:ascii="Arial" w:cs="Arial" w:eastAsia="Arial" w:hAnsi="Arial"/>
                <w:sz w:val="14"/>
                <w:szCs w:val="14"/>
                <w:color w:val="auto"/>
              </w:rPr>
              <w:t>Fixed maturity securities, available-for-sale</w:t>
            </w:r>
          </w:p>
        </w:tc>
        <w:tc>
          <w:tcPr>
            <w:tcW w:w="1120" w:type="dxa"/>
            <w:vAlign w:val="bottom"/>
            <w:tcBorders>
              <w:top w:val="single" w:sz="8" w:color="auto"/>
            </w:tcBorders>
          </w:tcPr>
          <w:p>
            <w:pPr>
              <w:jc w:val="right"/>
              <w:ind w:right="970"/>
              <w:spacing w:after="0"/>
              <w:rPr>
                <w:sz w:val="20"/>
                <w:szCs w:val="20"/>
                <w:color w:val="auto"/>
              </w:rPr>
            </w:pPr>
            <w:r>
              <w:rPr>
                <w:rFonts w:ascii="Arial" w:cs="Arial" w:eastAsia="Arial" w:hAnsi="Arial"/>
                <w:sz w:val="14"/>
                <w:szCs w:val="14"/>
                <w:color w:val="auto"/>
                <w:w w:val="76"/>
              </w:rPr>
              <w:t>$</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85"/>
              </w:rPr>
              <w:t>350</w:t>
            </w:r>
          </w:p>
        </w:tc>
        <w:tc>
          <w:tcPr>
            <w:tcW w:w="120" w:type="dxa"/>
            <w:vAlign w:val="bottom"/>
          </w:tcPr>
          <w:p>
            <w:pPr>
              <w:spacing w:after="0"/>
              <w:rPr>
                <w:sz w:val="15"/>
                <w:szCs w:val="15"/>
                <w:color w:val="auto"/>
              </w:rPr>
            </w:pPr>
          </w:p>
        </w:tc>
        <w:tc>
          <w:tcPr>
            <w:tcW w:w="1100" w:type="dxa"/>
            <w:vAlign w:val="bottom"/>
            <w:tcBorders>
              <w:top w:val="single" w:sz="8" w:color="auto"/>
            </w:tcBorders>
          </w:tcPr>
          <w:p>
            <w:pPr>
              <w:jc w:val="right"/>
              <w:ind w:right="950"/>
              <w:spacing w:after="0"/>
              <w:rPr>
                <w:sz w:val="20"/>
                <w:szCs w:val="20"/>
                <w:color w:val="auto"/>
              </w:rPr>
            </w:pPr>
            <w:r>
              <w:rPr>
                <w:rFonts w:ascii="Arial" w:cs="Arial" w:eastAsia="Arial" w:hAnsi="Arial"/>
                <w:sz w:val="14"/>
                <w:szCs w:val="14"/>
                <w:color w:val="auto"/>
                <w:w w:val="76"/>
              </w:rPr>
              <w:t>$</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85"/>
              </w:rPr>
              <w:t>325</w:t>
            </w:r>
          </w:p>
        </w:tc>
        <w:tc>
          <w:tcPr>
            <w:tcW w:w="120" w:type="dxa"/>
            <w:vAlign w:val="bottom"/>
          </w:tcPr>
          <w:p>
            <w:pPr>
              <w:spacing w:after="0"/>
              <w:rPr>
                <w:sz w:val="15"/>
                <w:szCs w:val="15"/>
                <w:color w:val="auto"/>
              </w:rPr>
            </w:pPr>
          </w:p>
        </w:tc>
        <w:tc>
          <w:tcPr>
            <w:tcW w:w="20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682</w:t>
            </w:r>
          </w:p>
        </w:tc>
        <w:tc>
          <w:tcPr>
            <w:tcW w:w="120" w:type="dxa"/>
            <w:vAlign w:val="bottom"/>
          </w:tcPr>
          <w:p>
            <w:pPr>
              <w:spacing w:after="0"/>
              <w:rPr>
                <w:sz w:val="15"/>
                <w:szCs w:val="15"/>
                <w:color w:val="auto"/>
              </w:rPr>
            </w:pPr>
          </w:p>
        </w:tc>
        <w:tc>
          <w:tcPr>
            <w:tcW w:w="18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631</w:t>
            </w:r>
          </w:p>
        </w:tc>
      </w:tr>
      <w:tr>
        <w:trPr>
          <w:trHeight w:val="187"/>
        </w:trPr>
        <w:tc>
          <w:tcPr>
            <w:tcW w:w="5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securities</w:t>
            </w:r>
          </w:p>
        </w:tc>
        <w:tc>
          <w:tcPr>
            <w:tcW w:w="112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182"/>
        </w:trPr>
        <w:tc>
          <w:tcPr>
            <w:tcW w:w="5280" w:type="dxa"/>
            <w:vAlign w:val="bottom"/>
          </w:tcPr>
          <w:p>
            <w:pPr>
              <w:ind w:left="20"/>
              <w:spacing w:after="0"/>
              <w:rPr>
                <w:sz w:val="20"/>
                <w:szCs w:val="20"/>
                <w:color w:val="auto"/>
              </w:rPr>
            </w:pPr>
            <w:r>
              <w:rPr>
                <w:rFonts w:ascii="Arial" w:cs="Arial" w:eastAsia="Arial" w:hAnsi="Arial"/>
                <w:sz w:val="14"/>
                <w:szCs w:val="14"/>
                <w:color w:val="auto"/>
              </w:rPr>
              <w:t>Preferred securities</w:t>
            </w:r>
          </w:p>
        </w:tc>
        <w:tc>
          <w:tcPr>
            <w:tcW w:w="11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187"/>
        </w:trPr>
        <w:tc>
          <w:tcPr>
            <w:tcW w:w="5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Mortgage loans</w:t>
            </w:r>
          </w:p>
        </w:tc>
        <w:tc>
          <w:tcPr>
            <w:tcW w:w="112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r>
      <w:tr>
        <w:trPr>
          <w:trHeight w:val="182"/>
        </w:trPr>
        <w:tc>
          <w:tcPr>
            <w:tcW w:w="5280" w:type="dxa"/>
            <w:vAlign w:val="bottom"/>
          </w:tcPr>
          <w:p>
            <w:pPr>
              <w:ind w:left="20"/>
              <w:spacing w:after="0"/>
              <w:rPr>
                <w:sz w:val="20"/>
                <w:szCs w:val="20"/>
                <w:color w:val="auto"/>
              </w:rPr>
            </w:pPr>
            <w:r>
              <w:rPr>
                <w:rFonts w:ascii="Arial" w:cs="Arial" w:eastAsia="Arial" w:hAnsi="Arial"/>
                <w:sz w:val="14"/>
                <w:szCs w:val="14"/>
                <w:color w:val="auto"/>
              </w:rPr>
              <w:t>Invested cash and short-term investments</w:t>
            </w:r>
          </w:p>
        </w:tc>
        <w:tc>
          <w:tcPr>
            <w:tcW w:w="11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87"/>
        </w:trPr>
        <w:tc>
          <w:tcPr>
            <w:tcW w:w="5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Limited partnerships</w:t>
            </w:r>
          </w:p>
        </w:tc>
        <w:tc>
          <w:tcPr>
            <w:tcW w:w="112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164</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w:t>
            </w:r>
          </w:p>
        </w:tc>
      </w:tr>
      <w:tr>
        <w:trPr>
          <w:trHeight w:val="182"/>
        </w:trPr>
        <w:tc>
          <w:tcPr>
            <w:tcW w:w="5280" w:type="dxa"/>
            <w:vAlign w:val="bottom"/>
          </w:tcPr>
          <w:p>
            <w:pPr>
              <w:ind w:left="20"/>
              <w:spacing w:after="0"/>
              <w:rPr>
                <w:sz w:val="20"/>
                <w:szCs w:val="20"/>
                <w:color w:val="auto"/>
              </w:rPr>
            </w:pPr>
            <w:r>
              <w:rPr>
                <w:rFonts w:ascii="Arial" w:cs="Arial" w:eastAsia="Arial" w:hAnsi="Arial"/>
                <w:sz w:val="14"/>
                <w:szCs w:val="14"/>
                <w:color w:val="auto"/>
              </w:rPr>
              <w:t>Tax deferred property exchange income</w:t>
            </w:r>
          </w:p>
        </w:tc>
        <w:tc>
          <w:tcPr>
            <w:tcW w:w="11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187"/>
        </w:trPr>
        <w:tc>
          <w:tcPr>
            <w:tcW w:w="5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investments</w:t>
            </w:r>
          </w:p>
        </w:tc>
        <w:tc>
          <w:tcPr>
            <w:tcW w:w="112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r>
      <w:tr>
        <w:trPr>
          <w:trHeight w:val="175"/>
        </w:trPr>
        <w:tc>
          <w:tcPr>
            <w:tcW w:w="5280" w:type="dxa"/>
            <w:vAlign w:val="bottom"/>
          </w:tcPr>
          <w:p>
            <w:pPr>
              <w:ind w:left="220"/>
              <w:spacing w:after="0"/>
              <w:rPr>
                <w:sz w:val="20"/>
                <w:szCs w:val="20"/>
                <w:color w:val="auto"/>
              </w:rPr>
            </w:pPr>
            <w:r>
              <w:rPr>
                <w:rFonts w:ascii="Arial" w:cs="Arial" w:eastAsia="Arial" w:hAnsi="Arial"/>
                <w:sz w:val="14"/>
                <w:szCs w:val="14"/>
                <w:color w:val="auto"/>
              </w:rPr>
              <w:t>Gross investment income</w:t>
            </w:r>
          </w:p>
        </w:tc>
        <w:tc>
          <w:tcPr>
            <w:tcW w:w="11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w w:val="85"/>
              </w:rPr>
              <w:t>511</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w w:val="85"/>
              </w:rPr>
              <w:t>556</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1,036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997</w:t>
            </w:r>
          </w:p>
        </w:tc>
      </w:tr>
      <w:tr>
        <w:trPr>
          <w:trHeight w:val="184"/>
        </w:trPr>
        <w:tc>
          <w:tcPr>
            <w:tcW w:w="5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 expense</w:t>
            </w:r>
          </w:p>
        </w:tc>
        <w:tc>
          <w:tcPr>
            <w:tcW w:w="112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(48)</w:t>
            </w:r>
          </w:p>
        </w:tc>
        <w:tc>
          <w:tcPr>
            <w:tcW w:w="120" w:type="dxa"/>
            <w:vAlign w:val="bottom"/>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(42)</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w:t>
            </w:r>
          </w:p>
        </w:tc>
      </w:tr>
      <w:tr>
        <w:trPr>
          <w:trHeight w:val="180"/>
        </w:trPr>
        <w:tc>
          <w:tcPr>
            <w:tcW w:w="5280" w:type="dxa"/>
            <w:vAlign w:val="bottom"/>
          </w:tcPr>
          <w:p>
            <w:pPr>
              <w:ind w:left="20"/>
              <w:spacing w:after="0"/>
              <w:rPr>
                <w:sz w:val="20"/>
                <w:szCs w:val="20"/>
                <w:color w:val="auto"/>
              </w:rPr>
            </w:pPr>
            <w:r>
              <w:rPr>
                <w:rFonts w:ascii="Arial" w:cs="Arial" w:eastAsia="Arial" w:hAnsi="Arial"/>
                <w:sz w:val="14"/>
                <w:szCs w:val="14"/>
                <w:b w:val="1"/>
                <w:bCs w:val="1"/>
                <w:color w:val="auto"/>
              </w:rPr>
              <w:t>Interest and investment income</w:t>
            </w:r>
          </w:p>
        </w:tc>
        <w:tc>
          <w:tcPr>
            <w:tcW w:w="1120" w:type="dxa"/>
            <w:vAlign w:val="bottom"/>
            <w:tcBorders>
              <w:bottom w:val="single" w:sz="8" w:color="auto"/>
            </w:tcBorders>
          </w:tcPr>
          <w:p>
            <w:pPr>
              <w:jc w:val="right"/>
              <w:ind w:right="970"/>
              <w:spacing w:after="0"/>
              <w:rPr>
                <w:sz w:val="20"/>
                <w:szCs w:val="20"/>
                <w:color w:val="auto"/>
              </w:rPr>
            </w:pPr>
            <w:r>
              <w:rPr>
                <w:rFonts w:ascii="Arial" w:cs="Arial" w:eastAsia="Arial" w:hAnsi="Arial"/>
                <w:sz w:val="14"/>
                <w:szCs w:val="14"/>
                <w:color w:val="auto"/>
                <w:w w:val="76"/>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5"/>
              </w:rPr>
              <w:t>463</w:t>
            </w:r>
          </w:p>
        </w:tc>
        <w:tc>
          <w:tcPr>
            <w:tcW w:w="120" w:type="dxa"/>
            <w:vAlign w:val="bottom"/>
          </w:tcPr>
          <w:p>
            <w:pPr>
              <w:spacing w:after="0"/>
              <w:rPr>
                <w:sz w:val="15"/>
                <w:szCs w:val="15"/>
                <w:color w:val="auto"/>
              </w:rPr>
            </w:pPr>
          </w:p>
        </w:tc>
        <w:tc>
          <w:tcPr>
            <w:tcW w:w="1100" w:type="dxa"/>
            <w:vAlign w:val="bottom"/>
            <w:tcBorders>
              <w:bottom w:val="single" w:sz="8" w:color="auto"/>
            </w:tcBorders>
          </w:tcPr>
          <w:p>
            <w:pPr>
              <w:jc w:val="right"/>
              <w:ind w:right="950"/>
              <w:spacing w:after="0"/>
              <w:rPr>
                <w:sz w:val="20"/>
                <w:szCs w:val="20"/>
                <w:color w:val="auto"/>
              </w:rPr>
            </w:pPr>
            <w:r>
              <w:rPr>
                <w:rFonts w:ascii="Arial" w:cs="Arial" w:eastAsia="Arial" w:hAnsi="Arial"/>
                <w:sz w:val="14"/>
                <w:szCs w:val="14"/>
                <w:color w:val="auto"/>
                <w:w w:val="76"/>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5"/>
              </w:rPr>
              <w:t>514</w:t>
            </w:r>
          </w:p>
        </w:tc>
        <w:tc>
          <w:tcPr>
            <w:tcW w:w="120" w:type="dxa"/>
            <w:vAlign w:val="bottom"/>
          </w:tcPr>
          <w:p>
            <w:pPr>
              <w:spacing w:after="0"/>
              <w:rPr>
                <w:sz w:val="15"/>
                <w:szCs w:val="15"/>
                <w:color w:val="auto"/>
              </w:rPr>
            </w:pPr>
          </w:p>
        </w:tc>
        <w:tc>
          <w:tcPr>
            <w:tcW w:w="2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941</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916</w:t>
            </w:r>
          </w:p>
        </w:tc>
      </w:tr>
      <w:tr>
        <w:trPr>
          <w:trHeight w:val="20"/>
        </w:trPr>
        <w:tc>
          <w:tcPr>
            <w:tcW w:w="5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Recognized Gains and Losses, net</w:t>
      </w:r>
    </w:p>
    <w:p>
      <w:pPr>
        <w:spacing w:after="0" w:line="122"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Details underlying Recognized gains and losses, net reported on the accompanying unaudited Condensed Consolidated Statements of Earnings were as follows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870"/>
              <w:spacing w:after="0"/>
              <w:rPr>
                <w:sz w:val="20"/>
                <w:szCs w:val="20"/>
                <w:color w:val="auto"/>
              </w:rPr>
            </w:pPr>
            <w:r>
              <w:rPr>
                <w:rFonts w:ascii="Arial" w:cs="Arial" w:eastAsia="Arial" w:hAnsi="Arial"/>
                <w:sz w:val="14"/>
                <w:szCs w:val="14"/>
                <w:b w:val="1"/>
                <w:bCs w:val="1"/>
                <w:color w:val="auto"/>
              </w:rPr>
              <w:t>Six months ended</w:t>
            </w:r>
          </w:p>
        </w:tc>
      </w:tr>
      <w:tr>
        <w:trPr>
          <w:trHeight w:val="182"/>
        </w:trPr>
        <w:tc>
          <w:tcPr>
            <w:tcW w:w="5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2022</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June 30, 2021</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2022</w:t>
            </w:r>
          </w:p>
        </w:tc>
        <w:tc>
          <w:tcPr>
            <w:tcW w:w="180" w:type="dxa"/>
            <w:vAlign w:val="bottom"/>
          </w:tcPr>
          <w:p>
            <w:pPr>
              <w:spacing w:after="0"/>
              <w:rPr>
                <w:sz w:val="15"/>
                <w:szCs w:val="15"/>
                <w:color w:val="auto"/>
              </w:rPr>
            </w:pPr>
          </w:p>
        </w:tc>
        <w:tc>
          <w:tcPr>
            <w:tcW w:w="1220" w:type="dxa"/>
            <w:vAlign w:val="bottom"/>
          </w:tcPr>
          <w:p>
            <w:pPr>
              <w:jc w:val="right"/>
              <w:ind w:right="230"/>
              <w:spacing w:after="0"/>
              <w:rPr>
                <w:sz w:val="20"/>
                <w:szCs w:val="20"/>
                <w:color w:val="auto"/>
              </w:rPr>
            </w:pPr>
            <w:r>
              <w:rPr>
                <w:rFonts w:ascii="Arial" w:cs="Arial" w:eastAsia="Arial" w:hAnsi="Arial"/>
                <w:sz w:val="14"/>
                <w:szCs w:val="14"/>
                <w:b w:val="1"/>
                <w:bCs w:val="1"/>
                <w:color w:val="auto"/>
                <w:w w:val="98"/>
              </w:rPr>
              <w:t>June 30, 2021</w:t>
            </w:r>
          </w:p>
        </w:tc>
      </w:tr>
      <w:tr>
        <w:trPr>
          <w:trHeight w:val="178"/>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realized (losses) gains on fixed maturity available-for-sale securities</w:t>
            </w: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2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ind w:right="950"/>
              <w:spacing w:after="0"/>
              <w:rPr>
                <w:sz w:val="20"/>
                <w:szCs w:val="20"/>
                <w:color w:val="auto"/>
              </w:rPr>
            </w:pPr>
            <w:r>
              <w:rPr>
                <w:rFonts w:ascii="Arial" w:cs="Arial" w:eastAsia="Arial" w:hAnsi="Arial"/>
                <w:sz w:val="14"/>
                <w:szCs w:val="14"/>
                <w:color w:val="auto"/>
                <w:w w:val="76"/>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w:t>
            </w:r>
          </w:p>
        </w:tc>
      </w:tr>
      <w:tr>
        <w:trPr>
          <w:trHeight w:val="182"/>
        </w:trPr>
        <w:tc>
          <w:tcPr>
            <w:tcW w:w="5280" w:type="dxa"/>
            <w:vAlign w:val="bottom"/>
          </w:tcPr>
          <w:p>
            <w:pPr>
              <w:ind w:left="20"/>
              <w:spacing w:after="0"/>
              <w:rPr>
                <w:sz w:val="20"/>
                <w:szCs w:val="20"/>
                <w:color w:val="auto"/>
              </w:rPr>
            </w:pPr>
            <w:r>
              <w:rPr>
                <w:rFonts w:ascii="Arial" w:cs="Arial" w:eastAsia="Arial" w:hAnsi="Arial"/>
                <w:sz w:val="14"/>
                <w:szCs w:val="14"/>
                <w:color w:val="auto"/>
              </w:rPr>
              <w:t>Net realized/unrealized losses on equity securities (1)</w:t>
            </w:r>
          </w:p>
        </w:tc>
        <w:tc>
          <w:tcPr>
            <w:tcW w:w="2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(221)</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w w:val="96"/>
              </w:rPr>
              <w:t>(42)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(370)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(88)</w:t>
            </w:r>
          </w:p>
        </w:tc>
      </w:tr>
      <w:tr>
        <w:trPr>
          <w:trHeight w:val="187"/>
        </w:trPr>
        <w:tc>
          <w:tcPr>
            <w:tcW w:w="5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realized/unrealized (losses) gains on preferred securities (2)</w:t>
            </w: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r>
      <w:tr>
        <w:trPr>
          <w:trHeight w:val="182"/>
        </w:trPr>
        <w:tc>
          <w:tcPr>
            <w:tcW w:w="5280" w:type="dxa"/>
            <w:vAlign w:val="bottom"/>
          </w:tcPr>
          <w:p>
            <w:pPr>
              <w:ind w:left="20"/>
              <w:spacing w:after="0"/>
              <w:rPr>
                <w:sz w:val="20"/>
                <w:szCs w:val="20"/>
                <w:color w:val="auto"/>
              </w:rPr>
            </w:pPr>
            <w:r>
              <w:rPr>
                <w:rFonts w:ascii="Arial" w:cs="Arial" w:eastAsia="Arial" w:hAnsi="Arial"/>
                <w:sz w:val="14"/>
                <w:szCs w:val="14"/>
                <w:color w:val="auto"/>
              </w:rPr>
              <w:t>Realized (losses) gains on other invested assets</w:t>
            </w:r>
          </w:p>
        </w:tc>
        <w:tc>
          <w:tcPr>
            <w:tcW w:w="2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187"/>
        </w:trPr>
        <w:tc>
          <w:tcPr>
            <w:tcW w:w="5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allowance for expected credit losses</w:t>
            </w: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r>
      <w:tr>
        <w:trPr>
          <w:trHeight w:val="182"/>
        </w:trPr>
        <w:tc>
          <w:tcPr>
            <w:tcW w:w="5280" w:type="dxa"/>
            <w:vAlign w:val="bottom"/>
          </w:tcPr>
          <w:p>
            <w:pPr>
              <w:ind w:left="20"/>
              <w:spacing w:after="0"/>
              <w:rPr>
                <w:sz w:val="20"/>
                <w:szCs w:val="20"/>
                <w:color w:val="auto"/>
              </w:rPr>
            </w:pPr>
            <w:r>
              <w:rPr>
                <w:rFonts w:ascii="Arial" w:cs="Arial" w:eastAsia="Arial" w:hAnsi="Arial"/>
                <w:sz w:val="14"/>
                <w:szCs w:val="14"/>
                <w:color w:val="auto"/>
              </w:rPr>
              <w:t>Derivatives and embedded derivatives:</w:t>
            </w: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7"/>
        </w:trPr>
        <w:tc>
          <w:tcPr>
            <w:tcW w:w="5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Realized (losses) gains on certain derivative instruments</w:t>
            </w: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120</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w:t>
            </w:r>
          </w:p>
        </w:tc>
      </w:tr>
      <w:tr>
        <w:trPr>
          <w:trHeight w:val="182"/>
        </w:trPr>
        <w:tc>
          <w:tcPr>
            <w:tcW w:w="5280" w:type="dxa"/>
            <w:vAlign w:val="bottom"/>
          </w:tcPr>
          <w:p>
            <w:pPr>
              <w:ind w:left="140"/>
              <w:spacing w:after="0"/>
              <w:rPr>
                <w:sz w:val="20"/>
                <w:szCs w:val="20"/>
                <w:color w:val="auto"/>
              </w:rPr>
            </w:pPr>
            <w:r>
              <w:rPr>
                <w:rFonts w:ascii="Arial" w:cs="Arial" w:eastAsia="Arial" w:hAnsi="Arial"/>
                <w:sz w:val="14"/>
                <w:szCs w:val="14"/>
                <w:color w:val="auto"/>
              </w:rPr>
              <w:t>Unrealized (losses) gains on certain derivative instruments</w:t>
            </w:r>
          </w:p>
        </w:tc>
        <w:tc>
          <w:tcPr>
            <w:tcW w:w="2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(359)</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w w:val="85"/>
              </w:rPr>
              <w:t>142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(717)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107</w:t>
            </w:r>
          </w:p>
        </w:tc>
      </w:tr>
      <w:tr>
        <w:trPr>
          <w:trHeight w:val="187"/>
        </w:trPr>
        <w:tc>
          <w:tcPr>
            <w:tcW w:w="5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Change in fair value of reinsurance related embedded derivatives (3)</w:t>
            </w: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(27)</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52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Change in fair value of other derivatives and embedded derivatives</w:t>
            </w: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r>
      <w:tr>
        <w:trPr>
          <w:trHeight w:val="177"/>
        </w:trPr>
        <w:tc>
          <w:tcPr>
            <w:tcW w:w="5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Realized (losses) gains on derivatives and embedded derivatives</w:t>
            </w:r>
          </w:p>
        </w:tc>
        <w:tc>
          <w:tcPr>
            <w:tcW w:w="20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w:t>
            </w:r>
          </w:p>
        </w:tc>
        <w:tc>
          <w:tcPr>
            <w:tcW w:w="12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5"/>
              </w:rPr>
              <w:t>238</w:t>
            </w: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(447)</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290</w:t>
            </w:r>
          </w:p>
        </w:tc>
      </w:tr>
      <w:tr>
        <w:trPr>
          <w:trHeight w:val="180"/>
        </w:trPr>
        <w:tc>
          <w:tcPr>
            <w:tcW w:w="5280" w:type="dxa"/>
            <w:vAlign w:val="bottom"/>
          </w:tcPr>
          <w:p>
            <w:pPr>
              <w:ind w:left="20"/>
              <w:spacing w:after="0"/>
              <w:rPr>
                <w:sz w:val="20"/>
                <w:szCs w:val="20"/>
                <w:color w:val="auto"/>
              </w:rPr>
            </w:pPr>
            <w:r>
              <w:rPr>
                <w:rFonts w:ascii="Arial" w:cs="Arial" w:eastAsia="Arial" w:hAnsi="Arial"/>
                <w:sz w:val="14"/>
                <w:szCs w:val="14"/>
                <w:b w:val="1"/>
                <w:bCs w:val="1"/>
                <w:color w:val="auto"/>
              </w:rPr>
              <w:t>Recognized gains and losses, net</w:t>
            </w:r>
          </w:p>
        </w:tc>
        <w:tc>
          <w:tcPr>
            <w:tcW w:w="2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(676)</w:t>
            </w:r>
          </w:p>
        </w:tc>
        <w:tc>
          <w:tcPr>
            <w:tcW w:w="120" w:type="dxa"/>
            <w:vAlign w:val="bottom"/>
          </w:tcPr>
          <w:p>
            <w:pPr>
              <w:spacing w:after="0"/>
              <w:rPr>
                <w:sz w:val="15"/>
                <w:szCs w:val="15"/>
                <w:color w:val="auto"/>
              </w:rPr>
            </w:pPr>
          </w:p>
        </w:tc>
        <w:tc>
          <w:tcPr>
            <w:tcW w:w="1100" w:type="dxa"/>
            <w:vAlign w:val="bottom"/>
            <w:tcBorders>
              <w:bottom w:val="single" w:sz="8" w:color="auto"/>
            </w:tcBorders>
          </w:tcPr>
          <w:p>
            <w:pPr>
              <w:jc w:val="right"/>
              <w:ind w:right="950"/>
              <w:spacing w:after="0"/>
              <w:rPr>
                <w:sz w:val="20"/>
                <w:szCs w:val="20"/>
                <w:color w:val="auto"/>
              </w:rPr>
            </w:pPr>
            <w:r>
              <w:rPr>
                <w:rFonts w:ascii="Arial" w:cs="Arial" w:eastAsia="Arial" w:hAnsi="Arial"/>
                <w:sz w:val="14"/>
                <w:szCs w:val="14"/>
                <w:color w:val="auto"/>
                <w:w w:val="76"/>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5"/>
              </w:rPr>
              <w:t>232</w:t>
            </w:r>
          </w:p>
        </w:tc>
        <w:tc>
          <w:tcPr>
            <w:tcW w:w="120" w:type="dxa"/>
            <w:vAlign w:val="bottom"/>
          </w:tcPr>
          <w:p>
            <w:pPr>
              <w:spacing w:after="0"/>
              <w:rPr>
                <w:sz w:val="15"/>
                <w:szCs w:val="15"/>
                <w:color w:val="auto"/>
              </w:rPr>
            </w:pPr>
          </w:p>
        </w:tc>
        <w:tc>
          <w:tcPr>
            <w:tcW w:w="2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(1,145)</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275</w:t>
            </w:r>
          </w:p>
        </w:tc>
      </w:tr>
      <w:tr>
        <w:trPr>
          <w:trHeight w:val="20"/>
        </w:trPr>
        <w:tc>
          <w:tcPr>
            <w:tcW w:w="5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ind w:firstLine="5"/>
        <w:spacing w:after="0" w:line="244" w:lineRule="auto"/>
        <w:tabs>
          <w:tab w:leader="none" w:pos="203"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net valuation losses of $(222) million and $(46) million for the three months ended June 30, 2022 and 2021, respectively, and net valuation losses of $(388) million and $(92) million for the six months ended June 30, 2022 and 2021, respectively.</w:t>
      </w:r>
    </w:p>
    <w:p>
      <w:pPr>
        <w:ind w:firstLine="5"/>
        <w:spacing w:after="0" w:line="235" w:lineRule="auto"/>
        <w:tabs>
          <w:tab w:leader="none" w:pos="207"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net valuation (losses) gains of $(118) million and $7 million for the three months ended June 30, 2022 and 2021, respectively, and net valuation (losses) gains of $(207) million and $4 million for the six months ended June 30, 2022 and 2021, respectively.</w:t>
      </w:r>
    </w:p>
    <w:p>
      <w:pPr>
        <w:ind w:firstLine="5"/>
        <w:spacing w:after="0" w:line="244" w:lineRule="auto"/>
        <w:tabs>
          <w:tab w:leader="none" w:pos="203" w:val="left"/>
        </w:tabs>
        <w:numPr>
          <w:ilvl w:val="0"/>
          <w:numId w:val="8"/>
        </w:numPr>
        <w:rPr>
          <w:rFonts w:ascii="Arial" w:cs="Arial" w:eastAsia="Arial" w:hAnsi="Arial"/>
          <w:sz w:val="14"/>
          <w:szCs w:val="14"/>
          <w:color w:val="auto"/>
        </w:rPr>
      </w:pPr>
      <w:r>
        <w:rPr>
          <w:rFonts w:ascii="Arial" w:cs="Arial" w:eastAsia="Arial" w:hAnsi="Arial"/>
          <w:sz w:val="14"/>
          <w:szCs w:val="14"/>
          <w:color w:val="auto"/>
        </w:rPr>
        <w:t>Change in fair value of reinsurance related embedded derivatives is due to activity related to the reinsurance treaties with Kubera (novated from Kubera to Sommerset effective October 31, 2021) and Aspida Re.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proceeds from the sale of fixed-maturity securities and the gross gains and losses associated with those transactions were as follows (in millions):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80" w:type="dxa"/>
            <w:vAlign w:val="bottom"/>
          </w:tcPr>
          <w:p>
            <w:pPr>
              <w:spacing w:after="0"/>
              <w:rPr>
                <w:sz w:val="16"/>
                <w:szCs w:val="16"/>
                <w:color w:val="auto"/>
              </w:rPr>
            </w:pPr>
          </w:p>
        </w:tc>
        <w:tc>
          <w:tcPr>
            <w:tcW w:w="262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870"/>
              <w:spacing w:after="0"/>
              <w:rPr>
                <w:sz w:val="20"/>
                <w:szCs w:val="20"/>
                <w:color w:val="auto"/>
              </w:rPr>
            </w:pPr>
            <w:r>
              <w:rPr>
                <w:rFonts w:ascii="Arial" w:cs="Arial" w:eastAsia="Arial" w:hAnsi="Arial"/>
                <w:sz w:val="14"/>
                <w:szCs w:val="14"/>
                <w:b w:val="1"/>
                <w:bCs w:val="1"/>
                <w:color w:val="auto"/>
              </w:rPr>
              <w:t>Six months ended</w:t>
            </w:r>
          </w:p>
        </w:tc>
      </w:tr>
      <w:tr>
        <w:trPr>
          <w:trHeight w:val="182"/>
        </w:trPr>
        <w:tc>
          <w:tcPr>
            <w:tcW w:w="52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June 30, 2022</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June 30, 2021</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2022</w:t>
            </w:r>
          </w:p>
        </w:tc>
        <w:tc>
          <w:tcPr>
            <w:tcW w:w="180" w:type="dxa"/>
            <w:vAlign w:val="bottom"/>
          </w:tcPr>
          <w:p>
            <w:pPr>
              <w:spacing w:after="0"/>
              <w:rPr>
                <w:sz w:val="15"/>
                <w:szCs w:val="15"/>
                <w:color w:val="auto"/>
              </w:rPr>
            </w:pPr>
          </w:p>
        </w:tc>
        <w:tc>
          <w:tcPr>
            <w:tcW w:w="1220" w:type="dxa"/>
            <w:vAlign w:val="bottom"/>
          </w:tcPr>
          <w:p>
            <w:pPr>
              <w:jc w:val="right"/>
              <w:ind w:right="230"/>
              <w:spacing w:after="0"/>
              <w:rPr>
                <w:sz w:val="20"/>
                <w:szCs w:val="20"/>
                <w:color w:val="auto"/>
              </w:rPr>
            </w:pPr>
            <w:r>
              <w:rPr>
                <w:rFonts w:ascii="Arial" w:cs="Arial" w:eastAsia="Arial" w:hAnsi="Arial"/>
                <w:sz w:val="14"/>
                <w:szCs w:val="14"/>
                <w:b w:val="1"/>
                <w:bCs w:val="1"/>
                <w:color w:val="auto"/>
                <w:w w:val="98"/>
              </w:rPr>
              <w:t>June 30, 2021</w:t>
            </w:r>
          </w:p>
        </w:tc>
      </w:tr>
      <w:tr>
        <w:trPr>
          <w:trHeight w:val="178"/>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Proceeds</w:t>
            </w:r>
          </w:p>
        </w:tc>
        <w:tc>
          <w:tcPr>
            <w:tcW w:w="1120" w:type="dxa"/>
            <w:vAlign w:val="bottom"/>
            <w:tcBorders>
              <w:top w:val="single" w:sz="8" w:color="auto"/>
            </w:tcBorders>
            <w:shd w:val="clear" w:color="auto" w:fill="CCEEFF"/>
          </w:tcPr>
          <w:p>
            <w:pPr>
              <w:jc w:val="right"/>
              <w:ind w:right="970"/>
              <w:spacing w:after="0"/>
              <w:rPr>
                <w:sz w:val="20"/>
                <w:szCs w:val="20"/>
                <w:color w:val="auto"/>
              </w:rPr>
            </w:pPr>
            <w:r>
              <w:rPr>
                <w:rFonts w:ascii="Arial" w:cs="Arial" w:eastAsia="Arial" w:hAnsi="Arial"/>
                <w:sz w:val="14"/>
                <w:szCs w:val="14"/>
                <w:color w:val="auto"/>
                <w:w w:val="76"/>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5"/>
              </w:rPr>
              <w:t>802</w:t>
            </w:r>
          </w:p>
        </w:tc>
        <w:tc>
          <w:tcPr>
            <w:tcW w:w="12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ind w:right="950"/>
              <w:spacing w:after="0"/>
              <w:rPr>
                <w:sz w:val="20"/>
                <w:szCs w:val="20"/>
                <w:color w:val="auto"/>
              </w:rPr>
            </w:pPr>
            <w:r>
              <w:rPr>
                <w:rFonts w:ascii="Arial" w:cs="Arial" w:eastAsia="Arial" w:hAnsi="Arial"/>
                <w:sz w:val="14"/>
                <w:szCs w:val="14"/>
                <w:color w:val="auto"/>
                <w:w w:val="76"/>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5"/>
              </w:rPr>
              <w:t>444</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1,835</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869</w:t>
            </w:r>
          </w:p>
        </w:tc>
      </w:tr>
      <w:tr>
        <w:trPr>
          <w:trHeight w:val="182"/>
        </w:trPr>
        <w:tc>
          <w:tcPr>
            <w:tcW w:w="5280" w:type="dxa"/>
            <w:vAlign w:val="bottom"/>
          </w:tcPr>
          <w:p>
            <w:pPr>
              <w:ind w:left="20"/>
              <w:spacing w:after="0"/>
              <w:rPr>
                <w:sz w:val="20"/>
                <w:szCs w:val="20"/>
                <w:color w:val="auto"/>
              </w:rPr>
            </w:pPr>
            <w:r>
              <w:rPr>
                <w:rFonts w:ascii="Arial" w:cs="Arial" w:eastAsia="Arial" w:hAnsi="Arial"/>
                <w:sz w:val="14"/>
                <w:szCs w:val="14"/>
                <w:color w:val="auto"/>
              </w:rPr>
              <w:t>Gross gains</w:t>
            </w:r>
          </w:p>
        </w:tc>
        <w:tc>
          <w:tcPr>
            <w:tcW w:w="11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68</w:t>
            </w:r>
          </w:p>
        </w:tc>
      </w:tr>
      <w:tr>
        <w:trPr>
          <w:trHeight w:val="187"/>
        </w:trPr>
        <w:tc>
          <w:tcPr>
            <w:tcW w:w="5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losses</w:t>
            </w:r>
          </w:p>
        </w:tc>
        <w:tc>
          <w:tcPr>
            <w:tcW w:w="112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(61)</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r>
    </w:tbl>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Unconsolidated Variable Interest Entities</w:t>
      </w:r>
    </w:p>
    <w:p>
      <w:pPr>
        <w:spacing w:after="0" w:line="161"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We own investments in VIEs that are not consolidated within our financial statements. A VIE is an entity that does not have sufficient equity to finance its own activities without additional financial support, where investors lack certain characteristics of a controlling financial interest, or where the entity is structured with non-substantive voting rights. VIEs are consolidated by their ‘primary beneficiary’, a designation given to an entity that receives both the benefits from the VIE as well as the substantive power to make its key economic decisions. While we participate in the benefits from VIEs in which we invest, but do not consolidate, the substantive power to make the key economic decisions for each respective VIE resides with entities not under our common control. It is for this reason that we are not considered the primary beneficiary for the VIE investments that are not consolidated.</w:t>
      </w:r>
    </w:p>
    <w:p>
      <w:pPr>
        <w:spacing w:after="0" w:line="62"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We invest in various limited partnerships and limited liability companies primarily as a passive investor. These investments are primarily in credit funds with a bias towards current income, real assets, or private equity. Limited partnership and limited liability company interests are accounted for under the equity method and are included in Investments in unconsolidated affiliates on our unaudited Condensed Consolidated Balance Sheets. In addition, we invest in structured investments, which may be VIEs, but for which we are not the primary beneficiary. These structured investments typically invest in fixed income investments and are managed by third parties and include asset-backed securities, commercial mortgage-backed securities and residential mortgage-backed securities included in fixed maturity securities available for sale on our unaudited Condensed Consolidated Balance Sheets.</w:t>
      </w:r>
    </w:p>
    <w:p>
      <w:pPr>
        <w:spacing w:after="0" w:line="115" w:lineRule="exact"/>
        <w:rPr>
          <w:sz w:val="20"/>
          <w:szCs w:val="20"/>
          <w:color w:val="auto"/>
        </w:rPr>
      </w:pPr>
    </w:p>
    <w:p>
      <w:pPr>
        <w:jc w:val="both"/>
        <w:ind w:firstLine="434"/>
        <w:spacing w:after="0" w:line="252" w:lineRule="auto"/>
        <w:rPr>
          <w:sz w:val="20"/>
          <w:szCs w:val="20"/>
          <w:color w:val="auto"/>
        </w:rPr>
      </w:pPr>
      <w:r>
        <w:rPr>
          <w:rFonts w:ascii="Arial" w:cs="Arial" w:eastAsia="Arial" w:hAnsi="Arial"/>
          <w:sz w:val="18"/>
          <w:szCs w:val="18"/>
          <w:color w:val="auto"/>
        </w:rPr>
        <w:t xml:space="preserve">Our maximum exposure to loss with respect to these VIEs is limited to the investment carrying amounts reported in our unaudited Condensed Consolidated Balance Sheets for limited partnerships and the amortized costs of our fixed maturity securities, in addition to any required unfunded commitments (also refer to Note F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the carrying value and the maximum loss exposure of our unconsolidated VIEs as of June 30, 2022 and December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80" w:type="dxa"/>
            <w:vAlign w:val="bottom"/>
            <w:gridSpan w:val="5"/>
          </w:tcPr>
          <w:p>
            <w:pPr>
              <w:ind w:left="900"/>
              <w:spacing w:after="0"/>
              <w:rPr>
                <w:sz w:val="20"/>
                <w:szCs w:val="20"/>
                <w:color w:val="auto"/>
              </w:rPr>
            </w:pPr>
            <w:r>
              <w:rPr>
                <w:rFonts w:ascii="Arial" w:cs="Arial" w:eastAsia="Arial" w:hAnsi="Arial"/>
                <w:sz w:val="14"/>
                <w:szCs w:val="14"/>
                <w:b w:val="1"/>
                <w:bCs w:val="1"/>
                <w:color w:val="auto"/>
              </w:rPr>
              <w:t>June 30, 2022</w:t>
            </w:r>
          </w:p>
        </w:tc>
        <w:tc>
          <w:tcPr>
            <w:tcW w:w="180" w:type="dxa"/>
            <w:vAlign w:val="bottom"/>
          </w:tcPr>
          <w:p>
            <w:pPr>
              <w:spacing w:after="0"/>
              <w:rPr>
                <w:sz w:val="16"/>
                <w:szCs w:val="16"/>
                <w:color w:val="auto"/>
              </w:rPr>
            </w:pPr>
          </w:p>
        </w:tc>
        <w:tc>
          <w:tcPr>
            <w:tcW w:w="2760" w:type="dxa"/>
            <w:vAlign w:val="bottom"/>
            <w:gridSpan w:val="4"/>
          </w:tcPr>
          <w:p>
            <w:pPr>
              <w:jc w:val="right"/>
              <w:ind w:right="830"/>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30"/>
        </w:trPr>
        <w:tc>
          <w:tcPr>
            <w:tcW w:w="52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4"/>
                <w:szCs w:val="14"/>
                <w:b w:val="1"/>
                <w:bCs w:val="1"/>
                <w:color w:val="auto"/>
              </w:rPr>
              <w:t>Carrying Value</w:t>
            </w:r>
          </w:p>
        </w:tc>
        <w:tc>
          <w:tcPr>
            <w:tcW w:w="16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center"/>
              <w:ind w:right="70"/>
              <w:spacing w:after="0" w:line="130" w:lineRule="exact"/>
              <w:rPr>
                <w:sz w:val="20"/>
                <w:szCs w:val="20"/>
                <w:color w:val="auto"/>
              </w:rPr>
            </w:pPr>
            <w:r>
              <w:rPr>
                <w:rFonts w:ascii="Arial" w:cs="Arial" w:eastAsia="Arial" w:hAnsi="Arial"/>
                <w:sz w:val="14"/>
                <w:szCs w:val="14"/>
                <w:b w:val="1"/>
                <w:bCs w:val="1"/>
                <w:color w:val="auto"/>
                <w:w w:val="92"/>
              </w:rPr>
              <w:t>Maximum Loss</w:t>
            </w: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4"/>
                <w:szCs w:val="14"/>
                <w:b w:val="1"/>
                <w:bCs w:val="1"/>
                <w:color w:val="auto"/>
              </w:rPr>
              <w:t>Carrying Value</w:t>
            </w:r>
          </w:p>
        </w:tc>
        <w:tc>
          <w:tcPr>
            <w:tcW w:w="16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right"/>
              <w:ind w:right="170"/>
              <w:spacing w:after="0" w:line="130" w:lineRule="exact"/>
              <w:rPr>
                <w:sz w:val="20"/>
                <w:szCs w:val="20"/>
                <w:color w:val="auto"/>
              </w:rPr>
            </w:pPr>
            <w:r>
              <w:rPr>
                <w:rFonts w:ascii="Arial" w:cs="Arial" w:eastAsia="Arial" w:hAnsi="Arial"/>
                <w:sz w:val="14"/>
                <w:szCs w:val="14"/>
                <w:b w:val="1"/>
                <w:bCs w:val="1"/>
                <w:color w:val="auto"/>
                <w:w w:val="96"/>
              </w:rPr>
              <w:t>Maximum Loss</w:t>
            </w:r>
          </w:p>
        </w:tc>
        <w:tc>
          <w:tcPr>
            <w:tcW w:w="0" w:type="dxa"/>
            <w:vAlign w:val="bottom"/>
          </w:tcPr>
          <w:p>
            <w:pPr>
              <w:spacing w:after="0"/>
              <w:rPr>
                <w:sz w:val="1"/>
                <w:szCs w:val="1"/>
                <w:color w:val="auto"/>
              </w:rPr>
            </w:pPr>
          </w:p>
        </w:tc>
      </w:tr>
      <w:tr>
        <w:trPr>
          <w:trHeight w:val="184"/>
        </w:trPr>
        <w:tc>
          <w:tcPr>
            <w:tcW w:w="5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Exposure</w:t>
            </w:r>
          </w:p>
        </w:tc>
        <w:tc>
          <w:tcPr>
            <w:tcW w:w="18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ind w:right="350"/>
              <w:spacing w:after="0"/>
              <w:rPr>
                <w:sz w:val="20"/>
                <w:szCs w:val="20"/>
                <w:color w:val="auto"/>
              </w:rPr>
            </w:pPr>
            <w:r>
              <w:rPr>
                <w:rFonts w:ascii="Arial" w:cs="Arial" w:eastAsia="Arial" w:hAnsi="Arial"/>
                <w:sz w:val="14"/>
                <w:szCs w:val="14"/>
                <w:b w:val="1"/>
                <w:bCs w:val="1"/>
                <w:color w:val="auto"/>
              </w:rPr>
              <w:t>Exposure</w:t>
            </w:r>
          </w:p>
        </w:tc>
        <w:tc>
          <w:tcPr>
            <w:tcW w:w="0" w:type="dxa"/>
            <w:vAlign w:val="bottom"/>
          </w:tcPr>
          <w:p>
            <w:pPr>
              <w:spacing w:after="0"/>
              <w:rPr>
                <w:sz w:val="1"/>
                <w:szCs w:val="1"/>
                <w:color w:val="auto"/>
              </w:rPr>
            </w:pPr>
          </w:p>
        </w:tc>
      </w:tr>
      <w:tr>
        <w:trPr>
          <w:trHeight w:val="178"/>
        </w:trPr>
        <w:tc>
          <w:tcPr>
            <w:tcW w:w="5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Investment in limited partnerships</w:t>
            </w: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2,668</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4,343</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2,350</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3,496</w:t>
            </w:r>
          </w:p>
        </w:tc>
        <w:tc>
          <w:tcPr>
            <w:tcW w:w="0" w:type="dxa"/>
            <w:vAlign w:val="bottom"/>
          </w:tcPr>
          <w:p>
            <w:pPr>
              <w:spacing w:after="0"/>
              <w:rPr>
                <w:sz w:val="1"/>
                <w:szCs w:val="1"/>
                <w:color w:val="auto"/>
              </w:rPr>
            </w:pPr>
          </w:p>
        </w:tc>
      </w:tr>
      <w:tr>
        <w:trPr>
          <w:trHeight w:val="182"/>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Fixed maturity securities</w:t>
            </w: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13,026</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14,255</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12,382</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12,802</w:t>
            </w:r>
          </w:p>
        </w:tc>
        <w:tc>
          <w:tcPr>
            <w:tcW w:w="0" w:type="dxa"/>
            <w:vAlign w:val="bottom"/>
          </w:tcPr>
          <w:p>
            <w:pPr>
              <w:spacing w:after="0"/>
              <w:rPr>
                <w:sz w:val="1"/>
                <w:szCs w:val="1"/>
                <w:color w:val="auto"/>
              </w:rPr>
            </w:pPr>
          </w:p>
        </w:tc>
      </w:tr>
      <w:tr>
        <w:trPr>
          <w:trHeight w:val="205"/>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unconsolidated VIE investments</w:t>
            </w: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15,694</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18,598</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14,732</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16,298</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w:t>
      </w:r>
    </w:p>
    <w:p>
      <w:pPr>
        <w:spacing w:after="0" w:line="12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underlying investment concentrations that exceed 10% of shareholders equity are as follows (in millions):</w:t>
      </w:r>
    </w:p>
    <w:p>
      <w:pPr>
        <w:spacing w:after="0" w:line="164" w:lineRule="exact"/>
        <w:rPr>
          <w:sz w:val="20"/>
          <w:szCs w:val="20"/>
          <w:color w:val="auto"/>
        </w:rPr>
      </w:pPr>
    </w:p>
    <w:tbl>
      <w:tblPr>
        <w:tblLayout w:type="fixed"/>
        <w:tblInd w:w="400" w:type="dxa"/>
        <w:tblCellMar>
          <w:top w:w="0" w:type="dxa"/>
          <w:left w:w="0" w:type="dxa"/>
          <w:bottom w:w="0" w:type="dxa"/>
          <w:right w:w="0" w:type="dxa"/>
        </w:tblCellMar>
      </w:tblPr>
      <w:tr>
        <w:trPr>
          <w:trHeight w:val="188"/>
        </w:trPr>
        <w:tc>
          <w:tcPr>
            <w:tcW w:w="92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auto"/>
              </w:rPr>
              <w:t>June 30, 2022</w:t>
            </w:r>
          </w:p>
        </w:tc>
      </w:tr>
      <w:tr>
        <w:trPr>
          <w:trHeight w:val="183"/>
        </w:trPr>
        <w:tc>
          <w:tcPr>
            <w:tcW w:w="92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Blackstone Wave Asset Holdco (1)</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960</w:t>
            </w:r>
          </w:p>
        </w:tc>
      </w:tr>
      <w:tr>
        <w:trPr>
          <w:trHeight w:val="179"/>
        </w:trPr>
        <w:tc>
          <w:tcPr>
            <w:tcW w:w="9220" w:type="dxa"/>
            <w:vAlign w:val="bottom"/>
          </w:tcPr>
          <w:p>
            <w:pPr>
              <w:ind w:left="420"/>
              <w:spacing w:after="0"/>
              <w:rPr>
                <w:sz w:val="20"/>
                <w:szCs w:val="20"/>
                <w:color w:val="auto"/>
              </w:rPr>
            </w:pPr>
            <w:r>
              <w:rPr>
                <w:rFonts w:ascii="Arial" w:cs="Arial" w:eastAsia="Arial" w:hAnsi="Arial"/>
                <w:sz w:val="14"/>
                <w:szCs w:val="14"/>
                <w:color w:val="auto"/>
              </w:rPr>
              <w:t>Jade 22 (2)</w:t>
            </w:r>
          </w:p>
        </w:tc>
        <w:tc>
          <w:tcPr>
            <w:tcW w:w="1420" w:type="dxa"/>
            <w:vAlign w:val="bottom"/>
          </w:tcPr>
          <w:p>
            <w:pPr>
              <w:jc w:val="right"/>
              <w:spacing w:after="0"/>
              <w:rPr>
                <w:sz w:val="20"/>
                <w:szCs w:val="20"/>
                <w:color w:val="auto"/>
              </w:rPr>
            </w:pPr>
            <w:r>
              <w:rPr>
                <w:rFonts w:ascii="Arial" w:cs="Arial" w:eastAsia="Arial" w:hAnsi="Arial"/>
                <w:sz w:val="14"/>
                <w:szCs w:val="14"/>
                <w:color w:val="auto"/>
              </w:rPr>
              <w:t>855</w:t>
            </w:r>
          </w:p>
        </w:tc>
      </w:tr>
    </w:tbl>
    <w:p>
      <w:pPr>
        <w:spacing w:after="0" w:line="145" w:lineRule="exact"/>
        <w:rPr>
          <w:sz w:val="20"/>
          <w:szCs w:val="20"/>
          <w:color w:val="auto"/>
        </w:rPr>
      </w:pPr>
    </w:p>
    <w:p>
      <w:pPr>
        <w:ind w:left="420" w:right="260" w:firstLine="392"/>
        <w:spacing w:after="0" w:line="231" w:lineRule="auto"/>
        <w:tabs>
          <w:tab w:leader="none" w:pos="1013" w:val="left"/>
        </w:tabs>
        <w:numPr>
          <w:ilvl w:val="0"/>
          <w:numId w:val="9"/>
        </w:numPr>
        <w:rPr>
          <w:rFonts w:ascii="Arial" w:cs="Arial" w:eastAsia="Arial" w:hAnsi="Arial"/>
          <w:sz w:val="14"/>
          <w:szCs w:val="14"/>
          <w:color w:val="auto"/>
        </w:rPr>
      </w:pPr>
      <w:r>
        <w:rPr>
          <w:rFonts w:ascii="Arial" w:cs="Arial" w:eastAsia="Arial" w:hAnsi="Arial"/>
          <w:sz w:val="14"/>
          <w:szCs w:val="14"/>
          <w:color w:val="auto"/>
        </w:rPr>
        <w:t>Represents a special purpose vehicle that holds investments in numerous limited partnership investments whose underlying investments are further diversified by holding interest in multiple individual investments and industries.</w:t>
      </w:r>
    </w:p>
    <w:p>
      <w:pPr>
        <w:spacing w:after="0" w:line="19" w:lineRule="exact"/>
        <w:rPr>
          <w:rFonts w:ascii="Arial" w:cs="Arial" w:eastAsia="Arial" w:hAnsi="Arial"/>
          <w:sz w:val="14"/>
          <w:szCs w:val="14"/>
          <w:color w:val="auto"/>
        </w:rPr>
      </w:pPr>
    </w:p>
    <w:p>
      <w:pPr>
        <w:ind w:left="1020" w:hanging="208"/>
        <w:spacing w:after="0"/>
        <w:tabs>
          <w:tab w:leader="none" w:pos="102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Represents a special purpose vehicle that holds numerous underlying corporate loans across various industries.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Cannae Holdings, Inc. ("Cannae")</w:t>
      </w:r>
    </w:p>
    <w:p>
      <w:pPr>
        <w:spacing w:after="0" w:line="109" w:lineRule="exact"/>
        <w:rPr>
          <w:sz w:val="20"/>
          <w:szCs w:val="20"/>
          <w:color w:val="auto"/>
        </w:rPr>
      </w:pPr>
    </w:p>
    <w:p>
      <w:pPr>
        <w:jc w:val="both"/>
        <w:ind w:firstLine="316"/>
        <w:spacing w:after="0" w:line="291" w:lineRule="auto"/>
        <w:rPr>
          <w:sz w:val="20"/>
          <w:szCs w:val="20"/>
          <w:color w:val="auto"/>
        </w:rPr>
      </w:pPr>
      <w:r>
        <w:rPr>
          <w:rFonts w:ascii="Arial" w:cs="Arial" w:eastAsia="Arial" w:hAnsi="Arial"/>
          <w:sz w:val="16"/>
          <w:szCs w:val="16"/>
          <w:color w:val="auto"/>
        </w:rPr>
        <w:t>Included in equity securities as of December 31, 2021 were 5,775,598 shares of Cannae common stock (NYSE: CNNE). The fair value of this investment based on quoted market prices as of December 31, 2021 was $203 million. During the three months ended June 30, 2022, we sold 4,775,598 shares of CNNE common stock back to Cannae for approximately $85 million in the aggregate. During the six months ended June 30, 2022, we sold 5,775,598 shares of CNNE common stock back to Cannae for approximately $109 million in the aggregate. As of June 30, 2022, we held no shares of CNNE common stock.</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Dividends</w:t>
      </w:r>
    </w:p>
    <w:p>
      <w:pPr>
        <w:spacing w:after="0" w:line="115" w:lineRule="exact"/>
        <w:rPr>
          <w:sz w:val="20"/>
          <w:szCs w:val="20"/>
          <w:color w:val="auto"/>
        </w:rPr>
      </w:pPr>
    </w:p>
    <w:p>
      <w:pPr>
        <w:jc w:val="both"/>
        <w:ind w:firstLine="316"/>
        <w:spacing w:after="0" w:line="261" w:lineRule="auto"/>
        <w:rPr>
          <w:sz w:val="20"/>
          <w:szCs w:val="20"/>
          <w:color w:val="auto"/>
        </w:rPr>
      </w:pPr>
      <w:r>
        <w:rPr>
          <w:rFonts w:ascii="Arial" w:cs="Arial" w:eastAsia="Arial" w:hAnsi="Arial"/>
          <w:sz w:val="18"/>
          <w:szCs w:val="18"/>
          <w:color w:val="auto"/>
        </w:rPr>
        <w:t>On August 2, 2022, our Board of Directors declared cash dividends of $0.44 per share, payable on September 30, 2022, to FNF common shareholders of record as of September 16, 2022.</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 Segment Information</w:t>
      </w:r>
    </w:p>
    <w:p>
      <w:pPr>
        <w:spacing w:after="0" w:line="11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Summarized financial information concerning our reportable segments is shown in the following tables.</w:t>
      </w:r>
    </w:p>
    <w:p>
      <w:pPr>
        <w:spacing w:after="0" w:line="10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and for the three months ended June 30, 2022:</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38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Title</w:t>
            </w: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ind w:left="180"/>
              <w:spacing w:after="0"/>
              <w:rPr>
                <w:sz w:val="20"/>
                <w:szCs w:val="20"/>
                <w:color w:val="auto"/>
              </w:rPr>
            </w:pPr>
            <w:r>
              <w:rPr>
                <w:rFonts w:ascii="Arial" w:cs="Arial" w:eastAsia="Arial" w:hAnsi="Arial"/>
                <w:sz w:val="12"/>
                <w:szCs w:val="12"/>
                <w:color w:val="auto"/>
              </w:rPr>
              <w:t>F&amp;G</w:t>
            </w:r>
          </w:p>
        </w:tc>
        <w:tc>
          <w:tcPr>
            <w:tcW w:w="1260" w:type="dxa"/>
            <w:vAlign w:val="bottom"/>
            <w:tcBorders>
              <w:bottom w:val="single" w:sz="8" w:color="auto"/>
            </w:tcBorders>
            <w:gridSpan w:val="3"/>
          </w:tcPr>
          <w:p>
            <w:pPr>
              <w:ind w:left="60"/>
              <w:spacing w:after="0"/>
              <w:rPr>
                <w:sz w:val="20"/>
                <w:szCs w:val="20"/>
                <w:color w:val="auto"/>
              </w:rPr>
            </w:pPr>
            <w:r>
              <w:rPr>
                <w:rFonts w:ascii="Arial" w:cs="Arial" w:eastAsia="Arial" w:hAnsi="Arial"/>
                <w:sz w:val="12"/>
                <w:szCs w:val="12"/>
                <w:color w:val="auto"/>
              </w:rPr>
              <w:t>Corporate and Other</w:t>
            </w: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3"/>
        </w:trPr>
        <w:tc>
          <w:tcPr>
            <w:tcW w:w="6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3"/>
          </w:tcPr>
          <w:p>
            <w:pPr>
              <w:jc w:val="right"/>
              <w:ind w:right="172"/>
              <w:spacing w:after="0"/>
              <w:rPr>
                <w:sz w:val="20"/>
                <w:szCs w:val="20"/>
                <w:color w:val="auto"/>
              </w:rPr>
            </w:pPr>
            <w:r>
              <w:rPr>
                <w:rFonts w:ascii="Arial" w:cs="Arial" w:eastAsia="Arial" w:hAnsi="Arial"/>
                <w:sz w:val="12"/>
                <w:szCs w:val="12"/>
                <w:color w:val="auto"/>
              </w:rPr>
              <w:t>(In millions)</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Title premiums</w:t>
            </w:r>
          </w:p>
        </w:tc>
        <w:tc>
          <w:tcPr>
            <w:tcW w:w="720" w:type="dxa"/>
            <w:vAlign w:val="bottom"/>
            <w:shd w:val="clear" w:color="auto" w:fill="CCEEFF"/>
          </w:tcPr>
          <w:p>
            <w:pPr>
              <w:jc w:val="right"/>
              <w:ind w:right="552"/>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2,062</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352"/>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110"/>
              <w:spacing w:after="0"/>
              <w:rPr>
                <w:sz w:val="20"/>
                <w:szCs w:val="20"/>
                <w:color w:val="auto"/>
              </w:rPr>
            </w:pPr>
            <w:r>
              <w:rPr>
                <w:rFonts w:ascii="Arial" w:cs="Arial" w:eastAsia="Arial" w:hAnsi="Arial"/>
                <w:sz w:val="14"/>
                <w:szCs w:val="14"/>
                <w:b w:val="1"/>
                <w:bCs w:val="1"/>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2,062</w:t>
            </w:r>
          </w:p>
        </w:tc>
        <w:tc>
          <w:tcPr>
            <w:tcW w:w="0" w:type="dxa"/>
            <w:vAlign w:val="bottom"/>
          </w:tcPr>
          <w:p>
            <w:pPr>
              <w:spacing w:after="0"/>
              <w:rPr>
                <w:sz w:val="1"/>
                <w:szCs w:val="1"/>
                <w:color w:val="auto"/>
              </w:rPr>
            </w:pPr>
          </w:p>
        </w:tc>
      </w:tr>
      <w:tr>
        <w:trPr>
          <w:trHeight w:val="184"/>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revenues</w:t>
            </w:r>
          </w:p>
        </w:tc>
        <w:tc>
          <w:tcPr>
            <w:tcW w:w="7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706</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782</w:t>
            </w:r>
          </w:p>
        </w:tc>
        <w:tc>
          <w:tcPr>
            <w:tcW w:w="0" w:type="dxa"/>
            <w:vAlign w:val="bottom"/>
          </w:tcPr>
          <w:p>
            <w:pPr>
              <w:spacing w:after="0"/>
              <w:rPr>
                <w:sz w:val="1"/>
                <w:szCs w:val="1"/>
                <w:color w:val="auto"/>
              </w:rPr>
            </w:pPr>
          </w:p>
        </w:tc>
      </w:tr>
      <w:tr>
        <w:trPr>
          <w:trHeight w:val="178"/>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 from external customers</w:t>
            </w:r>
          </w:p>
        </w:tc>
        <w:tc>
          <w:tcPr>
            <w:tcW w:w="72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2,768</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2,844</w:t>
            </w:r>
          </w:p>
        </w:tc>
        <w:tc>
          <w:tcPr>
            <w:tcW w:w="0" w:type="dxa"/>
            <w:vAlign w:val="bottom"/>
          </w:tcPr>
          <w:p>
            <w:pPr>
              <w:spacing w:after="0"/>
              <w:rPr>
                <w:sz w:val="1"/>
                <w:szCs w:val="1"/>
                <w:color w:val="auto"/>
              </w:rPr>
            </w:pPr>
          </w:p>
        </w:tc>
      </w:tr>
      <w:tr>
        <w:trPr>
          <w:trHeight w:val="184"/>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and investment income, including recognized gains and losses, net</w:t>
            </w:r>
          </w:p>
        </w:tc>
        <w:tc>
          <w:tcPr>
            <w:tcW w:w="7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(213)</w:t>
            </w:r>
          </w:p>
        </w:tc>
        <w:tc>
          <w:tcPr>
            <w:tcW w:w="0" w:type="dxa"/>
            <w:vAlign w:val="bottom"/>
          </w:tcPr>
          <w:p>
            <w:pPr>
              <w:spacing w:after="0"/>
              <w:rPr>
                <w:sz w:val="1"/>
                <w:szCs w:val="1"/>
                <w:color w:val="auto"/>
              </w:rPr>
            </w:pPr>
          </w:p>
        </w:tc>
      </w:tr>
      <w:tr>
        <w:trPr>
          <w:trHeight w:val="178"/>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revenues</w:t>
            </w:r>
          </w:p>
        </w:tc>
        <w:tc>
          <w:tcPr>
            <w:tcW w:w="72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2,554</w:t>
            </w: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2,631</w:t>
            </w:r>
          </w:p>
        </w:tc>
        <w:tc>
          <w:tcPr>
            <w:tcW w:w="0" w:type="dxa"/>
            <w:vAlign w:val="bottom"/>
          </w:tcPr>
          <w:p>
            <w:pPr>
              <w:spacing w:after="0"/>
              <w:rPr>
                <w:sz w:val="1"/>
                <w:szCs w:val="1"/>
                <w:color w:val="auto"/>
              </w:rPr>
            </w:pPr>
          </w:p>
        </w:tc>
      </w:tr>
      <w:tr>
        <w:trPr>
          <w:trHeight w:val="177"/>
        </w:trPr>
        <w:tc>
          <w:tcPr>
            <w:tcW w:w="638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7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161</w:t>
            </w:r>
          </w:p>
        </w:tc>
        <w:tc>
          <w:tcPr>
            <w:tcW w:w="0" w:type="dxa"/>
            <w:vAlign w:val="bottom"/>
          </w:tcPr>
          <w:p>
            <w:pPr>
              <w:spacing w:after="0"/>
              <w:rPr>
                <w:sz w:val="1"/>
                <w:szCs w:val="1"/>
                <w:color w:val="auto"/>
              </w:rPr>
            </w:pPr>
          </w:p>
        </w:tc>
      </w:tr>
      <w:tr>
        <w:trPr>
          <w:trHeight w:val="185"/>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72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w:t>
            </w:r>
          </w:p>
        </w:tc>
        <w:tc>
          <w:tcPr>
            <w:tcW w:w="0" w:type="dxa"/>
            <w:vAlign w:val="bottom"/>
          </w:tcPr>
          <w:p>
            <w:pPr>
              <w:spacing w:after="0"/>
              <w:rPr>
                <w:sz w:val="1"/>
                <w:szCs w:val="1"/>
                <w:color w:val="auto"/>
              </w:rPr>
            </w:pPr>
          </w:p>
        </w:tc>
      </w:tr>
      <w:tr>
        <w:trPr>
          <w:trHeight w:val="132"/>
        </w:trPr>
        <w:tc>
          <w:tcPr>
            <w:tcW w:w="6380" w:type="dxa"/>
            <w:vAlign w:val="bottom"/>
          </w:tcPr>
          <w:p>
            <w:pPr>
              <w:ind w:left="20"/>
              <w:spacing w:after="0" w:line="132" w:lineRule="exact"/>
              <w:rPr>
                <w:sz w:val="20"/>
                <w:szCs w:val="20"/>
                <w:color w:val="auto"/>
              </w:rPr>
            </w:pPr>
            <w:r>
              <w:rPr>
                <w:rFonts w:ascii="Arial" w:cs="Arial" w:eastAsia="Arial" w:hAnsi="Arial"/>
                <w:sz w:val="14"/>
                <w:szCs w:val="14"/>
                <w:color w:val="auto"/>
                <w:w w:val="92"/>
              </w:rPr>
              <w:t>Earnings (loss) from continuing operations before income taxes and equity in earnings (loss) of unconsolidated</w:t>
            </w:r>
          </w:p>
        </w:tc>
        <w:tc>
          <w:tcPr>
            <w:tcW w:w="720" w:type="dxa"/>
            <w:vAlign w:val="bottom"/>
          </w:tcPr>
          <w:p>
            <w:pPr>
              <w:spacing w:after="0"/>
              <w:rPr>
                <w:sz w:val="11"/>
                <w:szCs w:val="11"/>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267</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290</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538</w:t>
            </w:r>
          </w:p>
        </w:tc>
        <w:tc>
          <w:tcPr>
            <w:tcW w:w="0" w:type="dxa"/>
            <w:vAlign w:val="bottom"/>
          </w:tcPr>
          <w:p>
            <w:pPr>
              <w:spacing w:after="0"/>
              <w:rPr>
                <w:sz w:val="1"/>
                <w:szCs w:val="1"/>
                <w:color w:val="auto"/>
              </w:rPr>
            </w:pPr>
          </w:p>
        </w:tc>
      </w:tr>
      <w:tr>
        <w:trPr>
          <w:trHeight w:val="182"/>
        </w:trPr>
        <w:tc>
          <w:tcPr>
            <w:tcW w:w="6380" w:type="dxa"/>
            <w:vAlign w:val="bottom"/>
          </w:tcPr>
          <w:p>
            <w:pPr>
              <w:ind w:left="20"/>
              <w:spacing w:after="0"/>
              <w:rPr>
                <w:sz w:val="20"/>
                <w:szCs w:val="20"/>
                <w:color w:val="auto"/>
              </w:rPr>
            </w:pPr>
            <w:r>
              <w:rPr>
                <w:rFonts w:ascii="Arial" w:cs="Arial" w:eastAsia="Arial" w:hAnsi="Arial"/>
                <w:sz w:val="14"/>
                <w:szCs w:val="14"/>
                <w:color w:val="auto"/>
              </w:rPr>
              <w:t>affiliates</w:t>
            </w:r>
          </w:p>
        </w:tc>
        <w:tc>
          <w:tcPr>
            <w:tcW w:w="72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 (benefit)</w:t>
            </w:r>
          </w:p>
        </w:tc>
        <w:tc>
          <w:tcPr>
            <w:tcW w:w="72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164</w:t>
            </w:r>
          </w:p>
        </w:tc>
        <w:tc>
          <w:tcPr>
            <w:tcW w:w="0" w:type="dxa"/>
            <w:vAlign w:val="bottom"/>
          </w:tcPr>
          <w:p>
            <w:pPr>
              <w:spacing w:after="0"/>
              <w:rPr>
                <w:sz w:val="1"/>
                <w:szCs w:val="1"/>
                <w:color w:val="auto"/>
              </w:rPr>
            </w:pPr>
          </w:p>
        </w:tc>
      </w:tr>
      <w:tr>
        <w:trPr>
          <w:trHeight w:val="177"/>
        </w:trPr>
        <w:tc>
          <w:tcPr>
            <w:tcW w:w="6380" w:type="dxa"/>
            <w:vAlign w:val="bottom"/>
          </w:tcPr>
          <w:p>
            <w:pPr>
              <w:ind w:left="20"/>
              <w:spacing w:after="0"/>
              <w:rPr>
                <w:sz w:val="20"/>
                <w:szCs w:val="20"/>
                <w:color w:val="auto"/>
              </w:rPr>
            </w:pPr>
            <w:r>
              <w:rPr>
                <w:rFonts w:ascii="Arial" w:cs="Arial" w:eastAsia="Arial" w:hAnsi="Arial"/>
                <w:sz w:val="14"/>
                <w:szCs w:val="14"/>
                <w:color w:val="auto"/>
              </w:rPr>
              <w:t>Earnings (loss) from continuing operations before equity in earnings (loss) of unconsolidated affiliates</w:t>
            </w:r>
          </w:p>
        </w:tc>
        <w:tc>
          <w:tcPr>
            <w:tcW w:w="7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156</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230</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374</w:t>
            </w:r>
          </w:p>
        </w:tc>
        <w:tc>
          <w:tcPr>
            <w:tcW w:w="0" w:type="dxa"/>
            <w:vAlign w:val="bottom"/>
          </w:tcPr>
          <w:p>
            <w:pPr>
              <w:spacing w:after="0"/>
              <w:rPr>
                <w:sz w:val="1"/>
                <w:szCs w:val="1"/>
                <w:color w:val="auto"/>
              </w:rPr>
            </w:pPr>
          </w:p>
        </w:tc>
      </w:tr>
      <w:tr>
        <w:trPr>
          <w:trHeight w:val="184"/>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earnings of unconsolidated affiliates</w:t>
            </w:r>
          </w:p>
        </w:tc>
        <w:tc>
          <w:tcPr>
            <w:tcW w:w="72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w:t>
            </w:r>
          </w:p>
        </w:tc>
        <w:tc>
          <w:tcPr>
            <w:tcW w:w="0" w:type="dxa"/>
            <w:vAlign w:val="bottom"/>
          </w:tcPr>
          <w:p>
            <w:pPr>
              <w:spacing w:after="0"/>
              <w:rPr>
                <w:sz w:val="1"/>
                <w:szCs w:val="1"/>
                <w:color w:val="auto"/>
              </w:rPr>
            </w:pPr>
          </w:p>
        </w:tc>
      </w:tr>
      <w:tr>
        <w:trPr>
          <w:trHeight w:val="178"/>
        </w:trPr>
        <w:tc>
          <w:tcPr>
            <w:tcW w:w="6380" w:type="dxa"/>
            <w:vAlign w:val="bottom"/>
          </w:tcPr>
          <w:p>
            <w:pPr>
              <w:ind w:left="20"/>
              <w:spacing w:after="0"/>
              <w:rPr>
                <w:sz w:val="20"/>
                <w:szCs w:val="20"/>
                <w:color w:val="auto"/>
              </w:rPr>
            </w:pPr>
            <w:r>
              <w:rPr>
                <w:rFonts w:ascii="Arial" w:cs="Arial" w:eastAsia="Arial" w:hAnsi="Arial"/>
                <w:sz w:val="14"/>
                <w:szCs w:val="14"/>
                <w:color w:val="auto"/>
              </w:rPr>
              <w:t>Net earnings (loss) from continuing operations</w:t>
            </w:r>
          </w:p>
        </w:tc>
        <w:tc>
          <w:tcPr>
            <w:tcW w:w="72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170</w:t>
            </w:r>
          </w:p>
        </w:tc>
        <w:tc>
          <w:tcPr>
            <w:tcW w:w="12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230</w:t>
            </w:r>
          </w:p>
        </w:tc>
        <w:tc>
          <w:tcPr>
            <w:tcW w:w="100" w:type="dxa"/>
            <w:vAlign w:val="bottom"/>
          </w:tcPr>
          <w:p>
            <w:pPr>
              <w:spacing w:after="0"/>
              <w:rPr>
                <w:sz w:val="15"/>
                <w:szCs w:val="15"/>
                <w:color w:val="auto"/>
              </w:rPr>
            </w:pPr>
          </w:p>
        </w:tc>
        <w:tc>
          <w:tcPr>
            <w:tcW w:w="50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388</w:t>
            </w:r>
          </w:p>
        </w:tc>
        <w:tc>
          <w:tcPr>
            <w:tcW w:w="0" w:type="dxa"/>
            <w:vAlign w:val="bottom"/>
          </w:tcPr>
          <w:p>
            <w:pPr>
              <w:spacing w:after="0"/>
              <w:rPr>
                <w:sz w:val="1"/>
                <w:szCs w:val="1"/>
                <w:color w:val="auto"/>
              </w:rPr>
            </w:pP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720" w:type="dxa"/>
            <w:vAlign w:val="bottom"/>
            <w:shd w:val="clear" w:color="auto" w:fill="CCEEFF"/>
          </w:tcPr>
          <w:p>
            <w:pPr>
              <w:jc w:val="right"/>
              <w:ind w:right="552"/>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9,309</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49,608</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52"/>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2,313</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0"/>
              <w:spacing w:after="0"/>
              <w:rPr>
                <w:sz w:val="20"/>
                <w:szCs w:val="20"/>
                <w:color w:val="auto"/>
              </w:rPr>
            </w:pPr>
            <w:r>
              <w:rPr>
                <w:rFonts w:ascii="Arial" w:cs="Arial" w:eastAsia="Arial" w:hAnsi="Arial"/>
                <w:sz w:val="14"/>
                <w:szCs w:val="14"/>
                <w:b w:val="1"/>
                <w:bCs w:val="1"/>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61,230</w:t>
            </w:r>
          </w:p>
        </w:tc>
        <w:tc>
          <w:tcPr>
            <w:tcW w:w="0" w:type="dxa"/>
            <w:vAlign w:val="bottom"/>
          </w:tcPr>
          <w:p>
            <w:pPr>
              <w:spacing w:after="0"/>
              <w:rPr>
                <w:sz w:val="1"/>
                <w:szCs w:val="1"/>
                <w:color w:val="auto"/>
              </w:rPr>
            </w:pPr>
          </w:p>
        </w:tc>
      </w:tr>
      <w:tr>
        <w:trPr>
          <w:trHeight w:val="183"/>
        </w:trPr>
        <w:tc>
          <w:tcPr>
            <w:tcW w:w="6380" w:type="dxa"/>
            <w:vAlign w:val="bottom"/>
          </w:tcPr>
          <w:p>
            <w:pPr>
              <w:ind w:left="20"/>
              <w:spacing w:after="0"/>
              <w:rPr>
                <w:sz w:val="20"/>
                <w:szCs w:val="20"/>
                <w:color w:val="auto"/>
              </w:rPr>
            </w:pPr>
            <w:r>
              <w:rPr>
                <w:rFonts w:ascii="Arial" w:cs="Arial" w:eastAsia="Arial" w:hAnsi="Arial"/>
                <w:sz w:val="14"/>
                <w:szCs w:val="14"/>
                <w:color w:val="auto"/>
              </w:rPr>
              <w:t>Goodwill</w:t>
            </w:r>
          </w:p>
        </w:tc>
        <w:tc>
          <w:tcPr>
            <w:tcW w:w="7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w w:val="96"/>
              </w:rPr>
              <w:t>2,516</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1,756</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266</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4,538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and for the three months ended June 30, 2021:</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38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Title</w:t>
            </w: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ind w:left="180"/>
              <w:spacing w:after="0"/>
              <w:rPr>
                <w:sz w:val="20"/>
                <w:szCs w:val="20"/>
                <w:color w:val="auto"/>
              </w:rPr>
            </w:pPr>
            <w:r>
              <w:rPr>
                <w:rFonts w:ascii="Arial" w:cs="Arial" w:eastAsia="Arial" w:hAnsi="Arial"/>
                <w:sz w:val="12"/>
                <w:szCs w:val="12"/>
                <w:color w:val="auto"/>
              </w:rPr>
              <w:t>F&amp;G</w:t>
            </w:r>
          </w:p>
        </w:tc>
        <w:tc>
          <w:tcPr>
            <w:tcW w:w="1260" w:type="dxa"/>
            <w:vAlign w:val="bottom"/>
            <w:tcBorders>
              <w:bottom w:val="single" w:sz="8" w:color="auto"/>
            </w:tcBorders>
            <w:gridSpan w:val="3"/>
          </w:tcPr>
          <w:p>
            <w:pPr>
              <w:ind w:left="60"/>
              <w:spacing w:after="0"/>
              <w:rPr>
                <w:sz w:val="20"/>
                <w:szCs w:val="20"/>
                <w:color w:val="auto"/>
              </w:rPr>
            </w:pPr>
            <w:r>
              <w:rPr>
                <w:rFonts w:ascii="Arial" w:cs="Arial" w:eastAsia="Arial" w:hAnsi="Arial"/>
                <w:sz w:val="12"/>
                <w:szCs w:val="12"/>
                <w:color w:val="auto"/>
              </w:rPr>
              <w:t>Corporate and Other</w:t>
            </w: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3"/>
        </w:trPr>
        <w:tc>
          <w:tcPr>
            <w:tcW w:w="6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3"/>
          </w:tcPr>
          <w:p>
            <w:pPr>
              <w:jc w:val="right"/>
              <w:ind w:right="172"/>
              <w:spacing w:after="0"/>
              <w:rPr>
                <w:sz w:val="20"/>
                <w:szCs w:val="20"/>
                <w:color w:val="auto"/>
              </w:rPr>
            </w:pPr>
            <w:r>
              <w:rPr>
                <w:rFonts w:ascii="Arial" w:cs="Arial" w:eastAsia="Arial" w:hAnsi="Arial"/>
                <w:sz w:val="12"/>
                <w:szCs w:val="12"/>
                <w:color w:val="auto"/>
              </w:rPr>
              <w:t>(In millions)</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Title premiums</w:t>
            </w:r>
          </w:p>
        </w:tc>
        <w:tc>
          <w:tcPr>
            <w:tcW w:w="720" w:type="dxa"/>
            <w:vAlign w:val="bottom"/>
            <w:shd w:val="clear" w:color="auto" w:fill="CCEEFF"/>
          </w:tcPr>
          <w:p>
            <w:pPr>
              <w:jc w:val="right"/>
              <w:ind w:right="552"/>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2,160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352"/>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110"/>
              <w:spacing w:after="0"/>
              <w:rPr>
                <w:sz w:val="20"/>
                <w:szCs w:val="20"/>
                <w:color w:val="auto"/>
              </w:rPr>
            </w:pPr>
            <w:r>
              <w:rPr>
                <w:rFonts w:ascii="Arial" w:cs="Arial" w:eastAsia="Arial" w:hAnsi="Arial"/>
                <w:sz w:val="14"/>
                <w:szCs w:val="14"/>
                <w:b w:val="1"/>
                <w:bCs w:val="1"/>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2,160</w:t>
            </w:r>
          </w:p>
        </w:tc>
        <w:tc>
          <w:tcPr>
            <w:tcW w:w="0" w:type="dxa"/>
            <w:vAlign w:val="bottom"/>
          </w:tcPr>
          <w:p>
            <w:pPr>
              <w:spacing w:after="0"/>
              <w:rPr>
                <w:sz w:val="1"/>
                <w:szCs w:val="1"/>
                <w:color w:val="auto"/>
              </w:rPr>
            </w:pPr>
          </w:p>
        </w:tc>
      </w:tr>
      <w:tr>
        <w:trPr>
          <w:trHeight w:val="184"/>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revenues</w:t>
            </w:r>
          </w:p>
        </w:tc>
        <w:tc>
          <w:tcPr>
            <w:tcW w:w="7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839</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948</w:t>
            </w:r>
          </w:p>
        </w:tc>
        <w:tc>
          <w:tcPr>
            <w:tcW w:w="0" w:type="dxa"/>
            <w:vAlign w:val="bottom"/>
          </w:tcPr>
          <w:p>
            <w:pPr>
              <w:spacing w:after="0"/>
              <w:rPr>
                <w:sz w:val="1"/>
                <w:szCs w:val="1"/>
                <w:color w:val="auto"/>
              </w:rPr>
            </w:pPr>
          </w:p>
        </w:tc>
      </w:tr>
      <w:tr>
        <w:trPr>
          <w:trHeight w:val="178"/>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 from external customers</w:t>
            </w:r>
          </w:p>
        </w:tc>
        <w:tc>
          <w:tcPr>
            <w:tcW w:w="72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2,999</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3,108</w:t>
            </w:r>
          </w:p>
        </w:tc>
        <w:tc>
          <w:tcPr>
            <w:tcW w:w="0" w:type="dxa"/>
            <w:vAlign w:val="bottom"/>
          </w:tcPr>
          <w:p>
            <w:pPr>
              <w:spacing w:after="0"/>
              <w:rPr>
                <w:sz w:val="1"/>
                <w:szCs w:val="1"/>
                <w:color w:val="auto"/>
              </w:rPr>
            </w:pPr>
          </w:p>
        </w:tc>
      </w:tr>
      <w:tr>
        <w:trPr>
          <w:trHeight w:val="184"/>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and investment income, including recognized gains and losses, net</w:t>
            </w:r>
          </w:p>
        </w:tc>
        <w:tc>
          <w:tcPr>
            <w:tcW w:w="7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740</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746</w:t>
            </w:r>
          </w:p>
        </w:tc>
        <w:tc>
          <w:tcPr>
            <w:tcW w:w="0" w:type="dxa"/>
            <w:vAlign w:val="bottom"/>
          </w:tcPr>
          <w:p>
            <w:pPr>
              <w:spacing w:after="0"/>
              <w:rPr>
                <w:sz w:val="1"/>
                <w:szCs w:val="1"/>
                <w:color w:val="auto"/>
              </w:rPr>
            </w:pPr>
          </w:p>
        </w:tc>
      </w:tr>
      <w:tr>
        <w:trPr>
          <w:trHeight w:val="178"/>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revenues</w:t>
            </w:r>
          </w:p>
        </w:tc>
        <w:tc>
          <w:tcPr>
            <w:tcW w:w="72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2,996</w:t>
            </w: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802</w:t>
            </w: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3,854</w:t>
            </w:r>
          </w:p>
        </w:tc>
        <w:tc>
          <w:tcPr>
            <w:tcW w:w="0" w:type="dxa"/>
            <w:vAlign w:val="bottom"/>
          </w:tcPr>
          <w:p>
            <w:pPr>
              <w:spacing w:after="0"/>
              <w:rPr>
                <w:sz w:val="1"/>
                <w:szCs w:val="1"/>
                <w:color w:val="auto"/>
              </w:rPr>
            </w:pPr>
          </w:p>
        </w:tc>
      </w:tr>
      <w:tr>
        <w:trPr>
          <w:trHeight w:val="177"/>
        </w:trPr>
        <w:tc>
          <w:tcPr>
            <w:tcW w:w="638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7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105</w:t>
            </w:r>
          </w:p>
        </w:tc>
        <w:tc>
          <w:tcPr>
            <w:tcW w:w="0" w:type="dxa"/>
            <w:vAlign w:val="bottom"/>
          </w:tcPr>
          <w:p>
            <w:pPr>
              <w:spacing w:after="0"/>
              <w:rPr>
                <w:sz w:val="1"/>
                <w:szCs w:val="1"/>
                <w:color w:val="auto"/>
              </w:rPr>
            </w:pPr>
          </w:p>
        </w:tc>
      </w:tr>
      <w:tr>
        <w:trPr>
          <w:trHeight w:val="185"/>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72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w:t>
            </w:r>
          </w:p>
        </w:tc>
        <w:tc>
          <w:tcPr>
            <w:tcW w:w="0" w:type="dxa"/>
            <w:vAlign w:val="bottom"/>
          </w:tcPr>
          <w:p>
            <w:pPr>
              <w:spacing w:after="0"/>
              <w:rPr>
                <w:sz w:val="1"/>
                <w:szCs w:val="1"/>
                <w:color w:val="auto"/>
              </w:rPr>
            </w:pPr>
          </w:p>
        </w:tc>
      </w:tr>
      <w:tr>
        <w:trPr>
          <w:trHeight w:val="132"/>
        </w:trPr>
        <w:tc>
          <w:tcPr>
            <w:tcW w:w="6380" w:type="dxa"/>
            <w:vAlign w:val="bottom"/>
          </w:tcPr>
          <w:p>
            <w:pPr>
              <w:ind w:left="20"/>
              <w:spacing w:after="0" w:line="132" w:lineRule="exact"/>
              <w:rPr>
                <w:sz w:val="20"/>
                <w:szCs w:val="20"/>
                <w:color w:val="auto"/>
              </w:rPr>
            </w:pPr>
            <w:r>
              <w:rPr>
                <w:rFonts w:ascii="Arial" w:cs="Arial" w:eastAsia="Arial" w:hAnsi="Arial"/>
                <w:sz w:val="14"/>
                <w:szCs w:val="14"/>
                <w:color w:val="auto"/>
                <w:w w:val="98"/>
              </w:rPr>
              <w:t>Earnings (loss) from continuing operations before income taxes and equity in earnings of unconsolidated</w:t>
            </w:r>
          </w:p>
        </w:tc>
        <w:tc>
          <w:tcPr>
            <w:tcW w:w="720" w:type="dxa"/>
            <w:vAlign w:val="bottom"/>
          </w:tcPr>
          <w:p>
            <w:pPr>
              <w:spacing w:after="0"/>
              <w:rPr>
                <w:sz w:val="11"/>
                <w:szCs w:val="11"/>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644</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713</w:t>
            </w:r>
          </w:p>
        </w:tc>
        <w:tc>
          <w:tcPr>
            <w:tcW w:w="0" w:type="dxa"/>
            <w:vAlign w:val="bottom"/>
          </w:tcPr>
          <w:p>
            <w:pPr>
              <w:spacing w:after="0"/>
              <w:rPr>
                <w:sz w:val="1"/>
                <w:szCs w:val="1"/>
                <w:color w:val="auto"/>
              </w:rPr>
            </w:pPr>
          </w:p>
        </w:tc>
      </w:tr>
      <w:tr>
        <w:trPr>
          <w:trHeight w:val="182"/>
        </w:trPr>
        <w:tc>
          <w:tcPr>
            <w:tcW w:w="6380" w:type="dxa"/>
            <w:vAlign w:val="bottom"/>
          </w:tcPr>
          <w:p>
            <w:pPr>
              <w:ind w:left="20"/>
              <w:spacing w:after="0"/>
              <w:rPr>
                <w:sz w:val="20"/>
                <w:szCs w:val="20"/>
                <w:color w:val="auto"/>
              </w:rPr>
            </w:pPr>
            <w:r>
              <w:rPr>
                <w:rFonts w:ascii="Arial" w:cs="Arial" w:eastAsia="Arial" w:hAnsi="Arial"/>
                <w:sz w:val="14"/>
                <w:szCs w:val="14"/>
                <w:color w:val="auto"/>
              </w:rPr>
              <w:t>affiliates</w:t>
            </w:r>
          </w:p>
        </w:tc>
        <w:tc>
          <w:tcPr>
            <w:tcW w:w="72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 (benefit)</w:t>
            </w:r>
          </w:p>
        </w:tc>
        <w:tc>
          <w:tcPr>
            <w:tcW w:w="72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176</w:t>
            </w:r>
          </w:p>
        </w:tc>
        <w:tc>
          <w:tcPr>
            <w:tcW w:w="0" w:type="dxa"/>
            <w:vAlign w:val="bottom"/>
          </w:tcPr>
          <w:p>
            <w:pPr>
              <w:spacing w:after="0"/>
              <w:rPr>
                <w:sz w:val="1"/>
                <w:szCs w:val="1"/>
                <w:color w:val="auto"/>
              </w:rPr>
            </w:pPr>
          </w:p>
        </w:tc>
      </w:tr>
      <w:tr>
        <w:trPr>
          <w:trHeight w:val="177"/>
        </w:trPr>
        <w:tc>
          <w:tcPr>
            <w:tcW w:w="6380" w:type="dxa"/>
            <w:vAlign w:val="bottom"/>
          </w:tcPr>
          <w:p>
            <w:pPr>
              <w:ind w:left="20"/>
              <w:spacing w:after="0"/>
              <w:rPr>
                <w:sz w:val="20"/>
                <w:szCs w:val="20"/>
                <w:color w:val="auto"/>
              </w:rPr>
            </w:pPr>
            <w:r>
              <w:rPr>
                <w:rFonts w:ascii="Arial" w:cs="Arial" w:eastAsia="Arial" w:hAnsi="Arial"/>
                <w:sz w:val="14"/>
                <w:szCs w:val="14"/>
                <w:color w:val="auto"/>
              </w:rPr>
              <w:t>Earnings (loss) from continuing operations before equity in earnings (loss) of unconsolidated affiliates</w:t>
            </w:r>
          </w:p>
        </w:tc>
        <w:tc>
          <w:tcPr>
            <w:tcW w:w="7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484</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537</w:t>
            </w:r>
          </w:p>
        </w:tc>
        <w:tc>
          <w:tcPr>
            <w:tcW w:w="0" w:type="dxa"/>
            <w:vAlign w:val="bottom"/>
          </w:tcPr>
          <w:p>
            <w:pPr>
              <w:spacing w:after="0"/>
              <w:rPr>
                <w:sz w:val="1"/>
                <w:szCs w:val="1"/>
                <w:color w:val="auto"/>
              </w:rPr>
            </w:pPr>
          </w:p>
        </w:tc>
      </w:tr>
      <w:tr>
        <w:trPr>
          <w:trHeight w:val="184"/>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earnings (loss) of unconsolidated affiliates</w:t>
            </w:r>
          </w:p>
        </w:tc>
        <w:tc>
          <w:tcPr>
            <w:tcW w:w="72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w:t>
            </w:r>
          </w:p>
        </w:tc>
        <w:tc>
          <w:tcPr>
            <w:tcW w:w="0" w:type="dxa"/>
            <w:vAlign w:val="bottom"/>
          </w:tcPr>
          <w:p>
            <w:pPr>
              <w:spacing w:after="0"/>
              <w:rPr>
                <w:sz w:val="1"/>
                <w:szCs w:val="1"/>
                <w:color w:val="auto"/>
              </w:rPr>
            </w:pPr>
          </w:p>
        </w:tc>
      </w:tr>
      <w:tr>
        <w:trPr>
          <w:trHeight w:val="178"/>
        </w:trPr>
        <w:tc>
          <w:tcPr>
            <w:tcW w:w="6380" w:type="dxa"/>
            <w:vAlign w:val="bottom"/>
          </w:tcPr>
          <w:p>
            <w:pPr>
              <w:ind w:left="20"/>
              <w:spacing w:after="0"/>
              <w:rPr>
                <w:sz w:val="20"/>
                <w:szCs w:val="20"/>
                <w:color w:val="auto"/>
              </w:rPr>
            </w:pPr>
            <w:r>
              <w:rPr>
                <w:rFonts w:ascii="Arial" w:cs="Arial" w:eastAsia="Arial" w:hAnsi="Arial"/>
                <w:sz w:val="14"/>
                <w:szCs w:val="14"/>
                <w:color w:val="auto"/>
              </w:rPr>
              <w:t>Net earnings (loss) from continuing operations</w:t>
            </w:r>
          </w:p>
        </w:tc>
        <w:tc>
          <w:tcPr>
            <w:tcW w:w="72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498</w:t>
            </w:r>
          </w:p>
        </w:tc>
        <w:tc>
          <w:tcPr>
            <w:tcW w:w="12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5"/>
                <w:szCs w:val="15"/>
                <w:color w:val="auto"/>
              </w:rPr>
            </w:pPr>
          </w:p>
        </w:tc>
        <w:tc>
          <w:tcPr>
            <w:tcW w:w="50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551</w:t>
            </w:r>
          </w:p>
        </w:tc>
        <w:tc>
          <w:tcPr>
            <w:tcW w:w="0" w:type="dxa"/>
            <w:vAlign w:val="bottom"/>
          </w:tcPr>
          <w:p>
            <w:pPr>
              <w:spacing w:after="0"/>
              <w:rPr>
                <w:sz w:val="1"/>
                <w:szCs w:val="1"/>
                <w:color w:val="auto"/>
              </w:rPr>
            </w:pP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720" w:type="dxa"/>
            <w:vAlign w:val="bottom"/>
            <w:shd w:val="clear" w:color="auto" w:fill="CCEEFF"/>
          </w:tcPr>
          <w:p>
            <w:pPr>
              <w:jc w:val="right"/>
              <w:ind w:right="552"/>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9,565</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43,206</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52"/>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1,749</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0"/>
              <w:spacing w:after="0"/>
              <w:rPr>
                <w:sz w:val="20"/>
                <w:szCs w:val="20"/>
                <w:color w:val="auto"/>
              </w:rPr>
            </w:pPr>
            <w:r>
              <w:rPr>
                <w:rFonts w:ascii="Arial" w:cs="Arial" w:eastAsia="Arial" w:hAnsi="Arial"/>
                <w:sz w:val="14"/>
                <w:szCs w:val="14"/>
                <w:b w:val="1"/>
                <w:bCs w:val="1"/>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54,520</w:t>
            </w:r>
          </w:p>
        </w:tc>
        <w:tc>
          <w:tcPr>
            <w:tcW w:w="0" w:type="dxa"/>
            <w:vAlign w:val="bottom"/>
          </w:tcPr>
          <w:p>
            <w:pPr>
              <w:spacing w:after="0"/>
              <w:rPr>
                <w:sz w:val="1"/>
                <w:szCs w:val="1"/>
                <w:color w:val="auto"/>
              </w:rPr>
            </w:pPr>
          </w:p>
        </w:tc>
      </w:tr>
      <w:tr>
        <w:trPr>
          <w:trHeight w:val="183"/>
        </w:trPr>
        <w:tc>
          <w:tcPr>
            <w:tcW w:w="6380" w:type="dxa"/>
            <w:vAlign w:val="bottom"/>
          </w:tcPr>
          <w:p>
            <w:pPr>
              <w:ind w:left="20"/>
              <w:spacing w:after="0"/>
              <w:rPr>
                <w:sz w:val="20"/>
                <w:szCs w:val="20"/>
                <w:color w:val="auto"/>
              </w:rPr>
            </w:pPr>
            <w:r>
              <w:rPr>
                <w:rFonts w:ascii="Arial" w:cs="Arial" w:eastAsia="Arial" w:hAnsi="Arial"/>
                <w:sz w:val="14"/>
                <w:szCs w:val="14"/>
                <w:color w:val="auto"/>
              </w:rPr>
              <w:t>Goodwill</w:t>
            </w:r>
          </w:p>
        </w:tc>
        <w:tc>
          <w:tcPr>
            <w:tcW w:w="7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w w:val="96"/>
              </w:rPr>
              <w:t>2,484</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1,756</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266</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4,506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As of and for the six months ended June 30, 2022:</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38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Title</w:t>
            </w: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ind w:left="180"/>
              <w:spacing w:after="0"/>
              <w:rPr>
                <w:sz w:val="20"/>
                <w:szCs w:val="20"/>
                <w:color w:val="auto"/>
              </w:rPr>
            </w:pPr>
            <w:r>
              <w:rPr>
                <w:rFonts w:ascii="Arial" w:cs="Arial" w:eastAsia="Arial" w:hAnsi="Arial"/>
                <w:sz w:val="12"/>
                <w:szCs w:val="12"/>
                <w:color w:val="auto"/>
              </w:rPr>
              <w:t>F&amp;G</w:t>
            </w:r>
          </w:p>
        </w:tc>
        <w:tc>
          <w:tcPr>
            <w:tcW w:w="1260" w:type="dxa"/>
            <w:vAlign w:val="bottom"/>
            <w:tcBorders>
              <w:bottom w:val="single" w:sz="8" w:color="auto"/>
            </w:tcBorders>
            <w:gridSpan w:val="3"/>
          </w:tcPr>
          <w:p>
            <w:pPr>
              <w:ind w:left="60"/>
              <w:spacing w:after="0"/>
              <w:rPr>
                <w:sz w:val="20"/>
                <w:szCs w:val="20"/>
                <w:color w:val="auto"/>
              </w:rPr>
            </w:pPr>
            <w:r>
              <w:rPr>
                <w:rFonts w:ascii="Arial" w:cs="Arial" w:eastAsia="Arial" w:hAnsi="Arial"/>
                <w:sz w:val="12"/>
                <w:szCs w:val="12"/>
                <w:color w:val="auto"/>
              </w:rPr>
              <w:t>Corporate and Other</w:t>
            </w: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3"/>
        </w:trPr>
        <w:tc>
          <w:tcPr>
            <w:tcW w:w="6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3"/>
          </w:tcPr>
          <w:p>
            <w:pPr>
              <w:jc w:val="right"/>
              <w:ind w:right="172"/>
              <w:spacing w:after="0"/>
              <w:rPr>
                <w:sz w:val="20"/>
                <w:szCs w:val="20"/>
                <w:color w:val="auto"/>
              </w:rPr>
            </w:pPr>
            <w:r>
              <w:rPr>
                <w:rFonts w:ascii="Arial" w:cs="Arial" w:eastAsia="Arial" w:hAnsi="Arial"/>
                <w:sz w:val="12"/>
                <w:szCs w:val="12"/>
                <w:color w:val="auto"/>
              </w:rPr>
              <w:t>(In millions)</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Title premiums</w:t>
            </w:r>
          </w:p>
        </w:tc>
        <w:tc>
          <w:tcPr>
            <w:tcW w:w="720" w:type="dxa"/>
            <w:vAlign w:val="bottom"/>
            <w:shd w:val="clear" w:color="auto" w:fill="CCEEFF"/>
          </w:tcPr>
          <w:p>
            <w:pPr>
              <w:jc w:val="right"/>
              <w:ind w:right="552"/>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3,928</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352"/>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110"/>
              <w:spacing w:after="0"/>
              <w:rPr>
                <w:sz w:val="20"/>
                <w:szCs w:val="20"/>
                <w:color w:val="auto"/>
              </w:rPr>
            </w:pPr>
            <w:r>
              <w:rPr>
                <w:rFonts w:ascii="Arial" w:cs="Arial" w:eastAsia="Arial" w:hAnsi="Arial"/>
                <w:sz w:val="14"/>
                <w:szCs w:val="14"/>
                <w:b w:val="1"/>
                <w:bCs w:val="1"/>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3,928</w:t>
            </w:r>
          </w:p>
        </w:tc>
        <w:tc>
          <w:tcPr>
            <w:tcW w:w="0" w:type="dxa"/>
            <w:vAlign w:val="bottom"/>
          </w:tcPr>
          <w:p>
            <w:pPr>
              <w:spacing w:after="0"/>
              <w:rPr>
                <w:sz w:val="1"/>
                <w:szCs w:val="1"/>
                <w:color w:val="auto"/>
              </w:rPr>
            </w:pPr>
          </w:p>
        </w:tc>
      </w:tr>
      <w:tr>
        <w:trPr>
          <w:trHeight w:val="184"/>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revenues</w:t>
            </w:r>
          </w:p>
        </w:tc>
        <w:tc>
          <w:tcPr>
            <w:tcW w:w="7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1,371</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662</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2,072</w:t>
            </w:r>
          </w:p>
        </w:tc>
        <w:tc>
          <w:tcPr>
            <w:tcW w:w="0" w:type="dxa"/>
            <w:vAlign w:val="bottom"/>
          </w:tcPr>
          <w:p>
            <w:pPr>
              <w:spacing w:after="0"/>
              <w:rPr>
                <w:sz w:val="1"/>
                <w:szCs w:val="1"/>
                <w:color w:val="auto"/>
              </w:rPr>
            </w:pPr>
          </w:p>
        </w:tc>
      </w:tr>
      <w:tr>
        <w:trPr>
          <w:trHeight w:val="178"/>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 from external customers</w:t>
            </w:r>
          </w:p>
        </w:tc>
        <w:tc>
          <w:tcPr>
            <w:tcW w:w="72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5,299</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662</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6,000</w:t>
            </w:r>
          </w:p>
        </w:tc>
        <w:tc>
          <w:tcPr>
            <w:tcW w:w="0" w:type="dxa"/>
            <w:vAlign w:val="bottom"/>
          </w:tcPr>
          <w:p>
            <w:pPr>
              <w:spacing w:after="0"/>
              <w:rPr>
                <w:sz w:val="1"/>
                <w:szCs w:val="1"/>
                <w:color w:val="auto"/>
              </w:rPr>
            </w:pPr>
          </w:p>
        </w:tc>
      </w:tr>
      <w:tr>
        <w:trPr>
          <w:trHeight w:val="184"/>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and investment income, including recognized gains and losses, net</w:t>
            </w:r>
          </w:p>
        </w:tc>
        <w:tc>
          <w:tcPr>
            <w:tcW w:w="7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(362)</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(204)</w:t>
            </w:r>
          </w:p>
        </w:tc>
        <w:tc>
          <w:tcPr>
            <w:tcW w:w="0" w:type="dxa"/>
            <w:vAlign w:val="bottom"/>
          </w:tcPr>
          <w:p>
            <w:pPr>
              <w:spacing w:after="0"/>
              <w:rPr>
                <w:sz w:val="1"/>
                <w:szCs w:val="1"/>
                <w:color w:val="auto"/>
              </w:rPr>
            </w:pPr>
          </w:p>
        </w:tc>
      </w:tr>
      <w:tr>
        <w:trPr>
          <w:trHeight w:val="178"/>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revenues</w:t>
            </w:r>
          </w:p>
        </w:tc>
        <w:tc>
          <w:tcPr>
            <w:tcW w:w="72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4,937</w:t>
            </w: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815</w:t>
            </w: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5,796</w:t>
            </w:r>
          </w:p>
        </w:tc>
        <w:tc>
          <w:tcPr>
            <w:tcW w:w="0" w:type="dxa"/>
            <w:vAlign w:val="bottom"/>
          </w:tcPr>
          <w:p>
            <w:pPr>
              <w:spacing w:after="0"/>
              <w:rPr>
                <w:sz w:val="1"/>
                <w:szCs w:val="1"/>
                <w:color w:val="auto"/>
              </w:rPr>
            </w:pPr>
          </w:p>
        </w:tc>
      </w:tr>
      <w:tr>
        <w:trPr>
          <w:trHeight w:val="177"/>
        </w:trPr>
        <w:tc>
          <w:tcPr>
            <w:tcW w:w="638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7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264</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343</w:t>
            </w:r>
          </w:p>
        </w:tc>
        <w:tc>
          <w:tcPr>
            <w:tcW w:w="0" w:type="dxa"/>
            <w:vAlign w:val="bottom"/>
          </w:tcPr>
          <w:p>
            <w:pPr>
              <w:spacing w:after="0"/>
              <w:rPr>
                <w:sz w:val="1"/>
                <w:szCs w:val="1"/>
                <w:color w:val="auto"/>
              </w:rPr>
            </w:pPr>
          </w:p>
        </w:tc>
      </w:tr>
      <w:tr>
        <w:trPr>
          <w:trHeight w:val="185"/>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72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61</w:t>
            </w:r>
          </w:p>
        </w:tc>
        <w:tc>
          <w:tcPr>
            <w:tcW w:w="0" w:type="dxa"/>
            <w:vAlign w:val="bottom"/>
          </w:tcPr>
          <w:p>
            <w:pPr>
              <w:spacing w:after="0"/>
              <w:rPr>
                <w:sz w:val="1"/>
                <w:szCs w:val="1"/>
                <w:color w:val="auto"/>
              </w:rPr>
            </w:pPr>
          </w:p>
        </w:tc>
      </w:tr>
      <w:tr>
        <w:trPr>
          <w:trHeight w:val="132"/>
        </w:trPr>
        <w:tc>
          <w:tcPr>
            <w:tcW w:w="6380" w:type="dxa"/>
            <w:vAlign w:val="bottom"/>
          </w:tcPr>
          <w:p>
            <w:pPr>
              <w:ind w:left="20"/>
              <w:spacing w:after="0" w:line="132" w:lineRule="exact"/>
              <w:rPr>
                <w:sz w:val="20"/>
                <w:szCs w:val="20"/>
                <w:color w:val="auto"/>
              </w:rPr>
            </w:pPr>
            <w:r>
              <w:rPr>
                <w:rFonts w:ascii="Arial" w:cs="Arial" w:eastAsia="Arial" w:hAnsi="Arial"/>
                <w:sz w:val="14"/>
                <w:szCs w:val="14"/>
                <w:color w:val="auto"/>
                <w:w w:val="92"/>
              </w:rPr>
              <w:t>Earnings (loss) from continuing operations before income taxes and equity in earnings (loss) of unconsolidated</w:t>
            </w:r>
          </w:p>
        </w:tc>
        <w:tc>
          <w:tcPr>
            <w:tcW w:w="720" w:type="dxa"/>
            <w:vAlign w:val="bottom"/>
          </w:tcPr>
          <w:p>
            <w:pPr>
              <w:spacing w:after="0"/>
              <w:rPr>
                <w:sz w:val="11"/>
                <w:szCs w:val="11"/>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516</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631</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1,090</w:t>
            </w:r>
          </w:p>
        </w:tc>
        <w:tc>
          <w:tcPr>
            <w:tcW w:w="0" w:type="dxa"/>
            <w:vAlign w:val="bottom"/>
          </w:tcPr>
          <w:p>
            <w:pPr>
              <w:spacing w:after="0"/>
              <w:rPr>
                <w:sz w:val="1"/>
                <w:szCs w:val="1"/>
                <w:color w:val="auto"/>
              </w:rPr>
            </w:pPr>
          </w:p>
        </w:tc>
      </w:tr>
      <w:tr>
        <w:trPr>
          <w:trHeight w:val="182"/>
        </w:trPr>
        <w:tc>
          <w:tcPr>
            <w:tcW w:w="6380" w:type="dxa"/>
            <w:vAlign w:val="bottom"/>
          </w:tcPr>
          <w:p>
            <w:pPr>
              <w:ind w:left="20"/>
              <w:spacing w:after="0"/>
              <w:rPr>
                <w:sz w:val="20"/>
                <w:szCs w:val="20"/>
                <w:color w:val="auto"/>
              </w:rPr>
            </w:pPr>
            <w:r>
              <w:rPr>
                <w:rFonts w:ascii="Arial" w:cs="Arial" w:eastAsia="Arial" w:hAnsi="Arial"/>
                <w:sz w:val="14"/>
                <w:szCs w:val="14"/>
                <w:color w:val="auto"/>
              </w:rPr>
              <w:t>affiliates</w:t>
            </w:r>
          </w:p>
        </w:tc>
        <w:tc>
          <w:tcPr>
            <w:tcW w:w="72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 (benefit)</w:t>
            </w:r>
          </w:p>
        </w:tc>
        <w:tc>
          <w:tcPr>
            <w:tcW w:w="72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w:t>
            </w:r>
          </w:p>
        </w:tc>
        <w:tc>
          <w:tcPr>
            <w:tcW w:w="10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319</w:t>
            </w:r>
          </w:p>
        </w:tc>
        <w:tc>
          <w:tcPr>
            <w:tcW w:w="0" w:type="dxa"/>
            <w:vAlign w:val="bottom"/>
          </w:tcPr>
          <w:p>
            <w:pPr>
              <w:spacing w:after="0"/>
              <w:rPr>
                <w:sz w:val="1"/>
                <w:szCs w:val="1"/>
                <w:color w:val="auto"/>
              </w:rPr>
            </w:pPr>
          </w:p>
        </w:tc>
      </w:tr>
      <w:tr>
        <w:trPr>
          <w:trHeight w:val="177"/>
        </w:trPr>
        <w:tc>
          <w:tcPr>
            <w:tcW w:w="6380" w:type="dxa"/>
            <w:vAlign w:val="bottom"/>
          </w:tcPr>
          <w:p>
            <w:pPr>
              <w:ind w:left="20"/>
              <w:spacing w:after="0"/>
              <w:rPr>
                <w:sz w:val="20"/>
                <w:szCs w:val="20"/>
                <w:color w:val="auto"/>
              </w:rPr>
            </w:pPr>
            <w:r>
              <w:rPr>
                <w:rFonts w:ascii="Arial" w:cs="Arial" w:eastAsia="Arial" w:hAnsi="Arial"/>
                <w:sz w:val="14"/>
                <w:szCs w:val="14"/>
                <w:color w:val="auto"/>
              </w:rPr>
              <w:t>Earnings (loss) from continuing operations before equity in earnings (loss) of unconsolidated affiliates</w:t>
            </w:r>
          </w:p>
        </w:tc>
        <w:tc>
          <w:tcPr>
            <w:tcW w:w="7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348</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466</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771</w:t>
            </w:r>
          </w:p>
        </w:tc>
        <w:tc>
          <w:tcPr>
            <w:tcW w:w="0" w:type="dxa"/>
            <w:vAlign w:val="bottom"/>
          </w:tcPr>
          <w:p>
            <w:pPr>
              <w:spacing w:after="0"/>
              <w:rPr>
                <w:sz w:val="1"/>
                <w:szCs w:val="1"/>
                <w:color w:val="auto"/>
              </w:rPr>
            </w:pPr>
          </w:p>
        </w:tc>
      </w:tr>
      <w:tr>
        <w:trPr>
          <w:trHeight w:val="184"/>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earnings of unconsolidated affiliates</w:t>
            </w:r>
          </w:p>
        </w:tc>
        <w:tc>
          <w:tcPr>
            <w:tcW w:w="72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w:t>
            </w:r>
          </w:p>
        </w:tc>
        <w:tc>
          <w:tcPr>
            <w:tcW w:w="0" w:type="dxa"/>
            <w:vAlign w:val="bottom"/>
          </w:tcPr>
          <w:p>
            <w:pPr>
              <w:spacing w:after="0"/>
              <w:rPr>
                <w:sz w:val="1"/>
                <w:szCs w:val="1"/>
                <w:color w:val="auto"/>
              </w:rPr>
            </w:pPr>
          </w:p>
        </w:tc>
      </w:tr>
      <w:tr>
        <w:trPr>
          <w:trHeight w:val="178"/>
        </w:trPr>
        <w:tc>
          <w:tcPr>
            <w:tcW w:w="6380" w:type="dxa"/>
            <w:vAlign w:val="bottom"/>
          </w:tcPr>
          <w:p>
            <w:pPr>
              <w:ind w:left="20"/>
              <w:spacing w:after="0"/>
              <w:rPr>
                <w:sz w:val="20"/>
                <w:szCs w:val="20"/>
                <w:color w:val="auto"/>
              </w:rPr>
            </w:pPr>
            <w:r>
              <w:rPr>
                <w:rFonts w:ascii="Arial" w:cs="Arial" w:eastAsia="Arial" w:hAnsi="Arial"/>
                <w:sz w:val="14"/>
                <w:szCs w:val="14"/>
                <w:color w:val="auto"/>
              </w:rPr>
              <w:t>Net earnings (loss) from continuing operations</w:t>
            </w:r>
          </w:p>
        </w:tc>
        <w:tc>
          <w:tcPr>
            <w:tcW w:w="72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364</w:t>
            </w:r>
          </w:p>
        </w:tc>
        <w:tc>
          <w:tcPr>
            <w:tcW w:w="12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466</w:t>
            </w:r>
          </w:p>
        </w:tc>
        <w:tc>
          <w:tcPr>
            <w:tcW w:w="100" w:type="dxa"/>
            <w:vAlign w:val="bottom"/>
          </w:tcPr>
          <w:p>
            <w:pPr>
              <w:spacing w:after="0"/>
              <w:rPr>
                <w:sz w:val="15"/>
                <w:szCs w:val="15"/>
                <w:color w:val="auto"/>
              </w:rPr>
            </w:pPr>
          </w:p>
        </w:tc>
        <w:tc>
          <w:tcPr>
            <w:tcW w:w="50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787</w:t>
            </w:r>
          </w:p>
        </w:tc>
        <w:tc>
          <w:tcPr>
            <w:tcW w:w="0" w:type="dxa"/>
            <w:vAlign w:val="bottom"/>
          </w:tcPr>
          <w:p>
            <w:pPr>
              <w:spacing w:after="0"/>
              <w:rPr>
                <w:sz w:val="1"/>
                <w:szCs w:val="1"/>
                <w:color w:val="auto"/>
              </w:rPr>
            </w:pP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720" w:type="dxa"/>
            <w:vAlign w:val="bottom"/>
            <w:shd w:val="clear" w:color="auto" w:fill="CCEEFF"/>
          </w:tcPr>
          <w:p>
            <w:pPr>
              <w:jc w:val="right"/>
              <w:ind w:right="552"/>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9,309</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49,608</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52"/>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2,313</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0"/>
              <w:spacing w:after="0"/>
              <w:rPr>
                <w:sz w:val="20"/>
                <w:szCs w:val="20"/>
                <w:color w:val="auto"/>
              </w:rPr>
            </w:pPr>
            <w:r>
              <w:rPr>
                <w:rFonts w:ascii="Arial" w:cs="Arial" w:eastAsia="Arial" w:hAnsi="Arial"/>
                <w:sz w:val="14"/>
                <w:szCs w:val="14"/>
                <w:b w:val="1"/>
                <w:bCs w:val="1"/>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61,230</w:t>
            </w:r>
          </w:p>
        </w:tc>
        <w:tc>
          <w:tcPr>
            <w:tcW w:w="0" w:type="dxa"/>
            <w:vAlign w:val="bottom"/>
          </w:tcPr>
          <w:p>
            <w:pPr>
              <w:spacing w:after="0"/>
              <w:rPr>
                <w:sz w:val="1"/>
                <w:szCs w:val="1"/>
                <w:color w:val="auto"/>
              </w:rPr>
            </w:pPr>
          </w:p>
        </w:tc>
      </w:tr>
      <w:tr>
        <w:trPr>
          <w:trHeight w:val="183"/>
        </w:trPr>
        <w:tc>
          <w:tcPr>
            <w:tcW w:w="6380" w:type="dxa"/>
            <w:vAlign w:val="bottom"/>
          </w:tcPr>
          <w:p>
            <w:pPr>
              <w:ind w:left="20"/>
              <w:spacing w:after="0"/>
              <w:rPr>
                <w:sz w:val="20"/>
                <w:szCs w:val="20"/>
                <w:color w:val="auto"/>
              </w:rPr>
            </w:pPr>
            <w:r>
              <w:rPr>
                <w:rFonts w:ascii="Arial" w:cs="Arial" w:eastAsia="Arial" w:hAnsi="Arial"/>
                <w:sz w:val="14"/>
                <w:szCs w:val="14"/>
                <w:color w:val="auto"/>
              </w:rPr>
              <w:t>Goodwill</w:t>
            </w:r>
          </w:p>
        </w:tc>
        <w:tc>
          <w:tcPr>
            <w:tcW w:w="7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w w:val="96"/>
              </w:rPr>
              <w:t>2,516</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1,756</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266</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4,538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and for the six months ended June 30, 2021:</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38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Title</w:t>
            </w: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ind w:left="180"/>
              <w:spacing w:after="0"/>
              <w:rPr>
                <w:sz w:val="20"/>
                <w:szCs w:val="20"/>
                <w:color w:val="auto"/>
              </w:rPr>
            </w:pPr>
            <w:r>
              <w:rPr>
                <w:rFonts w:ascii="Arial" w:cs="Arial" w:eastAsia="Arial" w:hAnsi="Arial"/>
                <w:sz w:val="12"/>
                <w:szCs w:val="12"/>
                <w:color w:val="auto"/>
              </w:rPr>
              <w:t>F&amp;G</w:t>
            </w:r>
          </w:p>
        </w:tc>
        <w:tc>
          <w:tcPr>
            <w:tcW w:w="1260" w:type="dxa"/>
            <w:vAlign w:val="bottom"/>
            <w:tcBorders>
              <w:bottom w:val="single" w:sz="8" w:color="auto"/>
            </w:tcBorders>
            <w:gridSpan w:val="3"/>
          </w:tcPr>
          <w:p>
            <w:pPr>
              <w:ind w:left="60"/>
              <w:spacing w:after="0"/>
              <w:rPr>
                <w:sz w:val="20"/>
                <w:szCs w:val="20"/>
                <w:color w:val="auto"/>
              </w:rPr>
            </w:pPr>
            <w:r>
              <w:rPr>
                <w:rFonts w:ascii="Arial" w:cs="Arial" w:eastAsia="Arial" w:hAnsi="Arial"/>
                <w:sz w:val="12"/>
                <w:szCs w:val="12"/>
                <w:color w:val="auto"/>
              </w:rPr>
              <w:t>Corporate and Other</w:t>
            </w: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3"/>
        </w:trPr>
        <w:tc>
          <w:tcPr>
            <w:tcW w:w="6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3"/>
          </w:tcPr>
          <w:p>
            <w:pPr>
              <w:jc w:val="right"/>
              <w:ind w:right="172"/>
              <w:spacing w:after="0"/>
              <w:rPr>
                <w:sz w:val="20"/>
                <w:szCs w:val="20"/>
                <w:color w:val="auto"/>
              </w:rPr>
            </w:pPr>
            <w:r>
              <w:rPr>
                <w:rFonts w:ascii="Arial" w:cs="Arial" w:eastAsia="Arial" w:hAnsi="Arial"/>
                <w:sz w:val="12"/>
                <w:szCs w:val="12"/>
                <w:color w:val="auto"/>
              </w:rPr>
              <w:t>(In millions)</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Title premiums</w:t>
            </w:r>
          </w:p>
        </w:tc>
        <w:tc>
          <w:tcPr>
            <w:tcW w:w="720" w:type="dxa"/>
            <w:vAlign w:val="bottom"/>
            <w:shd w:val="clear" w:color="auto" w:fill="CCEEFF"/>
          </w:tcPr>
          <w:p>
            <w:pPr>
              <w:jc w:val="right"/>
              <w:ind w:right="552"/>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3,964</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352"/>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110"/>
              <w:spacing w:after="0"/>
              <w:rPr>
                <w:sz w:val="20"/>
                <w:szCs w:val="20"/>
                <w:color w:val="auto"/>
              </w:rPr>
            </w:pPr>
            <w:r>
              <w:rPr>
                <w:rFonts w:ascii="Arial" w:cs="Arial" w:eastAsia="Arial" w:hAnsi="Arial"/>
                <w:sz w:val="14"/>
                <w:szCs w:val="14"/>
                <w:b w:val="1"/>
                <w:bCs w:val="1"/>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3,964</w:t>
            </w:r>
          </w:p>
        </w:tc>
        <w:tc>
          <w:tcPr>
            <w:tcW w:w="0" w:type="dxa"/>
            <w:vAlign w:val="bottom"/>
          </w:tcPr>
          <w:p>
            <w:pPr>
              <w:spacing w:after="0"/>
              <w:rPr>
                <w:sz w:val="1"/>
                <w:szCs w:val="1"/>
                <w:color w:val="auto"/>
              </w:rPr>
            </w:pPr>
          </w:p>
        </w:tc>
      </w:tr>
      <w:tr>
        <w:trPr>
          <w:trHeight w:val="184"/>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revenues</w:t>
            </w:r>
          </w:p>
        </w:tc>
        <w:tc>
          <w:tcPr>
            <w:tcW w:w="7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1,584</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1,799</w:t>
            </w:r>
          </w:p>
        </w:tc>
        <w:tc>
          <w:tcPr>
            <w:tcW w:w="0" w:type="dxa"/>
            <w:vAlign w:val="bottom"/>
          </w:tcPr>
          <w:p>
            <w:pPr>
              <w:spacing w:after="0"/>
              <w:rPr>
                <w:sz w:val="1"/>
                <w:szCs w:val="1"/>
                <w:color w:val="auto"/>
              </w:rPr>
            </w:pPr>
          </w:p>
        </w:tc>
      </w:tr>
      <w:tr>
        <w:trPr>
          <w:trHeight w:val="178"/>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 from external customers</w:t>
            </w:r>
          </w:p>
        </w:tc>
        <w:tc>
          <w:tcPr>
            <w:tcW w:w="72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5,548</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5,763</w:t>
            </w:r>
          </w:p>
        </w:tc>
        <w:tc>
          <w:tcPr>
            <w:tcW w:w="0" w:type="dxa"/>
            <w:vAlign w:val="bottom"/>
          </w:tcPr>
          <w:p>
            <w:pPr>
              <w:spacing w:after="0"/>
              <w:rPr>
                <w:sz w:val="1"/>
                <w:szCs w:val="1"/>
                <w:color w:val="auto"/>
              </w:rPr>
            </w:pPr>
          </w:p>
        </w:tc>
      </w:tr>
      <w:tr>
        <w:trPr>
          <w:trHeight w:val="184"/>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and investment income, including recognized gains and losses, net</w:t>
            </w:r>
          </w:p>
        </w:tc>
        <w:tc>
          <w:tcPr>
            <w:tcW w:w="7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1,215</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1,191</w:t>
            </w:r>
          </w:p>
        </w:tc>
        <w:tc>
          <w:tcPr>
            <w:tcW w:w="0" w:type="dxa"/>
            <w:vAlign w:val="bottom"/>
          </w:tcPr>
          <w:p>
            <w:pPr>
              <w:spacing w:after="0"/>
              <w:rPr>
                <w:sz w:val="1"/>
                <w:szCs w:val="1"/>
                <w:color w:val="auto"/>
              </w:rPr>
            </w:pPr>
          </w:p>
        </w:tc>
      </w:tr>
      <w:tr>
        <w:trPr>
          <w:trHeight w:val="178"/>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revenues</w:t>
            </w:r>
          </w:p>
        </w:tc>
        <w:tc>
          <w:tcPr>
            <w:tcW w:w="72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5,515</w:t>
            </w: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1,341</w:t>
            </w: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6,954</w:t>
            </w:r>
          </w:p>
        </w:tc>
        <w:tc>
          <w:tcPr>
            <w:tcW w:w="0" w:type="dxa"/>
            <w:vAlign w:val="bottom"/>
          </w:tcPr>
          <w:p>
            <w:pPr>
              <w:spacing w:after="0"/>
              <w:rPr>
                <w:sz w:val="1"/>
                <w:szCs w:val="1"/>
                <w:color w:val="auto"/>
              </w:rPr>
            </w:pPr>
          </w:p>
        </w:tc>
      </w:tr>
      <w:tr>
        <w:trPr>
          <w:trHeight w:val="177"/>
        </w:trPr>
        <w:tc>
          <w:tcPr>
            <w:tcW w:w="638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7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209</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288</w:t>
            </w:r>
          </w:p>
        </w:tc>
        <w:tc>
          <w:tcPr>
            <w:tcW w:w="0" w:type="dxa"/>
            <w:vAlign w:val="bottom"/>
          </w:tcPr>
          <w:p>
            <w:pPr>
              <w:spacing w:after="0"/>
              <w:rPr>
                <w:sz w:val="1"/>
                <w:szCs w:val="1"/>
                <w:color w:val="auto"/>
              </w:rPr>
            </w:pPr>
          </w:p>
        </w:tc>
      </w:tr>
      <w:tr>
        <w:trPr>
          <w:trHeight w:val="185"/>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72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56</w:t>
            </w:r>
          </w:p>
        </w:tc>
        <w:tc>
          <w:tcPr>
            <w:tcW w:w="0" w:type="dxa"/>
            <w:vAlign w:val="bottom"/>
          </w:tcPr>
          <w:p>
            <w:pPr>
              <w:spacing w:after="0"/>
              <w:rPr>
                <w:sz w:val="1"/>
                <w:szCs w:val="1"/>
                <w:color w:val="auto"/>
              </w:rPr>
            </w:pPr>
          </w:p>
        </w:tc>
      </w:tr>
      <w:tr>
        <w:trPr>
          <w:trHeight w:val="132"/>
        </w:trPr>
        <w:tc>
          <w:tcPr>
            <w:tcW w:w="6380" w:type="dxa"/>
            <w:vAlign w:val="bottom"/>
          </w:tcPr>
          <w:p>
            <w:pPr>
              <w:ind w:left="20"/>
              <w:spacing w:after="0" w:line="132" w:lineRule="exact"/>
              <w:rPr>
                <w:sz w:val="20"/>
                <w:szCs w:val="20"/>
                <w:color w:val="auto"/>
              </w:rPr>
            </w:pPr>
            <w:r>
              <w:rPr>
                <w:rFonts w:ascii="Arial" w:cs="Arial" w:eastAsia="Arial" w:hAnsi="Arial"/>
                <w:sz w:val="14"/>
                <w:szCs w:val="14"/>
                <w:color w:val="auto"/>
                <w:w w:val="98"/>
              </w:rPr>
              <w:t>Earnings (loss) from continuing operations before income taxes and equity in earnings of unconsolidated</w:t>
            </w:r>
          </w:p>
        </w:tc>
        <w:tc>
          <w:tcPr>
            <w:tcW w:w="720" w:type="dxa"/>
            <w:vAlign w:val="bottom"/>
          </w:tcPr>
          <w:p>
            <w:pPr>
              <w:spacing w:after="0"/>
              <w:rPr>
                <w:sz w:val="11"/>
                <w:szCs w:val="11"/>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w w:val="96"/>
              </w:rPr>
              <w:t>1,083</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453</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1,470</w:t>
            </w:r>
          </w:p>
        </w:tc>
        <w:tc>
          <w:tcPr>
            <w:tcW w:w="0" w:type="dxa"/>
            <w:vAlign w:val="bottom"/>
          </w:tcPr>
          <w:p>
            <w:pPr>
              <w:spacing w:after="0"/>
              <w:rPr>
                <w:sz w:val="1"/>
                <w:szCs w:val="1"/>
                <w:color w:val="auto"/>
              </w:rPr>
            </w:pPr>
          </w:p>
        </w:tc>
      </w:tr>
      <w:tr>
        <w:trPr>
          <w:trHeight w:val="182"/>
        </w:trPr>
        <w:tc>
          <w:tcPr>
            <w:tcW w:w="6380" w:type="dxa"/>
            <w:vAlign w:val="bottom"/>
          </w:tcPr>
          <w:p>
            <w:pPr>
              <w:ind w:left="20"/>
              <w:spacing w:after="0"/>
              <w:rPr>
                <w:sz w:val="20"/>
                <w:szCs w:val="20"/>
                <w:color w:val="auto"/>
              </w:rPr>
            </w:pPr>
            <w:r>
              <w:rPr>
                <w:rFonts w:ascii="Arial" w:cs="Arial" w:eastAsia="Arial" w:hAnsi="Arial"/>
                <w:sz w:val="14"/>
                <w:szCs w:val="14"/>
                <w:color w:val="auto"/>
              </w:rPr>
              <w:t>affiliates</w:t>
            </w:r>
          </w:p>
        </w:tc>
        <w:tc>
          <w:tcPr>
            <w:tcW w:w="72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 (benefit)</w:t>
            </w:r>
          </w:p>
        </w:tc>
        <w:tc>
          <w:tcPr>
            <w:tcW w:w="72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263</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10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342</w:t>
            </w:r>
          </w:p>
        </w:tc>
        <w:tc>
          <w:tcPr>
            <w:tcW w:w="0" w:type="dxa"/>
            <w:vAlign w:val="bottom"/>
          </w:tcPr>
          <w:p>
            <w:pPr>
              <w:spacing w:after="0"/>
              <w:rPr>
                <w:sz w:val="1"/>
                <w:szCs w:val="1"/>
                <w:color w:val="auto"/>
              </w:rPr>
            </w:pPr>
          </w:p>
        </w:tc>
      </w:tr>
      <w:tr>
        <w:trPr>
          <w:trHeight w:val="177"/>
        </w:trPr>
        <w:tc>
          <w:tcPr>
            <w:tcW w:w="6380" w:type="dxa"/>
            <w:vAlign w:val="bottom"/>
          </w:tcPr>
          <w:p>
            <w:pPr>
              <w:ind w:left="20"/>
              <w:spacing w:after="0"/>
              <w:rPr>
                <w:sz w:val="20"/>
                <w:szCs w:val="20"/>
                <w:color w:val="auto"/>
              </w:rPr>
            </w:pPr>
            <w:r>
              <w:rPr>
                <w:rFonts w:ascii="Arial" w:cs="Arial" w:eastAsia="Arial" w:hAnsi="Arial"/>
                <w:sz w:val="14"/>
                <w:szCs w:val="14"/>
                <w:color w:val="auto"/>
              </w:rPr>
              <w:t>Earnings (loss) from continuing operations before equity in earnings (loss) of unconsolidated affiliates</w:t>
            </w:r>
          </w:p>
        </w:tc>
        <w:tc>
          <w:tcPr>
            <w:tcW w:w="7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820</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360</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1,128</w:t>
            </w:r>
          </w:p>
        </w:tc>
        <w:tc>
          <w:tcPr>
            <w:tcW w:w="0" w:type="dxa"/>
            <w:vAlign w:val="bottom"/>
          </w:tcPr>
          <w:p>
            <w:pPr>
              <w:spacing w:after="0"/>
              <w:rPr>
                <w:sz w:val="1"/>
                <w:szCs w:val="1"/>
                <w:color w:val="auto"/>
              </w:rPr>
            </w:pPr>
          </w:p>
        </w:tc>
      </w:tr>
      <w:tr>
        <w:trPr>
          <w:trHeight w:val="184"/>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earnings (loss) of unconsolidated affiliates</w:t>
            </w:r>
          </w:p>
        </w:tc>
        <w:tc>
          <w:tcPr>
            <w:tcW w:w="72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w:t>
            </w:r>
          </w:p>
        </w:tc>
        <w:tc>
          <w:tcPr>
            <w:tcW w:w="0" w:type="dxa"/>
            <w:vAlign w:val="bottom"/>
          </w:tcPr>
          <w:p>
            <w:pPr>
              <w:spacing w:after="0"/>
              <w:rPr>
                <w:sz w:val="1"/>
                <w:szCs w:val="1"/>
                <w:color w:val="auto"/>
              </w:rPr>
            </w:pPr>
          </w:p>
        </w:tc>
      </w:tr>
      <w:tr>
        <w:trPr>
          <w:trHeight w:val="178"/>
        </w:trPr>
        <w:tc>
          <w:tcPr>
            <w:tcW w:w="6380" w:type="dxa"/>
            <w:vAlign w:val="bottom"/>
          </w:tcPr>
          <w:p>
            <w:pPr>
              <w:ind w:left="20"/>
              <w:spacing w:after="0"/>
              <w:rPr>
                <w:sz w:val="20"/>
                <w:szCs w:val="20"/>
                <w:color w:val="auto"/>
              </w:rPr>
            </w:pPr>
            <w:r>
              <w:rPr>
                <w:rFonts w:ascii="Arial" w:cs="Arial" w:eastAsia="Arial" w:hAnsi="Arial"/>
                <w:sz w:val="14"/>
                <w:szCs w:val="14"/>
                <w:color w:val="auto"/>
              </w:rPr>
              <w:t>Net earnings (loss)</w:t>
            </w:r>
          </w:p>
        </w:tc>
        <w:tc>
          <w:tcPr>
            <w:tcW w:w="72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842</w:t>
            </w:r>
          </w:p>
        </w:tc>
        <w:tc>
          <w:tcPr>
            <w:tcW w:w="12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360</w:t>
            </w:r>
          </w:p>
        </w:tc>
        <w:tc>
          <w:tcPr>
            <w:tcW w:w="100" w:type="dxa"/>
            <w:vAlign w:val="bottom"/>
          </w:tcPr>
          <w:p>
            <w:pPr>
              <w:spacing w:after="0"/>
              <w:rPr>
                <w:sz w:val="15"/>
                <w:szCs w:val="15"/>
                <w:color w:val="auto"/>
              </w:rPr>
            </w:pPr>
          </w:p>
        </w:tc>
        <w:tc>
          <w:tcPr>
            <w:tcW w:w="50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1,155</w:t>
            </w:r>
          </w:p>
        </w:tc>
        <w:tc>
          <w:tcPr>
            <w:tcW w:w="0" w:type="dxa"/>
            <w:vAlign w:val="bottom"/>
          </w:tcPr>
          <w:p>
            <w:pPr>
              <w:spacing w:after="0"/>
              <w:rPr>
                <w:sz w:val="1"/>
                <w:szCs w:val="1"/>
                <w:color w:val="auto"/>
              </w:rPr>
            </w:pP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720" w:type="dxa"/>
            <w:vAlign w:val="bottom"/>
            <w:shd w:val="clear" w:color="auto" w:fill="CCEEFF"/>
          </w:tcPr>
          <w:p>
            <w:pPr>
              <w:jc w:val="right"/>
              <w:ind w:right="552"/>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9,565</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43,206</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52"/>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1,749</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0"/>
              <w:spacing w:after="0"/>
              <w:rPr>
                <w:sz w:val="20"/>
                <w:szCs w:val="20"/>
                <w:color w:val="auto"/>
              </w:rPr>
            </w:pPr>
            <w:r>
              <w:rPr>
                <w:rFonts w:ascii="Arial" w:cs="Arial" w:eastAsia="Arial" w:hAnsi="Arial"/>
                <w:sz w:val="14"/>
                <w:szCs w:val="14"/>
                <w:b w:val="1"/>
                <w:bCs w:val="1"/>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54,520</w:t>
            </w:r>
          </w:p>
        </w:tc>
        <w:tc>
          <w:tcPr>
            <w:tcW w:w="0" w:type="dxa"/>
            <w:vAlign w:val="bottom"/>
          </w:tcPr>
          <w:p>
            <w:pPr>
              <w:spacing w:after="0"/>
              <w:rPr>
                <w:sz w:val="1"/>
                <w:szCs w:val="1"/>
                <w:color w:val="auto"/>
              </w:rPr>
            </w:pPr>
          </w:p>
        </w:tc>
      </w:tr>
      <w:tr>
        <w:trPr>
          <w:trHeight w:val="183"/>
        </w:trPr>
        <w:tc>
          <w:tcPr>
            <w:tcW w:w="6380" w:type="dxa"/>
            <w:vAlign w:val="bottom"/>
          </w:tcPr>
          <w:p>
            <w:pPr>
              <w:ind w:left="20"/>
              <w:spacing w:after="0"/>
              <w:rPr>
                <w:sz w:val="20"/>
                <w:szCs w:val="20"/>
                <w:color w:val="auto"/>
              </w:rPr>
            </w:pPr>
            <w:r>
              <w:rPr>
                <w:rFonts w:ascii="Arial" w:cs="Arial" w:eastAsia="Arial" w:hAnsi="Arial"/>
                <w:sz w:val="14"/>
                <w:szCs w:val="14"/>
                <w:color w:val="auto"/>
              </w:rPr>
              <w:t>Goodwill</w:t>
            </w:r>
          </w:p>
        </w:tc>
        <w:tc>
          <w:tcPr>
            <w:tcW w:w="7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w w:val="96"/>
              </w:rPr>
              <w:t>2,484</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1,756</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266</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4,506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activities in our segments include the following:</w:t>
      </w:r>
    </w:p>
    <w:p>
      <w:pPr>
        <w:spacing w:after="0" w:line="109" w:lineRule="exact"/>
        <w:rPr>
          <w:sz w:val="20"/>
          <w:szCs w:val="20"/>
          <w:color w:val="auto"/>
        </w:rPr>
      </w:pPr>
    </w:p>
    <w:p>
      <w:pPr>
        <w:ind w:left="640" w:hanging="398"/>
        <w:spacing w:after="0" w:line="244" w:lineRule="auto"/>
        <w:tabs>
          <w:tab w:leader="none" w:pos="602" w:val="left"/>
        </w:tabs>
        <w:numPr>
          <w:ilvl w:val="0"/>
          <w:numId w:val="10"/>
        </w:numPr>
        <w:rPr>
          <w:rFonts w:ascii="Arial" w:cs="Arial" w:eastAsia="Arial" w:hAnsi="Arial"/>
          <w:sz w:val="18"/>
          <w:szCs w:val="18"/>
          <w:color w:val="auto"/>
        </w:rPr>
      </w:pPr>
      <w:r>
        <w:rPr>
          <w:rFonts w:ascii="Arial" w:cs="Arial" w:eastAsia="Arial" w:hAnsi="Arial"/>
          <w:sz w:val="17"/>
          <w:szCs w:val="17"/>
          <w:i w:val="1"/>
          <w:iCs w:val="1"/>
          <w:color w:val="auto"/>
        </w:rPr>
        <w:t xml:space="preserve">Title. </w:t>
      </w:r>
      <w:r>
        <w:rPr>
          <w:rFonts w:ascii="Arial" w:cs="Arial" w:eastAsia="Arial" w:hAnsi="Arial"/>
          <w:sz w:val="17"/>
          <w:szCs w:val="17"/>
          <w:color w:val="auto"/>
        </w:rPr>
        <w:t>This segment consists of the operations of our title insurance underwriters and related businesses. This segment provides core title insurance and</w:t>
      </w:r>
      <w:r>
        <w:rPr>
          <w:rFonts w:ascii="Arial" w:cs="Arial" w:eastAsia="Arial" w:hAnsi="Arial"/>
          <w:sz w:val="17"/>
          <w:szCs w:val="17"/>
          <w:i w:val="1"/>
          <w:iCs w:val="1"/>
          <w:color w:val="auto"/>
        </w:rPr>
        <w:t xml:space="preserve"> </w:t>
      </w:r>
      <w:r>
        <w:rPr>
          <w:rFonts w:ascii="Arial" w:cs="Arial" w:eastAsia="Arial" w:hAnsi="Arial"/>
          <w:sz w:val="17"/>
          <w:szCs w:val="17"/>
          <w:color w:val="auto"/>
        </w:rPr>
        <w:t>escrow and other title-related services including loan sub-servicing, valuations, default services, and home warranty products.</w:t>
      </w:r>
    </w:p>
    <w:p>
      <w:pPr>
        <w:spacing w:after="0" w:line="209" w:lineRule="exact"/>
        <w:rPr>
          <w:rFonts w:ascii="Arial" w:cs="Arial" w:eastAsia="Arial" w:hAnsi="Arial"/>
          <w:sz w:val="18"/>
          <w:szCs w:val="18"/>
          <w:color w:val="auto"/>
        </w:rPr>
      </w:pPr>
    </w:p>
    <w:p>
      <w:pPr>
        <w:jc w:val="both"/>
        <w:ind w:left="640" w:hanging="398"/>
        <w:spacing w:after="0" w:line="252" w:lineRule="auto"/>
        <w:tabs>
          <w:tab w:leader="none" w:pos="636"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F&amp;G</w:t>
      </w:r>
      <w:r>
        <w:rPr>
          <w:rFonts w:ascii="Arial" w:cs="Arial" w:eastAsia="Arial" w:hAnsi="Arial"/>
          <w:sz w:val="18"/>
          <w:szCs w:val="18"/>
          <w:color w:val="auto"/>
        </w:rPr>
        <w:t>. This segment primarily consists of the operations of our annuities and life insurance related businesses. This segment issues a broad portfolio of</w:t>
      </w:r>
      <w:r>
        <w:rPr>
          <w:rFonts w:ascii="Arial" w:cs="Arial" w:eastAsia="Arial" w:hAnsi="Arial"/>
          <w:sz w:val="18"/>
          <w:szCs w:val="18"/>
          <w:i w:val="1"/>
          <w:iCs w:val="1"/>
          <w:color w:val="auto"/>
        </w:rPr>
        <w:t xml:space="preserve"> </w:t>
      </w:r>
      <w:r>
        <w:rPr>
          <w:rFonts w:ascii="Arial" w:cs="Arial" w:eastAsia="Arial" w:hAnsi="Arial"/>
          <w:sz w:val="18"/>
          <w:szCs w:val="18"/>
          <w:color w:val="auto"/>
        </w:rPr>
        <w:t>annuity and life products, including deferred annuities (fixed indexed and fixed rate annuities), immediate annuities and indexed universal life insurance. This segment also provides funding agreements and pension risk transfer solutions ("PRT").</w:t>
      </w:r>
    </w:p>
    <w:p>
      <w:pPr>
        <w:spacing w:after="0" w:line="137" w:lineRule="exact"/>
        <w:rPr>
          <w:rFonts w:ascii="Arial" w:cs="Arial" w:eastAsia="Arial" w:hAnsi="Arial"/>
          <w:sz w:val="18"/>
          <w:szCs w:val="18"/>
          <w:color w:val="auto"/>
        </w:rPr>
      </w:pPr>
    </w:p>
    <w:p>
      <w:pPr>
        <w:jc w:val="both"/>
        <w:ind w:left="640" w:hanging="398"/>
        <w:spacing w:after="0" w:line="252" w:lineRule="auto"/>
        <w:tabs>
          <w:tab w:leader="none" w:pos="636"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Corporate and Other. </w:t>
      </w:r>
      <w:r>
        <w:rPr>
          <w:rFonts w:ascii="Arial" w:cs="Arial" w:eastAsia="Arial" w:hAnsi="Arial"/>
          <w:sz w:val="18"/>
          <w:szCs w:val="18"/>
          <w:color w:val="auto"/>
        </w:rPr>
        <w:t>This segment consists of the operations of the parent holding company, our real estate technology subsidiaries and our remaining</w:t>
      </w:r>
      <w:r>
        <w:rPr>
          <w:rFonts w:ascii="Arial" w:cs="Arial" w:eastAsia="Arial" w:hAnsi="Arial"/>
          <w:sz w:val="18"/>
          <w:szCs w:val="18"/>
          <w:i w:val="1"/>
          <w:iCs w:val="1"/>
          <w:color w:val="auto"/>
        </w:rPr>
        <w:t xml:space="preserve"> </w:t>
      </w:r>
      <w:r>
        <w:rPr>
          <w:rFonts w:ascii="Arial" w:cs="Arial" w:eastAsia="Arial" w:hAnsi="Arial"/>
          <w:sz w:val="18"/>
          <w:szCs w:val="18"/>
          <w:color w:val="auto"/>
        </w:rPr>
        <w:t>real estate brokerage businesses. This segment also includes certain other unallocated corporate overhead expenses and eliminations of revenues and expenses between it and our Title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 Supplemental Cash Flow Information</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supplemental cash flow information is provided with respect to certain cash payment and non-cash investing and financing activities.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20" w:type="dxa"/>
            <w:vAlign w:val="bottom"/>
            <w:gridSpan w:val="7"/>
          </w:tcPr>
          <w:p>
            <w:pPr>
              <w:jc w:val="right"/>
              <w:ind w:right="140"/>
              <w:spacing w:after="0"/>
              <w:rPr>
                <w:sz w:val="20"/>
                <w:szCs w:val="20"/>
                <w:color w:val="auto"/>
              </w:rPr>
            </w:pPr>
            <w:r>
              <w:rPr>
                <w:rFonts w:ascii="Arial" w:cs="Arial" w:eastAsia="Arial" w:hAnsi="Arial"/>
                <w:sz w:val="14"/>
                <w:szCs w:val="14"/>
                <w:b w:val="1"/>
                <w:bCs w:val="1"/>
                <w:color w:val="auto"/>
                <w:w w:val="97"/>
              </w:rPr>
              <w:t>Six months ended June 30,</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w w:val="96"/>
              </w:rPr>
              <w:t>2021</w:t>
            </w: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460" w:type="dxa"/>
            <w:vAlign w:val="bottom"/>
            <w:gridSpan w:val="2"/>
          </w:tcPr>
          <w:p>
            <w:pPr>
              <w:ind w:left="20"/>
              <w:spacing w:after="0"/>
              <w:rPr>
                <w:sz w:val="20"/>
                <w:szCs w:val="20"/>
                <w:color w:val="auto"/>
              </w:rPr>
            </w:pPr>
            <w:r>
              <w:rPr>
                <w:rFonts w:ascii="Arial" w:cs="Arial" w:eastAsia="Arial" w:hAnsi="Arial"/>
                <w:sz w:val="18"/>
                <w:szCs w:val="18"/>
                <w:color w:val="auto"/>
              </w:rPr>
              <w:t>Cash paid for:</w:t>
            </w:r>
          </w:p>
        </w:tc>
        <w:tc>
          <w:tcPr>
            <w:tcW w:w="2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Interest</w:t>
            </w:r>
          </w:p>
        </w:tc>
        <w:tc>
          <w:tcPr>
            <w:tcW w:w="2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63</w:t>
            </w:r>
          </w:p>
        </w:tc>
        <w:tc>
          <w:tcPr>
            <w:tcW w:w="6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3"/>
        </w:trPr>
        <w:tc>
          <w:tcPr>
            <w:tcW w:w="3460" w:type="dxa"/>
            <w:vAlign w:val="bottom"/>
            <w:gridSpan w:val="2"/>
          </w:tcPr>
          <w:p>
            <w:pPr>
              <w:ind w:left="140"/>
              <w:spacing w:after="0"/>
              <w:rPr>
                <w:sz w:val="20"/>
                <w:szCs w:val="20"/>
                <w:color w:val="auto"/>
              </w:rPr>
            </w:pPr>
            <w:r>
              <w:rPr>
                <w:rFonts w:ascii="Arial" w:cs="Arial" w:eastAsia="Arial" w:hAnsi="Arial"/>
                <w:sz w:val="18"/>
                <w:szCs w:val="18"/>
                <w:color w:val="auto"/>
              </w:rPr>
              <w:t>Income taxes</w:t>
            </w:r>
          </w:p>
        </w:tc>
        <w:tc>
          <w:tcPr>
            <w:tcW w:w="2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3"/>
          </w:tcPr>
          <w:p>
            <w:pPr>
              <w:jc w:val="right"/>
              <w:ind w:right="10"/>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24"/>
        </w:trPr>
        <w:tc>
          <w:tcPr>
            <w:tcW w:w="3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Deferred sales inducements</w:t>
            </w:r>
          </w:p>
        </w:tc>
        <w:tc>
          <w:tcPr>
            <w:tcW w:w="2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38</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3"/>
        </w:trPr>
        <w:tc>
          <w:tcPr>
            <w:tcW w:w="3460" w:type="dxa"/>
            <w:vAlign w:val="bottom"/>
            <w:gridSpan w:val="2"/>
          </w:tcPr>
          <w:p>
            <w:pPr>
              <w:ind w:left="20"/>
              <w:spacing w:after="0"/>
              <w:rPr>
                <w:sz w:val="20"/>
                <w:szCs w:val="20"/>
                <w:color w:val="auto"/>
              </w:rPr>
            </w:pPr>
            <w:r>
              <w:rPr>
                <w:rFonts w:ascii="Arial" w:cs="Arial" w:eastAsia="Arial" w:hAnsi="Arial"/>
                <w:sz w:val="18"/>
                <w:szCs w:val="18"/>
                <w:color w:val="auto"/>
                <w:w w:val="99"/>
              </w:rPr>
              <w:t>Non-cash investing and financing activities:</w:t>
            </w:r>
          </w:p>
        </w:tc>
        <w:tc>
          <w:tcPr>
            <w:tcW w:w="2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48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w w:val="95"/>
              </w:rPr>
              <w:t>Change in proceeds of sales of investments available for sale receivable in period</w:t>
            </w: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6480" w:type="dxa"/>
            <w:vAlign w:val="bottom"/>
            <w:gridSpan w:val="4"/>
          </w:tcPr>
          <w:p>
            <w:pPr>
              <w:ind w:left="220"/>
              <w:spacing w:after="0"/>
              <w:rPr>
                <w:sz w:val="20"/>
                <w:szCs w:val="20"/>
                <w:color w:val="auto"/>
              </w:rPr>
            </w:pPr>
            <w:r>
              <w:rPr>
                <w:rFonts w:ascii="Arial" w:cs="Arial" w:eastAsia="Arial" w:hAnsi="Arial"/>
                <w:sz w:val="18"/>
                <w:szCs w:val="18"/>
                <w:color w:val="auto"/>
              </w:rPr>
              <w:t>Change in purchases of investments available for sale payable in period</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3"/>
          </w:tcPr>
          <w:p>
            <w:pPr>
              <w:jc w:val="right"/>
              <w:ind w:right="10"/>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4"/>
        </w:trPr>
        <w:tc>
          <w:tcPr>
            <w:tcW w:w="648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Change in contractholder deposits for FABN issuance</w:t>
            </w: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480" w:type="dxa"/>
            <w:vAlign w:val="bottom"/>
            <w:gridSpan w:val="4"/>
          </w:tcPr>
          <w:p>
            <w:pPr>
              <w:ind w:left="220"/>
              <w:spacing w:after="0"/>
              <w:rPr>
                <w:sz w:val="20"/>
                <w:szCs w:val="20"/>
                <w:color w:val="auto"/>
              </w:rPr>
            </w:pPr>
            <w:r>
              <w:rPr>
                <w:rFonts w:ascii="Arial" w:cs="Arial" w:eastAsia="Arial" w:hAnsi="Arial"/>
                <w:sz w:val="18"/>
                <w:szCs w:val="18"/>
                <w:color w:val="auto"/>
              </w:rPr>
              <w:t>Lease liabilities recognized in exchange for lease right-of-use assets</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w w:val="79"/>
              </w:rPr>
              <w:t>42</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4"/>
        </w:trPr>
        <w:tc>
          <w:tcPr>
            <w:tcW w:w="3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Remeasurement of lease liabilities</w:t>
            </w:r>
          </w:p>
        </w:tc>
        <w:tc>
          <w:tcPr>
            <w:tcW w:w="2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41</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789"/>
        </w:trPr>
        <w:tc>
          <w:tcPr>
            <w:tcW w:w="3460" w:type="dxa"/>
            <w:vAlign w:val="bottom"/>
            <w:gridSpan w:val="2"/>
          </w:tcPr>
          <w:p>
            <w:pPr>
              <w:spacing w:after="0"/>
              <w:rPr>
                <w:sz w:val="20"/>
                <w:szCs w:val="20"/>
                <w:color w:val="auto"/>
              </w:rPr>
            </w:pPr>
            <w:r>
              <w:rPr>
                <w:rFonts w:ascii="Arial" w:cs="Arial" w:eastAsia="Arial" w:hAnsi="Arial"/>
                <w:sz w:val="18"/>
                <w:szCs w:val="18"/>
                <w:b w:val="1"/>
                <w:bCs w:val="1"/>
                <w:color w:val="auto"/>
              </w:rPr>
              <w:t>Note J — Revenue Recognition</w:t>
            </w:r>
          </w:p>
        </w:tc>
        <w:tc>
          <w:tcPr>
            <w:tcW w:w="2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34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Disaggregation of Revenue</w:t>
            </w:r>
          </w:p>
        </w:tc>
        <w:tc>
          <w:tcPr>
            <w:tcW w:w="2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3460" w:type="dxa"/>
            <w:vAlign w:val="bottom"/>
            <w:gridSpan w:val="2"/>
          </w:tcPr>
          <w:p>
            <w:pPr>
              <w:ind w:left="320"/>
              <w:spacing w:after="0"/>
              <w:rPr>
                <w:sz w:val="20"/>
                <w:szCs w:val="20"/>
                <w:color w:val="auto"/>
              </w:rPr>
            </w:pPr>
            <w:r>
              <w:rPr>
                <w:rFonts w:ascii="Arial" w:cs="Arial" w:eastAsia="Arial" w:hAnsi="Arial"/>
                <w:sz w:val="18"/>
                <w:szCs w:val="18"/>
                <w:color w:val="auto"/>
              </w:rPr>
              <w:t>Our revenue consists of:</w:t>
            </w:r>
          </w:p>
        </w:tc>
        <w:tc>
          <w:tcPr>
            <w:tcW w:w="2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3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40" w:type="dxa"/>
            <w:vAlign w:val="bottom"/>
            <w:gridSpan w:val="6"/>
          </w:tcPr>
          <w:p>
            <w:pPr>
              <w:jc w:val="right"/>
              <w:ind w:right="1"/>
              <w:spacing w:after="0"/>
              <w:rPr>
                <w:sz w:val="20"/>
                <w:szCs w:val="20"/>
                <w:color w:val="auto"/>
              </w:rPr>
            </w:pPr>
            <w:r>
              <w:rPr>
                <w:rFonts w:ascii="Arial" w:cs="Arial" w:eastAsia="Arial" w:hAnsi="Arial"/>
                <w:sz w:val="14"/>
                <w:szCs w:val="14"/>
                <w:b w:val="1"/>
                <w:bCs w:val="1"/>
                <w:color w:val="auto"/>
                <w:w w:val="94"/>
              </w:rPr>
              <w:t>Three months ended June</w:t>
            </w:r>
          </w:p>
        </w:tc>
        <w:tc>
          <w:tcPr>
            <w:tcW w:w="100" w:type="dxa"/>
            <w:vAlign w:val="bottom"/>
          </w:tcPr>
          <w:p>
            <w:pPr>
              <w:spacing w:after="0"/>
              <w:rPr>
                <w:sz w:val="21"/>
                <w:szCs w:val="21"/>
                <w:color w:val="auto"/>
              </w:rPr>
            </w:pPr>
          </w:p>
        </w:tc>
        <w:tc>
          <w:tcPr>
            <w:tcW w:w="1720" w:type="dxa"/>
            <w:vAlign w:val="bottom"/>
            <w:gridSpan w:val="6"/>
          </w:tcPr>
          <w:p>
            <w:pPr>
              <w:jc w:val="right"/>
              <w:spacing w:after="0"/>
              <w:rPr>
                <w:sz w:val="20"/>
                <w:szCs w:val="20"/>
                <w:color w:val="auto"/>
              </w:rPr>
            </w:pPr>
            <w:r>
              <w:rPr>
                <w:rFonts w:ascii="Arial" w:cs="Arial" w:eastAsia="Arial" w:hAnsi="Arial"/>
                <w:sz w:val="14"/>
                <w:szCs w:val="14"/>
                <w:b w:val="1"/>
                <w:bCs w:val="1"/>
                <w:color w:val="auto"/>
                <w:w w:val="90"/>
              </w:rPr>
              <w:t>Six months ended June 30,</w:t>
            </w:r>
          </w:p>
        </w:tc>
        <w:tc>
          <w:tcPr>
            <w:tcW w:w="0" w:type="dxa"/>
            <w:vAlign w:val="bottom"/>
          </w:tcPr>
          <w:p>
            <w:pPr>
              <w:spacing w:after="0"/>
              <w:rPr>
                <w:sz w:val="1"/>
                <w:szCs w:val="1"/>
                <w:color w:val="auto"/>
              </w:rPr>
            </w:pPr>
          </w:p>
        </w:tc>
      </w:tr>
      <w:tr>
        <w:trPr>
          <w:trHeight w:val="184"/>
        </w:trPr>
        <w:tc>
          <w:tcPr>
            <w:tcW w:w="3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4"/>
          </w:tcPr>
          <w:p>
            <w:pPr>
              <w:jc w:val="right"/>
              <w:ind w:right="47"/>
              <w:spacing w:after="0"/>
              <w:rPr>
                <w:sz w:val="20"/>
                <w:szCs w:val="20"/>
                <w:color w:val="auto"/>
              </w:rPr>
            </w:pPr>
            <w:r>
              <w:rPr>
                <w:rFonts w:ascii="Arial" w:cs="Arial" w:eastAsia="Arial" w:hAnsi="Arial"/>
                <w:sz w:val="14"/>
                <w:szCs w:val="14"/>
                <w:b w:val="1"/>
                <w:bCs w:val="1"/>
                <w:color w:val="auto"/>
              </w:rPr>
              <w:t>30,</w:t>
            </w: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18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jc w:val="right"/>
              <w:ind w:right="178"/>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188"/>
        </w:trPr>
        <w:tc>
          <w:tcPr>
            <w:tcW w:w="3340" w:type="dxa"/>
            <w:vAlign w:val="bottom"/>
            <w:tcBorders>
              <w:bottom w:val="single" w:sz="8" w:color="auto"/>
            </w:tcBorders>
          </w:tcPr>
          <w:p>
            <w:pPr>
              <w:ind w:left="1180"/>
              <w:spacing w:after="0"/>
              <w:rPr>
                <w:sz w:val="20"/>
                <w:szCs w:val="20"/>
                <w:color w:val="auto"/>
              </w:rPr>
            </w:pPr>
            <w:r>
              <w:rPr>
                <w:rFonts w:ascii="Arial" w:cs="Arial" w:eastAsia="Arial" w:hAnsi="Arial"/>
                <w:sz w:val="14"/>
                <w:szCs w:val="14"/>
                <w:b w:val="1"/>
                <w:bCs w:val="1"/>
                <w:color w:val="auto"/>
              </w:rPr>
              <w:t>Revenue Stream</w:t>
            </w:r>
          </w:p>
        </w:tc>
        <w:tc>
          <w:tcPr>
            <w:tcW w:w="120" w:type="dxa"/>
            <w:vAlign w:val="bottom"/>
          </w:tcPr>
          <w:p>
            <w:pPr>
              <w:spacing w:after="0"/>
              <w:rPr>
                <w:sz w:val="16"/>
                <w:szCs w:val="16"/>
                <w:color w:val="auto"/>
              </w:rPr>
            </w:pPr>
          </w:p>
        </w:tc>
        <w:tc>
          <w:tcPr>
            <w:tcW w:w="292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Income Statement Classification</w:t>
            </w:r>
          </w:p>
        </w:tc>
        <w:tc>
          <w:tcPr>
            <w:tcW w:w="10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Segment</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5"/>
          </w:tcPr>
          <w:p>
            <w:pPr>
              <w:jc w:val="right"/>
              <w:ind w:right="440"/>
              <w:spacing w:after="0"/>
              <w:rPr>
                <w:sz w:val="20"/>
                <w:szCs w:val="20"/>
                <w:color w:val="auto"/>
              </w:rPr>
            </w:pPr>
            <w:r>
              <w:rPr>
                <w:rFonts w:ascii="Arial" w:cs="Arial" w:eastAsia="Arial" w:hAnsi="Arial"/>
                <w:sz w:val="14"/>
                <w:szCs w:val="14"/>
                <w:b w:val="1"/>
                <w:bCs w:val="1"/>
                <w:color w:val="auto"/>
              </w:rPr>
              <w:t>Total Revenue</w:t>
            </w: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460" w:type="dxa"/>
            <w:vAlign w:val="bottom"/>
            <w:gridSpan w:val="2"/>
          </w:tcPr>
          <w:p>
            <w:pPr>
              <w:ind w:left="20"/>
              <w:spacing w:after="0"/>
              <w:rPr>
                <w:sz w:val="20"/>
                <w:szCs w:val="20"/>
                <w:color w:val="auto"/>
              </w:rPr>
            </w:pPr>
            <w:r>
              <w:rPr>
                <w:rFonts w:ascii="Arial" w:cs="Arial" w:eastAsia="Arial" w:hAnsi="Arial"/>
                <w:sz w:val="16"/>
                <w:szCs w:val="16"/>
                <w:color w:val="auto"/>
              </w:rPr>
              <w:t>Revenue from insurance contracts:</w:t>
            </w:r>
          </w:p>
        </w:tc>
        <w:tc>
          <w:tcPr>
            <w:tcW w:w="2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gridSpan w:val="5"/>
          </w:tcPr>
          <w:p>
            <w:pPr>
              <w:jc w:val="right"/>
              <w:ind w:right="520"/>
              <w:spacing w:after="0"/>
              <w:rPr>
                <w:sz w:val="20"/>
                <w:szCs w:val="20"/>
                <w:color w:val="auto"/>
              </w:rPr>
            </w:pPr>
            <w:r>
              <w:rPr>
                <w:rFonts w:ascii="Arial" w:cs="Arial" w:eastAsia="Arial" w:hAnsi="Arial"/>
                <w:sz w:val="14"/>
                <w:szCs w:val="14"/>
                <w:color w:val="auto"/>
              </w:rPr>
              <w:t>(in millions)</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4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Direct title insurance premiums</w:t>
            </w:r>
          </w:p>
        </w:tc>
        <w:tc>
          <w:tcPr>
            <w:tcW w:w="3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Direct title insurance premiums</w:t>
            </w:r>
          </w:p>
        </w:tc>
        <w:tc>
          <w:tcPr>
            <w:tcW w:w="12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Title</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w w:val="89"/>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859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1,626</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1,650</w:t>
            </w:r>
          </w:p>
        </w:tc>
        <w:tc>
          <w:tcPr>
            <w:tcW w:w="0" w:type="dxa"/>
            <w:vAlign w:val="bottom"/>
          </w:tcPr>
          <w:p>
            <w:pPr>
              <w:spacing w:after="0"/>
              <w:rPr>
                <w:sz w:val="1"/>
                <w:szCs w:val="1"/>
                <w:color w:val="auto"/>
              </w:rPr>
            </w:pPr>
          </w:p>
        </w:tc>
      </w:tr>
      <w:tr>
        <w:trPr>
          <w:trHeight w:val="207"/>
        </w:trPr>
        <w:tc>
          <w:tcPr>
            <w:tcW w:w="3460" w:type="dxa"/>
            <w:vAlign w:val="bottom"/>
            <w:gridSpan w:val="2"/>
          </w:tcPr>
          <w:p>
            <w:pPr>
              <w:ind w:left="140"/>
              <w:spacing w:after="0"/>
              <w:rPr>
                <w:sz w:val="20"/>
                <w:szCs w:val="20"/>
                <w:color w:val="auto"/>
              </w:rPr>
            </w:pPr>
            <w:r>
              <w:rPr>
                <w:rFonts w:ascii="Arial" w:cs="Arial" w:eastAsia="Arial" w:hAnsi="Arial"/>
                <w:sz w:val="16"/>
                <w:szCs w:val="16"/>
                <w:color w:val="auto"/>
              </w:rPr>
              <w:t>Agency title insurance premiums</w:t>
            </w:r>
          </w:p>
        </w:tc>
        <w:tc>
          <w:tcPr>
            <w:tcW w:w="3020" w:type="dxa"/>
            <w:vAlign w:val="bottom"/>
            <w:gridSpan w:val="2"/>
          </w:tcPr>
          <w:p>
            <w:pPr>
              <w:ind w:left="20"/>
              <w:spacing w:after="0"/>
              <w:rPr>
                <w:sz w:val="20"/>
                <w:szCs w:val="20"/>
                <w:color w:val="auto"/>
              </w:rPr>
            </w:pPr>
            <w:r>
              <w:rPr>
                <w:rFonts w:ascii="Arial" w:cs="Arial" w:eastAsia="Arial" w:hAnsi="Arial"/>
                <w:sz w:val="16"/>
                <w:szCs w:val="16"/>
                <w:color w:val="auto"/>
              </w:rPr>
              <w:t>Agency title insurance premiums</w:t>
            </w: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Title</w:t>
            </w:r>
          </w:p>
        </w:tc>
        <w:tc>
          <w:tcPr>
            <w:tcW w:w="2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1,203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1,256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2,302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2,314</w:t>
            </w:r>
          </w:p>
        </w:tc>
        <w:tc>
          <w:tcPr>
            <w:tcW w:w="0" w:type="dxa"/>
            <w:vAlign w:val="bottom"/>
          </w:tcPr>
          <w:p>
            <w:pPr>
              <w:spacing w:after="0"/>
              <w:rPr>
                <w:sz w:val="1"/>
                <w:szCs w:val="1"/>
                <w:color w:val="auto"/>
              </w:rPr>
            </w:pPr>
          </w:p>
        </w:tc>
      </w:tr>
      <w:tr>
        <w:trPr>
          <w:trHeight w:val="164"/>
        </w:trPr>
        <w:tc>
          <w:tcPr>
            <w:tcW w:w="3460" w:type="dxa"/>
            <w:vAlign w:val="bottom"/>
            <w:gridSpan w:val="2"/>
            <w:shd w:val="clear" w:color="auto" w:fill="CCEEFF"/>
          </w:tcPr>
          <w:p>
            <w:pPr>
              <w:ind w:left="140"/>
              <w:spacing w:after="0" w:line="165" w:lineRule="exact"/>
              <w:rPr>
                <w:sz w:val="20"/>
                <w:szCs w:val="20"/>
                <w:color w:val="auto"/>
              </w:rPr>
            </w:pPr>
            <w:r>
              <w:rPr>
                <w:rFonts w:ascii="Arial" w:cs="Arial" w:eastAsia="Arial" w:hAnsi="Arial"/>
                <w:sz w:val="16"/>
                <w:szCs w:val="16"/>
                <w:color w:val="auto"/>
              </w:rPr>
              <w:t>Life insurance premiums, insurance and</w:t>
            </w:r>
          </w:p>
        </w:tc>
        <w:tc>
          <w:tcPr>
            <w:tcW w:w="302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Escrow, title-related and other fees</w:t>
            </w:r>
          </w:p>
        </w:tc>
        <w:tc>
          <w:tcPr>
            <w:tcW w:w="12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6"/>
                <w:szCs w:val="16"/>
                <w:color w:val="auto"/>
              </w:rPr>
              <w:t>F&amp;G</w:t>
            </w:r>
          </w:p>
        </w:tc>
        <w:tc>
          <w:tcPr>
            <w:tcW w:w="200" w:type="dxa"/>
            <w:vAlign w:val="bottom"/>
            <w:shd w:val="clear" w:color="auto" w:fill="CCEEFF"/>
          </w:tcPr>
          <w:p>
            <w:pPr>
              <w:spacing w:after="0"/>
              <w:rPr>
                <w:sz w:val="14"/>
                <w:szCs w:val="14"/>
                <w:color w:val="auto"/>
              </w:rPr>
            </w:pPr>
          </w:p>
        </w:tc>
        <w:tc>
          <w:tcPr>
            <w:tcW w:w="6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68</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662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07"/>
        </w:trPr>
        <w:tc>
          <w:tcPr>
            <w:tcW w:w="34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investment product fees, and other</w:t>
            </w:r>
          </w:p>
        </w:tc>
        <w:tc>
          <w:tcPr>
            <w:tcW w:w="3020" w:type="dxa"/>
            <w:vAlign w:val="bottom"/>
            <w:gridSpan w:val="2"/>
            <w:vMerge w:val="continue"/>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46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Home warranty</w:t>
            </w:r>
          </w:p>
        </w:tc>
        <w:tc>
          <w:tcPr>
            <w:tcW w:w="30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Escrow, title-related and other fees</w:t>
            </w:r>
          </w:p>
        </w:tc>
        <w:tc>
          <w:tcPr>
            <w:tcW w:w="120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6"/>
                <w:szCs w:val="16"/>
                <w:color w:val="auto"/>
                <w:w w:val="99"/>
              </w:rPr>
              <w:t>Title</w:t>
            </w: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77</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07"/>
        </w:trPr>
        <w:tc>
          <w:tcPr>
            <w:tcW w:w="34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Total revenue from insurance contracts</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2,173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4,667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4,177</w:t>
            </w:r>
          </w:p>
        </w:tc>
        <w:tc>
          <w:tcPr>
            <w:tcW w:w="0" w:type="dxa"/>
            <w:vAlign w:val="bottom"/>
          </w:tcPr>
          <w:p>
            <w:pPr>
              <w:spacing w:after="0"/>
              <w:rPr>
                <w:sz w:val="1"/>
                <w:szCs w:val="1"/>
                <w:color w:val="auto"/>
              </w:rPr>
            </w:pPr>
          </w:p>
        </w:tc>
      </w:tr>
      <w:tr>
        <w:trPr>
          <w:trHeight w:val="207"/>
        </w:trPr>
        <w:tc>
          <w:tcPr>
            <w:tcW w:w="3460" w:type="dxa"/>
            <w:vAlign w:val="bottom"/>
            <w:gridSpan w:val="2"/>
          </w:tcPr>
          <w:p>
            <w:pPr>
              <w:ind w:left="20"/>
              <w:spacing w:after="0"/>
              <w:rPr>
                <w:sz w:val="20"/>
                <w:szCs w:val="20"/>
                <w:color w:val="auto"/>
              </w:rPr>
            </w:pPr>
            <w:r>
              <w:rPr>
                <w:rFonts w:ascii="Arial" w:cs="Arial" w:eastAsia="Arial" w:hAnsi="Arial"/>
                <w:sz w:val="16"/>
                <w:szCs w:val="16"/>
                <w:color w:val="auto"/>
              </w:rPr>
              <w:t>Revenue from contracts with customers:</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4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Escrow fees</w:t>
            </w:r>
          </w:p>
        </w:tc>
        <w:tc>
          <w:tcPr>
            <w:tcW w:w="3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Escrow, title-related and other fees</w:t>
            </w:r>
          </w:p>
        </w:tc>
        <w:tc>
          <w:tcPr>
            <w:tcW w:w="12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Title</w:t>
            </w: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294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559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w:t>
            </w:r>
          </w:p>
        </w:tc>
        <w:tc>
          <w:tcPr>
            <w:tcW w:w="0" w:type="dxa"/>
            <w:vAlign w:val="bottom"/>
          </w:tcPr>
          <w:p>
            <w:pPr>
              <w:spacing w:after="0"/>
              <w:rPr>
                <w:sz w:val="1"/>
                <w:szCs w:val="1"/>
                <w:color w:val="auto"/>
              </w:rPr>
            </w:pPr>
          </w:p>
        </w:tc>
      </w:tr>
      <w:tr>
        <w:trPr>
          <w:trHeight w:val="207"/>
        </w:trPr>
        <w:tc>
          <w:tcPr>
            <w:tcW w:w="3460" w:type="dxa"/>
            <w:vAlign w:val="bottom"/>
            <w:gridSpan w:val="2"/>
          </w:tcPr>
          <w:p>
            <w:pPr>
              <w:ind w:left="140"/>
              <w:spacing w:after="0"/>
              <w:rPr>
                <w:sz w:val="20"/>
                <w:szCs w:val="20"/>
                <w:color w:val="auto"/>
              </w:rPr>
            </w:pPr>
            <w:r>
              <w:rPr>
                <w:rFonts w:ascii="Arial" w:cs="Arial" w:eastAsia="Arial" w:hAnsi="Arial"/>
                <w:sz w:val="16"/>
                <w:szCs w:val="16"/>
                <w:color w:val="auto"/>
              </w:rPr>
              <w:t>Other title-related fees and income</w:t>
            </w:r>
          </w:p>
        </w:tc>
        <w:tc>
          <w:tcPr>
            <w:tcW w:w="3020" w:type="dxa"/>
            <w:vAlign w:val="bottom"/>
            <w:gridSpan w:val="2"/>
          </w:tcPr>
          <w:p>
            <w:pPr>
              <w:ind w:left="20"/>
              <w:spacing w:after="0"/>
              <w:rPr>
                <w:sz w:val="20"/>
                <w:szCs w:val="20"/>
                <w:color w:val="auto"/>
              </w:rPr>
            </w:pPr>
            <w:r>
              <w:rPr>
                <w:rFonts w:ascii="Arial" w:cs="Arial" w:eastAsia="Arial" w:hAnsi="Arial"/>
                <w:sz w:val="16"/>
                <w:szCs w:val="16"/>
                <w:color w:val="auto"/>
              </w:rPr>
              <w:t>Escrow, title-related and other fees</w:t>
            </w: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Title</w:t>
            </w:r>
          </w:p>
        </w:tc>
        <w:tc>
          <w:tcPr>
            <w:tcW w:w="2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210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406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437</w:t>
            </w:r>
          </w:p>
        </w:tc>
        <w:tc>
          <w:tcPr>
            <w:tcW w:w="0" w:type="dxa"/>
            <w:vAlign w:val="bottom"/>
          </w:tcPr>
          <w:p>
            <w:pPr>
              <w:spacing w:after="0"/>
              <w:rPr>
                <w:sz w:val="1"/>
                <w:szCs w:val="1"/>
                <w:color w:val="auto"/>
              </w:rPr>
            </w:pPr>
          </w:p>
        </w:tc>
      </w:tr>
      <w:tr>
        <w:trPr>
          <w:trHeight w:val="164"/>
        </w:trPr>
        <w:tc>
          <w:tcPr>
            <w:tcW w:w="3460" w:type="dxa"/>
            <w:vAlign w:val="bottom"/>
            <w:gridSpan w:val="2"/>
            <w:shd w:val="clear" w:color="auto" w:fill="CCEEFF"/>
          </w:tcPr>
          <w:p>
            <w:pPr>
              <w:ind w:left="140"/>
              <w:spacing w:after="0" w:line="165" w:lineRule="exact"/>
              <w:rPr>
                <w:sz w:val="20"/>
                <w:szCs w:val="20"/>
                <w:color w:val="auto"/>
              </w:rPr>
            </w:pPr>
            <w:r>
              <w:rPr>
                <w:rFonts w:ascii="Arial" w:cs="Arial" w:eastAsia="Arial" w:hAnsi="Arial"/>
                <w:sz w:val="16"/>
                <w:szCs w:val="16"/>
                <w:color w:val="auto"/>
              </w:rPr>
              <w:t>ServiceLink, excluding title premiums, escrow</w:t>
            </w:r>
          </w:p>
        </w:tc>
        <w:tc>
          <w:tcPr>
            <w:tcW w:w="302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Escrow, title-related and other fees</w:t>
            </w:r>
          </w:p>
        </w:tc>
        <w:tc>
          <w:tcPr>
            <w:tcW w:w="12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6"/>
                <w:szCs w:val="16"/>
                <w:color w:val="auto"/>
                <w:w w:val="99"/>
              </w:rPr>
              <w:t>Title</w:t>
            </w:r>
          </w:p>
        </w:tc>
        <w:tc>
          <w:tcPr>
            <w:tcW w:w="200" w:type="dxa"/>
            <w:vAlign w:val="bottom"/>
            <w:shd w:val="clear" w:color="auto" w:fill="CCEEFF"/>
          </w:tcPr>
          <w:p>
            <w:pPr>
              <w:spacing w:after="0"/>
              <w:rPr>
                <w:sz w:val="14"/>
                <w:szCs w:val="14"/>
                <w:color w:val="auto"/>
              </w:rPr>
            </w:pPr>
          </w:p>
        </w:tc>
        <w:tc>
          <w:tcPr>
            <w:tcW w:w="6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92</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186</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207"/>
        </w:trPr>
        <w:tc>
          <w:tcPr>
            <w:tcW w:w="34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fees, and subservicing fees</w:t>
            </w:r>
          </w:p>
        </w:tc>
        <w:tc>
          <w:tcPr>
            <w:tcW w:w="3020" w:type="dxa"/>
            <w:vAlign w:val="bottom"/>
            <w:gridSpan w:val="2"/>
            <w:vMerge w:val="continue"/>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3460" w:type="dxa"/>
            <w:vAlign w:val="bottom"/>
            <w:gridSpan w:val="2"/>
            <w:vMerge w:val="restart"/>
          </w:tcPr>
          <w:p>
            <w:pPr>
              <w:ind w:left="140"/>
              <w:spacing w:after="0"/>
              <w:rPr>
                <w:sz w:val="20"/>
                <w:szCs w:val="20"/>
                <w:color w:val="auto"/>
              </w:rPr>
            </w:pPr>
            <w:r>
              <w:rPr>
                <w:rFonts w:ascii="Arial" w:cs="Arial" w:eastAsia="Arial" w:hAnsi="Arial"/>
                <w:sz w:val="16"/>
                <w:szCs w:val="16"/>
                <w:color w:val="auto"/>
              </w:rPr>
              <w:t>Real estate technology</w:t>
            </w:r>
          </w:p>
        </w:tc>
        <w:tc>
          <w:tcPr>
            <w:tcW w:w="3020" w:type="dxa"/>
            <w:vAlign w:val="bottom"/>
            <w:gridSpan w:val="2"/>
            <w:vMerge w:val="restart"/>
          </w:tcPr>
          <w:p>
            <w:pPr>
              <w:ind w:left="20"/>
              <w:spacing w:after="0"/>
              <w:rPr>
                <w:sz w:val="20"/>
                <w:szCs w:val="20"/>
                <w:color w:val="auto"/>
              </w:rPr>
            </w:pPr>
            <w:r>
              <w:rPr>
                <w:rFonts w:ascii="Arial" w:cs="Arial" w:eastAsia="Arial" w:hAnsi="Arial"/>
                <w:sz w:val="16"/>
                <w:szCs w:val="16"/>
                <w:color w:val="auto"/>
              </w:rPr>
              <w:t>Escrow, title-related and other fees</w:t>
            </w:r>
          </w:p>
        </w:tc>
        <w:tc>
          <w:tcPr>
            <w:tcW w:w="1200" w:type="dxa"/>
            <w:vAlign w:val="bottom"/>
            <w:gridSpan w:val="2"/>
          </w:tcPr>
          <w:p>
            <w:pPr>
              <w:jc w:val="center"/>
              <w:ind w:right="100"/>
              <w:spacing w:after="0" w:line="161" w:lineRule="exact"/>
              <w:rPr>
                <w:sz w:val="20"/>
                <w:szCs w:val="20"/>
                <w:color w:val="auto"/>
              </w:rPr>
            </w:pPr>
            <w:r>
              <w:rPr>
                <w:rFonts w:ascii="Arial" w:cs="Arial" w:eastAsia="Arial" w:hAnsi="Arial"/>
                <w:sz w:val="16"/>
                <w:szCs w:val="16"/>
                <w:color w:val="auto"/>
                <w:w w:val="87"/>
              </w:rPr>
              <w:t>Corporate and</w:t>
            </w:r>
          </w:p>
        </w:tc>
        <w:tc>
          <w:tcPr>
            <w:tcW w:w="200" w:type="dxa"/>
            <w:vAlign w:val="bottom"/>
          </w:tcPr>
          <w:p>
            <w:pPr>
              <w:spacing w:after="0"/>
              <w:rPr>
                <w:sz w:val="14"/>
                <w:szCs w:val="14"/>
                <w:color w:val="auto"/>
              </w:rPr>
            </w:pPr>
          </w:p>
        </w:tc>
        <w:tc>
          <w:tcPr>
            <w:tcW w:w="62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79</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04"/>
        </w:trPr>
        <w:tc>
          <w:tcPr>
            <w:tcW w:w="3460" w:type="dxa"/>
            <w:vAlign w:val="bottom"/>
            <w:gridSpan w:val="2"/>
            <w:vMerge w:val="continue"/>
          </w:tcPr>
          <w:p>
            <w:pPr>
              <w:spacing w:after="0"/>
              <w:rPr>
                <w:sz w:val="17"/>
                <w:szCs w:val="17"/>
                <w:color w:val="auto"/>
              </w:rPr>
            </w:pPr>
          </w:p>
        </w:tc>
        <w:tc>
          <w:tcPr>
            <w:tcW w:w="3020" w:type="dxa"/>
            <w:vAlign w:val="bottom"/>
            <w:gridSpan w:val="2"/>
            <w:vMerge w:val="continue"/>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other</w:t>
            </w:r>
          </w:p>
        </w:tc>
        <w:tc>
          <w:tcPr>
            <w:tcW w:w="200" w:type="dxa"/>
            <w:vAlign w:val="bottom"/>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3460" w:type="dxa"/>
            <w:vAlign w:val="bottom"/>
            <w:gridSpan w:val="2"/>
            <w:vMerge w:val="restart"/>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302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Escrow, title-related and other fees</w:t>
            </w:r>
          </w:p>
        </w:tc>
        <w:tc>
          <w:tcPr>
            <w:tcW w:w="1200" w:type="dxa"/>
            <w:vAlign w:val="bottom"/>
            <w:gridSpan w:val="2"/>
            <w:shd w:val="clear" w:color="auto" w:fill="CCEEFF"/>
          </w:tcPr>
          <w:p>
            <w:pPr>
              <w:jc w:val="center"/>
              <w:ind w:right="100"/>
              <w:spacing w:after="0" w:line="165" w:lineRule="exact"/>
              <w:rPr>
                <w:sz w:val="20"/>
                <w:szCs w:val="20"/>
                <w:color w:val="auto"/>
              </w:rPr>
            </w:pPr>
            <w:r>
              <w:rPr>
                <w:rFonts w:ascii="Arial" w:cs="Arial" w:eastAsia="Arial" w:hAnsi="Arial"/>
                <w:sz w:val="16"/>
                <w:szCs w:val="16"/>
                <w:color w:val="auto"/>
                <w:w w:val="87"/>
              </w:rPr>
              <w:t>Corporate and</w:t>
            </w:r>
          </w:p>
        </w:tc>
        <w:tc>
          <w:tcPr>
            <w:tcW w:w="200" w:type="dxa"/>
            <w:vAlign w:val="bottom"/>
            <w:shd w:val="clear" w:color="auto" w:fill="CCEEFF"/>
          </w:tcPr>
          <w:p>
            <w:pPr>
              <w:spacing w:after="0"/>
              <w:rPr>
                <w:sz w:val="14"/>
                <w:szCs w:val="14"/>
                <w:color w:val="auto"/>
              </w:rPr>
            </w:pPr>
          </w:p>
        </w:tc>
        <w:tc>
          <w:tcPr>
            <w:tcW w:w="6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(40)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07"/>
        </w:trPr>
        <w:tc>
          <w:tcPr>
            <w:tcW w:w="3460" w:type="dxa"/>
            <w:vAlign w:val="bottom"/>
            <w:gridSpan w:val="2"/>
            <w:vMerge w:val="continue"/>
            <w:shd w:val="clear" w:color="auto" w:fill="CCEEFF"/>
          </w:tcPr>
          <w:p>
            <w:pPr>
              <w:spacing w:after="0"/>
              <w:rPr>
                <w:sz w:val="18"/>
                <w:szCs w:val="18"/>
                <w:color w:val="auto"/>
              </w:rPr>
            </w:pPr>
          </w:p>
        </w:tc>
        <w:tc>
          <w:tcPr>
            <w:tcW w:w="3020" w:type="dxa"/>
            <w:vAlign w:val="bottom"/>
            <w:gridSpan w:val="2"/>
            <w:vMerge w:val="continue"/>
            <w:shd w:val="clear" w:color="auto" w:fill="CCEEFF"/>
          </w:tcPr>
          <w:p>
            <w:pPr>
              <w:spacing w:after="0"/>
              <w:rPr>
                <w:sz w:val="18"/>
                <w:szCs w:val="18"/>
                <w:color w:val="auto"/>
              </w:rPr>
            </w:pPr>
          </w:p>
        </w:tc>
        <w:tc>
          <w:tcPr>
            <w:tcW w:w="12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3"/>
              </w:rPr>
              <w:t>other</w:t>
            </w: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460" w:type="dxa"/>
            <w:vAlign w:val="bottom"/>
            <w:gridSpan w:val="2"/>
          </w:tcPr>
          <w:p>
            <w:pPr>
              <w:ind w:left="220"/>
              <w:spacing w:after="0"/>
              <w:rPr>
                <w:sz w:val="20"/>
                <w:szCs w:val="20"/>
                <w:color w:val="auto"/>
              </w:rPr>
            </w:pPr>
            <w:r>
              <w:rPr>
                <w:rFonts w:ascii="Arial" w:cs="Arial" w:eastAsia="Arial" w:hAnsi="Arial"/>
                <w:sz w:val="16"/>
                <w:szCs w:val="16"/>
                <w:color w:val="auto"/>
              </w:rPr>
              <w:t>Total revenue from contracts with customers</w:t>
            </w:r>
          </w:p>
        </w:tc>
        <w:tc>
          <w:tcPr>
            <w:tcW w:w="2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604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750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1,190</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1,411</w:t>
            </w:r>
          </w:p>
        </w:tc>
        <w:tc>
          <w:tcPr>
            <w:tcW w:w="0" w:type="dxa"/>
            <w:vAlign w:val="bottom"/>
          </w:tcPr>
          <w:p>
            <w:pPr>
              <w:spacing w:after="0"/>
              <w:rPr>
                <w:sz w:val="1"/>
                <w:szCs w:val="1"/>
                <w:color w:val="auto"/>
              </w:rPr>
            </w:pPr>
          </w:p>
        </w:tc>
      </w:tr>
      <w:tr>
        <w:trPr>
          <w:trHeight w:val="214"/>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revenue:</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460" w:type="dxa"/>
            <w:vAlign w:val="bottom"/>
            <w:gridSpan w:val="2"/>
          </w:tcPr>
          <w:p>
            <w:pPr>
              <w:ind w:left="140"/>
              <w:spacing w:after="0"/>
              <w:rPr>
                <w:sz w:val="20"/>
                <w:szCs w:val="20"/>
                <w:color w:val="auto"/>
              </w:rPr>
            </w:pPr>
            <w:r>
              <w:rPr>
                <w:rFonts w:ascii="Arial" w:cs="Arial" w:eastAsia="Arial" w:hAnsi="Arial"/>
                <w:sz w:val="16"/>
                <w:szCs w:val="16"/>
                <w:color w:val="auto"/>
              </w:rPr>
              <w:t>Loan subservicing revenue</w:t>
            </w:r>
          </w:p>
        </w:tc>
        <w:tc>
          <w:tcPr>
            <w:tcW w:w="3020" w:type="dxa"/>
            <w:vAlign w:val="bottom"/>
            <w:gridSpan w:val="2"/>
          </w:tcPr>
          <w:p>
            <w:pPr>
              <w:ind w:left="20"/>
              <w:spacing w:after="0"/>
              <w:rPr>
                <w:sz w:val="20"/>
                <w:szCs w:val="20"/>
                <w:color w:val="auto"/>
              </w:rPr>
            </w:pPr>
            <w:r>
              <w:rPr>
                <w:rFonts w:ascii="Arial" w:cs="Arial" w:eastAsia="Arial" w:hAnsi="Arial"/>
                <w:sz w:val="16"/>
                <w:szCs w:val="16"/>
                <w:color w:val="auto"/>
              </w:rPr>
              <w:t>Escrow, title-related and other fees</w:t>
            </w: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Title</w:t>
            </w:r>
          </w:p>
        </w:tc>
        <w:tc>
          <w:tcPr>
            <w:tcW w:w="2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143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14"/>
        </w:trPr>
        <w:tc>
          <w:tcPr>
            <w:tcW w:w="34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Interest and investment income</w:t>
            </w:r>
          </w:p>
        </w:tc>
        <w:tc>
          <w:tcPr>
            <w:tcW w:w="3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and investment income</w:t>
            </w:r>
          </w:p>
        </w:tc>
        <w:tc>
          <w:tcPr>
            <w:tcW w:w="120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88"/>
              </w:rPr>
              <w:t>Various</w:t>
            </w: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463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941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w:t>
            </w:r>
          </w:p>
        </w:tc>
        <w:tc>
          <w:tcPr>
            <w:tcW w:w="0" w:type="dxa"/>
            <w:vAlign w:val="bottom"/>
          </w:tcPr>
          <w:p>
            <w:pPr>
              <w:spacing w:after="0"/>
              <w:rPr>
                <w:sz w:val="1"/>
                <w:szCs w:val="1"/>
                <w:color w:val="auto"/>
              </w:rPr>
            </w:pPr>
          </w:p>
        </w:tc>
      </w:tr>
      <w:tr>
        <w:trPr>
          <w:trHeight w:val="207"/>
        </w:trPr>
        <w:tc>
          <w:tcPr>
            <w:tcW w:w="346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Recognized gains and losses, net</w:t>
            </w:r>
          </w:p>
        </w:tc>
        <w:tc>
          <w:tcPr>
            <w:tcW w:w="30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Recognized gains and losses, net</w:t>
            </w:r>
          </w:p>
        </w:tc>
        <w:tc>
          <w:tcPr>
            <w:tcW w:w="120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6"/>
                <w:szCs w:val="16"/>
                <w:color w:val="auto"/>
                <w:w w:val="88"/>
              </w:rPr>
              <w:t>Various</w:t>
            </w: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(676)</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(1,145)</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w:t>
            </w:r>
          </w:p>
        </w:tc>
        <w:tc>
          <w:tcPr>
            <w:tcW w:w="0" w:type="dxa"/>
            <w:vAlign w:val="bottom"/>
          </w:tcPr>
          <w:p>
            <w:pPr>
              <w:spacing w:after="0"/>
              <w:rPr>
                <w:sz w:val="1"/>
                <w:szCs w:val="1"/>
                <w:color w:val="auto"/>
              </w:rPr>
            </w:pPr>
          </w:p>
        </w:tc>
      </w:tr>
      <w:tr>
        <w:trPr>
          <w:trHeight w:val="227"/>
        </w:trPr>
        <w:tc>
          <w:tcPr>
            <w:tcW w:w="34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Total revenues</w:t>
            </w:r>
          </w:p>
        </w:tc>
        <w:tc>
          <w:tcPr>
            <w:tcW w:w="3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w w:val="89"/>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2,631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5,796</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6,954</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bottom w:val="single" w:sz="8" w:color="CCEEFF"/>
            </w:tcBorders>
            <w:vMerge w:val="restart"/>
          </w:tcPr>
          <w:p>
            <w:pPr>
              <w:ind w:left="2080"/>
              <w:spacing w:after="0"/>
              <w:rPr>
                <w:sz w:val="20"/>
                <w:szCs w:val="20"/>
                <w:color w:val="auto"/>
              </w:rPr>
            </w:pPr>
            <w:r>
              <w:rPr>
                <w:rFonts w:ascii="Arial" w:cs="Arial" w:eastAsia="Arial" w:hAnsi="Arial"/>
                <w:sz w:val="18"/>
                <w:szCs w:val="18"/>
                <w:color w:val="auto"/>
              </w:rPr>
              <w:t>45</w:t>
            </w: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6"/>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33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9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16"/>
        <w:spacing w:after="0" w:line="291" w:lineRule="auto"/>
        <w:rPr>
          <w:sz w:val="20"/>
          <w:szCs w:val="20"/>
          <w:color w:val="auto"/>
        </w:rPr>
      </w:pPr>
      <w:r>
        <w:rPr>
          <w:rFonts w:ascii="Arial" w:cs="Arial" w:eastAsia="Arial" w:hAnsi="Arial"/>
          <w:sz w:val="16"/>
          <w:szCs w:val="16"/>
          <w:color w:val="auto"/>
        </w:rPr>
        <w:t>Our Direct title insurance premiums are recognized as revenue at the time of closing of the underlying transaction as the earnings process is then considered complete. Regulation of title insurance rates varies by state. Premiums are charged to customers based on rates predetermined in coordination with each states' respective Department of Insurance. Cash associated with such revenue is typically collected at closing of the underlying real estate transaction. Premium revenues from agency title operations are recognized when the underlying title order and transaction closing, if applicable, are complete.</w:t>
      </w:r>
    </w:p>
    <w:p>
      <w:pPr>
        <w:spacing w:after="0" w:line="42" w:lineRule="exact"/>
        <w:rPr>
          <w:sz w:val="20"/>
          <w:szCs w:val="20"/>
          <w:color w:val="auto"/>
        </w:rPr>
      </w:pPr>
    </w:p>
    <w:p>
      <w:pPr>
        <w:jc w:val="both"/>
        <w:ind w:firstLine="316"/>
        <w:spacing w:after="0" w:line="324" w:lineRule="auto"/>
        <w:rPr>
          <w:sz w:val="20"/>
          <w:szCs w:val="20"/>
          <w:color w:val="auto"/>
        </w:rPr>
      </w:pPr>
      <w:r>
        <w:rPr>
          <w:rFonts w:ascii="Arial" w:cs="Arial" w:eastAsia="Arial" w:hAnsi="Arial"/>
          <w:sz w:val="16"/>
          <w:szCs w:val="16"/>
          <w:color w:val="auto"/>
        </w:rPr>
        <w:t>Revenues from our home warranty business are generated from contracts with customers to provide warranty for major home appliances. Substantially all of our home warranty contracts are one year in length and revenue is recognized ratably over the term of the contract.</w:t>
      </w:r>
    </w:p>
    <w:p>
      <w:pPr>
        <w:spacing w:after="0" w:line="16" w:lineRule="exact"/>
        <w:rPr>
          <w:sz w:val="20"/>
          <w:szCs w:val="20"/>
          <w:color w:val="auto"/>
        </w:rPr>
      </w:pPr>
    </w:p>
    <w:p>
      <w:pPr>
        <w:jc w:val="both"/>
        <w:ind w:firstLine="316"/>
        <w:spacing w:after="0" w:line="291" w:lineRule="auto"/>
        <w:rPr>
          <w:sz w:val="20"/>
          <w:szCs w:val="20"/>
          <w:color w:val="auto"/>
        </w:rPr>
      </w:pPr>
      <w:r>
        <w:rPr>
          <w:rFonts w:ascii="Arial" w:cs="Arial" w:eastAsia="Arial" w:hAnsi="Arial"/>
          <w:sz w:val="16"/>
          <w:szCs w:val="16"/>
          <w:color w:val="auto"/>
        </w:rPr>
        <w:t>Escrow fees and Other title-related fees and income in our Title segment are closely related to Direct title insurance premiums and are primarily associated with managing the closing of real estate transactions, including the processing of funds on behalf of the transaction participants, gathering and recording the required closing documents, providing notary and home inspection services, and other real estate or title-related activities. Revenue is primarily recognized upon closing of the underlying real estate transaction or completion of services. Cash associated with such revenue is typically collected at closing.</w:t>
      </w:r>
    </w:p>
    <w:p>
      <w:pPr>
        <w:spacing w:after="0" w:line="29" w:lineRule="exact"/>
        <w:rPr>
          <w:sz w:val="20"/>
          <w:szCs w:val="20"/>
          <w:color w:val="auto"/>
        </w:rPr>
      </w:pPr>
    </w:p>
    <w:p>
      <w:pPr>
        <w:jc w:val="both"/>
        <w:ind w:firstLine="316"/>
        <w:spacing w:after="0" w:line="250" w:lineRule="auto"/>
        <w:rPr>
          <w:sz w:val="20"/>
          <w:szCs w:val="20"/>
          <w:color w:val="auto"/>
        </w:rPr>
      </w:pPr>
      <w:r>
        <w:rPr>
          <w:rFonts w:ascii="Arial" w:cs="Arial" w:eastAsia="Arial" w:hAnsi="Arial"/>
          <w:sz w:val="18"/>
          <w:szCs w:val="18"/>
          <w:color w:val="auto"/>
        </w:rPr>
        <w:t>Revenues from ServiceLink, excluding its title premiums, escrow fees and loan subservicing fees primarily include revenues from real estate appraisal services and foreclosure processing and facilitation services. Revenues from real estate appraisal services are recognized when all appraisal work is complete, a final report is issued to the client and the client is billed. Revenues from foreclosure processing and facilitation services are primarily recognized upon completion of the services and when billing to the client is complete.</w:t>
      </w:r>
    </w:p>
    <w:p>
      <w:pPr>
        <w:spacing w:after="0" w:line="72" w:lineRule="exact"/>
        <w:rPr>
          <w:sz w:val="20"/>
          <w:szCs w:val="20"/>
          <w:color w:val="auto"/>
        </w:rPr>
      </w:pPr>
    </w:p>
    <w:p>
      <w:pPr>
        <w:jc w:val="both"/>
        <w:ind w:firstLine="316"/>
        <w:spacing w:after="0" w:line="269" w:lineRule="auto"/>
        <w:rPr>
          <w:sz w:val="20"/>
          <w:szCs w:val="20"/>
          <w:color w:val="auto"/>
        </w:rPr>
      </w:pPr>
      <w:r>
        <w:rPr>
          <w:rFonts w:ascii="Arial" w:cs="Arial" w:eastAsia="Arial" w:hAnsi="Arial"/>
          <w:sz w:val="16"/>
          <w:szCs w:val="16"/>
          <w:color w:val="auto"/>
        </w:rPr>
        <w:t>Life insurance premiums in our F&amp;G segment reflect premiums for life-contingent PRT, traditional life insurance products and life-contingent immediate annuity products, which are recognized as revenue when due from the policyholder. We have ceded the majority of our traditional life business to unaffiliated third party reinsurers. While the base contract has been reinsured, we continue to retain the return of premium rider. Insurance and investment product fees and other consist primarily of the cost of insurance on IUL policies, unearned revenue ("UREV") on IUL policies, policy rider fees primarily on FIA policies and surrender charges assessed against policy withdrawals in excess of the policyholder's allowable penalty-free amounts.</w:t>
      </w:r>
    </w:p>
    <w:p>
      <w:pPr>
        <w:spacing w:after="0" w:line="74" w:lineRule="exact"/>
        <w:rPr>
          <w:sz w:val="20"/>
          <w:szCs w:val="20"/>
          <w:color w:val="auto"/>
        </w:rPr>
      </w:pPr>
    </w:p>
    <w:p>
      <w:pPr>
        <w:jc w:val="both"/>
        <w:ind w:firstLine="434"/>
        <w:spacing w:after="0" w:line="265" w:lineRule="auto"/>
        <w:rPr>
          <w:sz w:val="20"/>
          <w:szCs w:val="20"/>
          <w:color w:val="auto"/>
        </w:rPr>
      </w:pPr>
      <w:r>
        <w:rPr>
          <w:rFonts w:ascii="Arial" w:cs="Arial" w:eastAsia="Arial" w:hAnsi="Arial"/>
          <w:sz w:val="16"/>
          <w:szCs w:val="16"/>
          <w:color w:val="auto"/>
        </w:rPr>
        <w:t>Premium and annuity deposit collections for FIA, fixed rate annuities, immediate annuities and PRT without life contingency, and amounts received for funding agreements are reported in the financial statements as deposit liabilities (i.e., contractholder funds) instead of as sales or revenues. Similarly, cash payments to customers are reported as decreases in the liability for contractholder funds and not as expenses. Sources of revenues for products accounted for as deposit liabilities include net investment income, surrender, cost of insurance and other charges deducted from contractholder funds, and net realized gains (losses) on investments. Components of expenses for products accounted for as deposit liabilities are interest-sensitive and index product benefits (primarily interest credited to account balances or the hedging cost of providing index credits to the policyholder), amortization of VOBA, DAC, and DSI, other operating costs and expenses, and income taxes.</w:t>
      </w:r>
    </w:p>
    <w:p>
      <w:pPr>
        <w:spacing w:after="0" w:line="52" w:lineRule="exact"/>
        <w:rPr>
          <w:sz w:val="20"/>
          <w:szCs w:val="20"/>
          <w:color w:val="auto"/>
        </w:rPr>
      </w:pPr>
    </w:p>
    <w:p>
      <w:pPr>
        <w:jc w:val="both"/>
        <w:ind w:firstLine="316"/>
        <w:spacing w:after="0" w:line="324" w:lineRule="auto"/>
        <w:rPr>
          <w:sz w:val="20"/>
          <w:szCs w:val="20"/>
          <w:color w:val="auto"/>
        </w:rPr>
      </w:pPr>
      <w:r>
        <w:rPr>
          <w:rFonts w:ascii="Arial" w:cs="Arial" w:eastAsia="Arial" w:hAnsi="Arial"/>
          <w:sz w:val="16"/>
          <w:szCs w:val="16"/>
          <w:color w:val="auto"/>
        </w:rPr>
        <w:t>Real estate technology revenues are primarily comprised of subscription fees for use of software provided to real estate professionals. Subscriptions are only offered on a month-by-month basis and fees are billed monthly. Revenue is recognized in the month services are provided.</w:t>
      </w:r>
    </w:p>
    <w:p>
      <w:pPr>
        <w:spacing w:after="0" w:line="16" w:lineRule="exact"/>
        <w:rPr>
          <w:sz w:val="20"/>
          <w:szCs w:val="20"/>
          <w:color w:val="auto"/>
        </w:rPr>
      </w:pPr>
    </w:p>
    <w:p>
      <w:pPr>
        <w:jc w:val="both"/>
        <w:ind w:firstLine="316"/>
        <w:spacing w:after="0" w:line="252" w:lineRule="auto"/>
        <w:rPr>
          <w:sz w:val="20"/>
          <w:szCs w:val="20"/>
          <w:color w:val="auto"/>
        </w:rPr>
      </w:pPr>
      <w:r>
        <w:rPr>
          <w:rFonts w:ascii="Arial" w:cs="Arial" w:eastAsia="Arial" w:hAnsi="Arial"/>
          <w:sz w:val="18"/>
          <w:szCs w:val="18"/>
          <w:color w:val="auto"/>
        </w:rPr>
        <w:t>Loan subservicing revenues are generated by certain subsidiaries of ServiceLink and are associated with the servicing of mortgage loans on behalf of its customers. Revenue is recognized when the underlying work is performed and billed. Loan subservicing revenues are subject to the recognition requirements of ASC Topic 860.</w:t>
      </w:r>
    </w:p>
    <w:p>
      <w:pPr>
        <w:spacing w:after="0" w:line="59" w:lineRule="exact"/>
        <w:rPr>
          <w:sz w:val="20"/>
          <w:szCs w:val="20"/>
          <w:color w:val="auto"/>
        </w:rPr>
      </w:pPr>
    </w:p>
    <w:p>
      <w:pPr>
        <w:jc w:val="both"/>
        <w:ind w:firstLine="316"/>
        <w:spacing w:after="0" w:line="261" w:lineRule="auto"/>
        <w:rPr>
          <w:sz w:val="20"/>
          <w:szCs w:val="20"/>
          <w:color w:val="auto"/>
        </w:rPr>
      </w:pPr>
      <w:r>
        <w:rPr>
          <w:rFonts w:ascii="Arial" w:cs="Arial" w:eastAsia="Arial" w:hAnsi="Arial"/>
          <w:sz w:val="18"/>
          <w:szCs w:val="18"/>
          <w:color w:val="auto"/>
        </w:rPr>
        <w:t>Interest and investment income consists primarily of interest payments received on fixed maturity security holdings and dividends received on equity and preferred security holdings along with the investment income of limited partnerships.</w:t>
      </w:r>
    </w:p>
    <w:p>
      <w:pPr>
        <w:spacing w:after="0" w:line="63" w:lineRule="exact"/>
        <w:rPr>
          <w:sz w:val="20"/>
          <w:szCs w:val="20"/>
          <w:color w:val="auto"/>
        </w:rPr>
      </w:pPr>
    </w:p>
    <w:p>
      <w:pPr>
        <w:jc w:val="both"/>
        <w:ind w:firstLine="316"/>
        <w:spacing w:after="0" w:line="252" w:lineRule="auto"/>
        <w:rPr>
          <w:sz w:val="20"/>
          <w:szCs w:val="20"/>
          <w:color w:val="auto"/>
        </w:rPr>
      </w:pPr>
      <w:r>
        <w:rPr>
          <w:rFonts w:ascii="Arial" w:cs="Arial" w:eastAsia="Arial" w:hAnsi="Arial"/>
          <w:sz w:val="18"/>
          <w:szCs w:val="18"/>
          <w:color w:val="auto"/>
        </w:rPr>
        <w:t>We do not disclose the value of unsatisfied performance obligations for (i) contracts with an original expected length of one year or less, primarily related to revenue from our home warranty business, and (ii) contracts for which we recognize revenue at the amount to which we have the right to invoice for services performed.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8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provides information about trade receivables and deferred revenue:</w:t>
      </w:r>
    </w:p>
    <w:p>
      <w:pPr>
        <w:spacing w:after="0" w:line="125" w:lineRule="exact"/>
        <w:rPr>
          <w:sz w:val="20"/>
          <w:szCs w:val="20"/>
          <w:color w:val="auto"/>
        </w:rPr>
      </w:pPr>
    </w:p>
    <w:tbl>
      <w:tblPr>
        <w:tblLayout w:type="fixed"/>
        <w:tblInd w:w="100" w:type="dxa"/>
        <w:tblCellMar>
          <w:top w:w="0" w:type="dxa"/>
          <w:left w:w="0" w:type="dxa"/>
          <w:bottom w:w="0" w:type="dxa"/>
          <w:right w:w="0" w:type="dxa"/>
        </w:tblCellMar>
      </w:tblPr>
      <w:tr>
        <w:trPr>
          <w:trHeight w:val="188"/>
        </w:trPr>
        <w:tc>
          <w:tcPr>
            <w:tcW w:w="6900" w:type="dxa"/>
            <w:vAlign w:val="bottom"/>
          </w:tcPr>
          <w:p>
            <w:pPr>
              <w:spacing w:after="0"/>
              <w:rPr>
                <w:sz w:val="16"/>
                <w:szCs w:val="16"/>
                <w:color w:val="auto"/>
              </w:rPr>
            </w:pPr>
          </w:p>
        </w:tc>
        <w:tc>
          <w:tcPr>
            <w:tcW w:w="144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June 30, 2022</w:t>
            </w:r>
          </w:p>
        </w:tc>
        <w:tc>
          <w:tcPr>
            <w:tcW w:w="4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w w:val="90"/>
              </w:rPr>
              <w:t>December 31, 2021</w:t>
            </w:r>
          </w:p>
        </w:tc>
      </w:tr>
      <w:tr>
        <w:trPr>
          <w:trHeight w:val="181"/>
        </w:trPr>
        <w:tc>
          <w:tcPr>
            <w:tcW w:w="69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40" w:type="dxa"/>
            <w:vAlign w:val="bottom"/>
            <w:gridSpan w:val="2"/>
          </w:tcPr>
          <w:p>
            <w:pPr>
              <w:jc w:val="center"/>
              <w:ind w:left="158"/>
              <w:spacing w:after="0"/>
              <w:rPr>
                <w:sz w:val="20"/>
                <w:szCs w:val="20"/>
                <w:color w:val="auto"/>
              </w:rPr>
            </w:pPr>
            <w:r>
              <w:rPr>
                <w:rFonts w:ascii="Arial" w:cs="Arial" w:eastAsia="Arial" w:hAnsi="Arial"/>
                <w:sz w:val="14"/>
                <w:szCs w:val="14"/>
                <w:b w:val="1"/>
                <w:bCs w:val="1"/>
                <w:color w:val="auto"/>
                <w:w w:val="91"/>
              </w:rPr>
              <w:t>(In millions)</w:t>
            </w:r>
          </w:p>
        </w:tc>
        <w:tc>
          <w:tcPr>
            <w:tcW w:w="1680" w:type="dxa"/>
            <w:vAlign w:val="bottom"/>
          </w:tcPr>
          <w:p>
            <w:pPr>
              <w:spacing w:after="0"/>
              <w:rPr>
                <w:sz w:val="15"/>
                <w:szCs w:val="15"/>
                <w:color w:val="auto"/>
              </w:rPr>
            </w:pPr>
          </w:p>
        </w:tc>
      </w:tr>
      <w:tr>
        <w:trPr>
          <w:trHeight w:val="225"/>
        </w:trPr>
        <w:tc>
          <w:tcPr>
            <w:tcW w:w="6900" w:type="dxa"/>
            <w:vAlign w:val="bottom"/>
          </w:tcPr>
          <w:p>
            <w:pPr>
              <w:spacing w:after="0"/>
              <w:rPr>
                <w:sz w:val="20"/>
                <w:szCs w:val="20"/>
                <w:color w:val="auto"/>
              </w:rPr>
            </w:pPr>
            <w:r>
              <w:rPr>
                <w:rFonts w:ascii="Arial" w:cs="Arial" w:eastAsia="Arial" w:hAnsi="Arial"/>
                <w:sz w:val="18"/>
                <w:szCs w:val="18"/>
                <w:color w:val="auto"/>
              </w:rPr>
              <w:t>Trade receivables</w:t>
            </w:r>
          </w:p>
        </w:tc>
        <w:tc>
          <w:tcPr>
            <w:tcW w:w="1440" w:type="dxa"/>
            <w:vAlign w:val="bottom"/>
          </w:tcPr>
          <w:p>
            <w:pPr>
              <w:jc w:val="right"/>
              <w:ind w:right="1261"/>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ind w:right="18"/>
              <w:spacing w:after="0"/>
              <w:rPr>
                <w:sz w:val="20"/>
                <w:szCs w:val="20"/>
                <w:color w:val="auto"/>
              </w:rPr>
            </w:pPr>
            <w:r>
              <w:rPr>
                <w:rFonts w:ascii="Arial" w:cs="Arial" w:eastAsia="Arial" w:hAnsi="Arial"/>
                <w:sz w:val="18"/>
                <w:szCs w:val="18"/>
                <w:color w:val="auto"/>
              </w:rPr>
              <w:t>497</w:t>
            </w:r>
          </w:p>
        </w:tc>
        <w:tc>
          <w:tcPr>
            <w:tcW w:w="56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524</w:t>
            </w:r>
          </w:p>
        </w:tc>
      </w:tr>
      <w:tr>
        <w:trPr>
          <w:trHeight w:val="224"/>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(contract liabilities)</w:t>
            </w:r>
          </w:p>
        </w:tc>
        <w:tc>
          <w:tcPr>
            <w:tcW w:w="144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257</w:t>
            </w:r>
          </w:p>
        </w:tc>
        <w:tc>
          <w:tcPr>
            <w:tcW w:w="5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r>
    </w:tbl>
    <w:p>
      <w:pPr>
        <w:spacing w:after="0" w:line="93" w:lineRule="exact"/>
        <w:rPr>
          <w:sz w:val="20"/>
          <w:szCs w:val="20"/>
          <w:color w:val="auto"/>
        </w:rPr>
      </w:pPr>
    </w:p>
    <w:p>
      <w:pPr>
        <w:jc w:val="both"/>
        <w:ind w:firstLine="316"/>
        <w:spacing w:after="0" w:line="291" w:lineRule="auto"/>
        <w:rPr>
          <w:sz w:val="20"/>
          <w:szCs w:val="20"/>
          <w:color w:val="auto"/>
        </w:rPr>
      </w:pPr>
      <w:r>
        <w:rPr>
          <w:rFonts w:ascii="Arial" w:cs="Arial" w:eastAsia="Arial" w:hAnsi="Arial"/>
          <w:sz w:val="16"/>
          <w:szCs w:val="16"/>
          <w:color w:val="auto"/>
        </w:rPr>
        <w:t>Deferred revenue is recorded primarily for our home warranty contracts. Revenues from home warranty products are recognized over the life of the policy, which is primarily one year. The unrecognized portion is recorded as deferred revenue in accounts payable and other accrued liabilities in the unaudited Condensed Consolidated Balance Sheets. During the three months and six months ended June 30, 2022, we recognized $44 million and $69 million of revenue, respectively, which was included in deferred revenue at the beginning of the respective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K —Value of Business Acquired, Deferred Acquisition Costs and Deferred Sales Inducements</w:t>
      </w:r>
    </w:p>
    <w:p>
      <w:pPr>
        <w:spacing w:after="0" w:line="8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 summary of the changes in the carrying amounts of our VOBA, DAC and DSI intangible assets is as follows (in millions):</w:t>
      </w:r>
    </w:p>
    <w:p>
      <w:pPr>
        <w:spacing w:after="0" w:line="125" w:lineRule="exact"/>
        <w:rPr>
          <w:sz w:val="20"/>
          <w:szCs w:val="20"/>
          <w:color w:val="auto"/>
        </w:rPr>
      </w:pPr>
    </w:p>
    <w:tbl>
      <w:tblPr>
        <w:tblLayout w:type="fixed"/>
        <w:tblInd w:w="960" w:type="dxa"/>
        <w:tblCellMar>
          <w:top w:w="0" w:type="dxa"/>
          <w:left w:w="0" w:type="dxa"/>
          <w:bottom w:w="0" w:type="dxa"/>
          <w:right w:w="0" w:type="dxa"/>
        </w:tblCellMar>
      </w:tblPr>
      <w:tr>
        <w:trPr>
          <w:trHeight w:val="188"/>
        </w:trPr>
        <w:tc>
          <w:tcPr>
            <w:tcW w:w="3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80" w:type="dxa"/>
            <w:vAlign w:val="bottom"/>
            <w:gridSpan w:val="2"/>
          </w:tcPr>
          <w:p>
            <w:pPr>
              <w:ind w:left="120"/>
              <w:spacing w:after="0"/>
              <w:rPr>
                <w:sz w:val="20"/>
                <w:szCs w:val="20"/>
                <w:color w:val="auto"/>
              </w:rPr>
            </w:pPr>
            <w:r>
              <w:rPr>
                <w:rFonts w:ascii="Arial" w:cs="Arial" w:eastAsia="Arial" w:hAnsi="Arial"/>
                <w:sz w:val="14"/>
                <w:szCs w:val="14"/>
                <w:b w:val="1"/>
                <w:bCs w:val="1"/>
                <w:color w:val="auto"/>
              </w:rPr>
              <w:t>VOBA</w:t>
            </w:r>
          </w:p>
        </w:tc>
        <w:tc>
          <w:tcPr>
            <w:tcW w:w="880" w:type="dxa"/>
            <w:vAlign w:val="bottom"/>
          </w:tcPr>
          <w:p>
            <w:pPr>
              <w:spacing w:after="0"/>
              <w:rPr>
                <w:sz w:val="16"/>
                <w:szCs w:val="16"/>
                <w:color w:val="auto"/>
              </w:rPr>
            </w:pPr>
          </w:p>
        </w:tc>
        <w:tc>
          <w:tcPr>
            <w:tcW w:w="960" w:type="dxa"/>
            <w:vAlign w:val="bottom"/>
            <w:gridSpan w:val="2"/>
          </w:tcPr>
          <w:p>
            <w:pPr>
              <w:ind w:left="160"/>
              <w:spacing w:after="0"/>
              <w:rPr>
                <w:sz w:val="20"/>
                <w:szCs w:val="20"/>
                <w:color w:val="auto"/>
              </w:rPr>
            </w:pPr>
            <w:r>
              <w:rPr>
                <w:rFonts w:ascii="Arial" w:cs="Arial" w:eastAsia="Arial" w:hAnsi="Arial"/>
                <w:sz w:val="14"/>
                <w:szCs w:val="14"/>
                <w:b w:val="1"/>
                <w:bCs w:val="1"/>
                <w:color w:val="auto"/>
              </w:rPr>
              <w:t>DAC</w:t>
            </w:r>
          </w:p>
        </w:tc>
        <w:tc>
          <w:tcPr>
            <w:tcW w:w="880" w:type="dxa"/>
            <w:vAlign w:val="bottom"/>
          </w:tcPr>
          <w:p>
            <w:pPr>
              <w:spacing w:after="0"/>
              <w:rPr>
                <w:sz w:val="16"/>
                <w:szCs w:val="16"/>
                <w:color w:val="auto"/>
              </w:rPr>
            </w:pPr>
          </w:p>
        </w:tc>
        <w:tc>
          <w:tcPr>
            <w:tcW w:w="860" w:type="dxa"/>
            <w:vAlign w:val="bottom"/>
            <w:gridSpan w:val="2"/>
          </w:tcPr>
          <w:p>
            <w:pPr>
              <w:ind w:left="140"/>
              <w:spacing w:after="0"/>
              <w:rPr>
                <w:sz w:val="20"/>
                <w:szCs w:val="20"/>
                <w:color w:val="auto"/>
              </w:rPr>
            </w:pPr>
            <w:r>
              <w:rPr>
                <w:rFonts w:ascii="Arial" w:cs="Arial" w:eastAsia="Arial" w:hAnsi="Arial"/>
                <w:sz w:val="14"/>
                <w:szCs w:val="14"/>
                <w:b w:val="1"/>
                <w:bCs w:val="1"/>
                <w:color w:val="auto"/>
              </w:rPr>
              <w:t>DSI</w:t>
            </w:r>
          </w:p>
        </w:tc>
        <w:tc>
          <w:tcPr>
            <w:tcW w:w="880" w:type="dxa"/>
            <w:vAlign w:val="bottom"/>
          </w:tcPr>
          <w:p>
            <w:pPr>
              <w:spacing w:after="0"/>
              <w:rPr>
                <w:sz w:val="16"/>
                <w:szCs w:val="16"/>
                <w:color w:val="auto"/>
              </w:rPr>
            </w:pPr>
          </w:p>
        </w:tc>
        <w:tc>
          <w:tcPr>
            <w:tcW w:w="640" w:type="dxa"/>
            <w:vAlign w:val="bottom"/>
          </w:tcPr>
          <w:p>
            <w:pPr>
              <w:jc w:val="right"/>
              <w:ind w:right="11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3440" w:type="dxa"/>
            <w:vAlign w:val="bottom"/>
            <w:tcBorders>
              <w:top w:val="single" w:sz="8" w:color="CCEEFF"/>
            </w:tcBorders>
            <w:shd w:val="clear" w:color="auto" w:fill="CCEEFF"/>
          </w:tcPr>
          <w:p>
            <w:pPr>
              <w:ind w:left="640"/>
              <w:spacing w:after="0"/>
              <w:rPr>
                <w:sz w:val="20"/>
                <w:szCs w:val="20"/>
                <w:color w:val="auto"/>
              </w:rPr>
            </w:pPr>
            <w:r>
              <w:rPr>
                <w:rFonts w:ascii="Arial" w:cs="Arial" w:eastAsia="Arial" w:hAnsi="Arial"/>
                <w:sz w:val="14"/>
                <w:szCs w:val="14"/>
                <w:b w:val="1"/>
                <w:bCs w:val="1"/>
                <w:color w:val="auto"/>
              </w:rPr>
              <w:t>Balance at January 1, 2022</w:t>
            </w:r>
          </w:p>
        </w:tc>
        <w:tc>
          <w:tcPr>
            <w:tcW w:w="8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1,185</w:t>
            </w:r>
          </w:p>
        </w:tc>
        <w:tc>
          <w:tcPr>
            <w:tcW w:w="10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761</w:t>
            </w:r>
          </w:p>
        </w:tc>
        <w:tc>
          <w:tcPr>
            <w:tcW w:w="10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10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82"/>
        </w:trPr>
        <w:tc>
          <w:tcPr>
            <w:tcW w:w="3440" w:type="dxa"/>
            <w:vAlign w:val="bottom"/>
          </w:tcPr>
          <w:p>
            <w:pPr>
              <w:ind w:left="640"/>
              <w:spacing w:after="0"/>
              <w:rPr>
                <w:sz w:val="20"/>
                <w:szCs w:val="20"/>
                <w:color w:val="auto"/>
              </w:rPr>
            </w:pPr>
            <w:r>
              <w:rPr>
                <w:rFonts w:ascii="Arial" w:cs="Arial" w:eastAsia="Arial" w:hAnsi="Arial"/>
                <w:sz w:val="14"/>
                <w:szCs w:val="14"/>
                <w:color w:val="auto"/>
              </w:rPr>
              <w:t>Deferrals</w:t>
            </w:r>
          </w:p>
        </w:tc>
        <w:tc>
          <w:tcPr>
            <w:tcW w:w="86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334</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7"/>
        </w:trPr>
        <w:tc>
          <w:tcPr>
            <w:tcW w:w="3440" w:type="dxa"/>
            <w:vAlign w:val="bottom"/>
            <w:shd w:val="clear" w:color="auto" w:fill="CCEEFF"/>
          </w:tcPr>
          <w:p>
            <w:pPr>
              <w:ind w:left="640"/>
              <w:spacing w:after="0"/>
              <w:rPr>
                <w:sz w:val="20"/>
                <w:szCs w:val="20"/>
                <w:color w:val="auto"/>
              </w:rPr>
            </w:pPr>
            <w:r>
              <w:rPr>
                <w:rFonts w:ascii="Arial" w:cs="Arial" w:eastAsia="Arial" w:hAnsi="Arial"/>
                <w:sz w:val="14"/>
                <w:szCs w:val="14"/>
                <w:color w:val="auto"/>
              </w:rPr>
              <w:t>Amortization</w:t>
            </w:r>
          </w:p>
        </w:tc>
        <w:tc>
          <w:tcPr>
            <w:tcW w:w="8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2"/>
        </w:trPr>
        <w:tc>
          <w:tcPr>
            <w:tcW w:w="3440" w:type="dxa"/>
            <w:vAlign w:val="bottom"/>
          </w:tcPr>
          <w:p>
            <w:pPr>
              <w:ind w:left="640"/>
              <w:spacing w:after="0"/>
              <w:rPr>
                <w:sz w:val="20"/>
                <w:szCs w:val="20"/>
                <w:color w:val="auto"/>
              </w:rPr>
            </w:pPr>
            <w:r>
              <w:rPr>
                <w:rFonts w:ascii="Arial" w:cs="Arial" w:eastAsia="Arial" w:hAnsi="Arial"/>
                <w:sz w:val="14"/>
                <w:szCs w:val="14"/>
                <w:color w:val="auto"/>
              </w:rPr>
              <w:t>Interest</w:t>
            </w:r>
          </w:p>
        </w:tc>
        <w:tc>
          <w:tcPr>
            <w:tcW w:w="8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440" w:type="dxa"/>
            <w:vAlign w:val="bottom"/>
            <w:shd w:val="clear" w:color="auto" w:fill="CCEEFF"/>
          </w:tcPr>
          <w:p>
            <w:pPr>
              <w:ind w:left="640"/>
              <w:spacing w:after="0"/>
              <w:rPr>
                <w:sz w:val="20"/>
                <w:szCs w:val="20"/>
                <w:color w:val="auto"/>
              </w:rPr>
            </w:pPr>
            <w:r>
              <w:rPr>
                <w:rFonts w:ascii="Arial" w:cs="Arial" w:eastAsia="Arial" w:hAnsi="Arial"/>
                <w:sz w:val="14"/>
                <w:szCs w:val="14"/>
                <w:color w:val="auto"/>
              </w:rPr>
              <w:t>Unlocking</w:t>
            </w:r>
          </w:p>
        </w:tc>
        <w:tc>
          <w:tcPr>
            <w:tcW w:w="8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3440" w:type="dxa"/>
            <w:vAlign w:val="bottom"/>
          </w:tcPr>
          <w:p>
            <w:pPr>
              <w:ind w:left="640"/>
              <w:spacing w:after="0" w:line="132" w:lineRule="exact"/>
              <w:rPr>
                <w:sz w:val="20"/>
                <w:szCs w:val="20"/>
                <w:color w:val="auto"/>
              </w:rPr>
            </w:pPr>
            <w:r>
              <w:rPr>
                <w:rFonts w:ascii="Arial" w:cs="Arial" w:eastAsia="Arial" w:hAnsi="Arial"/>
                <w:sz w:val="14"/>
                <w:szCs w:val="14"/>
                <w:color w:val="auto"/>
                <w:w w:val="92"/>
              </w:rPr>
              <w:t>Adjustment for net unrealized investment (gains)</w:t>
            </w:r>
          </w:p>
        </w:tc>
        <w:tc>
          <w:tcPr>
            <w:tcW w:w="86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577</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156</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2"/>
        </w:trPr>
        <w:tc>
          <w:tcPr>
            <w:tcW w:w="3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losses</w:t>
            </w:r>
          </w:p>
        </w:tc>
        <w:tc>
          <w:tcPr>
            <w:tcW w:w="8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4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4"/>
                <w:szCs w:val="14"/>
                <w:b w:val="1"/>
                <w:bCs w:val="1"/>
                <w:color w:val="auto"/>
              </w:rPr>
              <w:t>Balance at June 30, 2022</w:t>
            </w:r>
          </w:p>
        </w:tc>
        <w:tc>
          <w:tcPr>
            <w:tcW w:w="8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1,600</w:t>
            </w: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1,182</w:t>
            </w: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tbl>
      <w:tblPr>
        <w:tblLayout w:type="fixed"/>
        <w:tblInd w:w="960" w:type="dxa"/>
        <w:tblCellMar>
          <w:top w:w="0" w:type="dxa"/>
          <w:left w:w="0" w:type="dxa"/>
          <w:bottom w:w="0" w:type="dxa"/>
          <w:right w:w="0" w:type="dxa"/>
        </w:tblCellMar>
      </w:tblPr>
      <w:tr>
        <w:trPr>
          <w:trHeight w:val="184"/>
        </w:trPr>
        <w:tc>
          <w:tcPr>
            <w:tcW w:w="34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VOBA</w:t>
            </w:r>
          </w:p>
        </w:tc>
        <w:tc>
          <w:tcPr>
            <w:tcW w:w="8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160"/>
              <w:spacing w:after="0"/>
              <w:rPr>
                <w:sz w:val="20"/>
                <w:szCs w:val="20"/>
                <w:color w:val="auto"/>
              </w:rPr>
            </w:pPr>
            <w:r>
              <w:rPr>
                <w:rFonts w:ascii="Arial" w:cs="Arial" w:eastAsia="Arial" w:hAnsi="Arial"/>
                <w:sz w:val="14"/>
                <w:szCs w:val="14"/>
                <w:b w:val="1"/>
                <w:bCs w:val="1"/>
                <w:color w:val="auto"/>
              </w:rPr>
              <w:t>DAC</w:t>
            </w:r>
          </w:p>
        </w:tc>
        <w:tc>
          <w:tcPr>
            <w:tcW w:w="8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DSI</w:t>
            </w:r>
          </w:p>
        </w:tc>
        <w:tc>
          <w:tcPr>
            <w:tcW w:w="8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1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3440" w:type="dxa"/>
            <w:vAlign w:val="bottom"/>
          </w:tcPr>
          <w:p>
            <w:pPr>
              <w:ind w:left="640"/>
              <w:spacing w:after="0"/>
              <w:rPr>
                <w:sz w:val="20"/>
                <w:szCs w:val="20"/>
                <w:color w:val="auto"/>
              </w:rPr>
            </w:pPr>
            <w:r>
              <w:rPr>
                <w:rFonts w:ascii="Arial" w:cs="Arial" w:eastAsia="Arial" w:hAnsi="Arial"/>
                <w:sz w:val="14"/>
                <w:szCs w:val="14"/>
                <w:b w:val="1"/>
                <w:bCs w:val="1"/>
                <w:color w:val="auto"/>
              </w:rPr>
              <w:t>Balance at January 1, 2021</w:t>
            </w:r>
          </w:p>
        </w:tc>
        <w:tc>
          <w:tcPr>
            <w:tcW w:w="86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1,466</w:t>
            </w:r>
          </w:p>
        </w:tc>
        <w:tc>
          <w:tcPr>
            <w:tcW w:w="100" w:type="dxa"/>
            <w:vAlign w:val="bottom"/>
          </w:tcPr>
          <w:p>
            <w:pPr>
              <w:spacing w:after="0"/>
              <w:rPr>
                <w:sz w:val="15"/>
                <w:szCs w:val="15"/>
                <w:color w:val="auto"/>
              </w:rPr>
            </w:pPr>
          </w:p>
        </w:tc>
        <w:tc>
          <w:tcPr>
            <w:tcW w:w="880" w:type="dxa"/>
            <w:vAlign w:val="bottom"/>
            <w:tcBorders>
              <w:top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222</w:t>
            </w:r>
          </w:p>
        </w:tc>
        <w:tc>
          <w:tcPr>
            <w:tcW w:w="100" w:type="dxa"/>
            <w:vAlign w:val="bottom"/>
          </w:tcPr>
          <w:p>
            <w:pPr>
              <w:spacing w:after="0"/>
              <w:rPr>
                <w:sz w:val="15"/>
                <w:szCs w:val="15"/>
                <w:color w:val="auto"/>
              </w:rPr>
            </w:pPr>
          </w:p>
        </w:tc>
        <w:tc>
          <w:tcPr>
            <w:tcW w:w="880" w:type="dxa"/>
            <w:vAlign w:val="bottom"/>
            <w:tcBorders>
              <w:top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5"/>
                <w:szCs w:val="15"/>
                <w:color w:val="auto"/>
              </w:rPr>
            </w:pPr>
          </w:p>
        </w:tc>
        <w:tc>
          <w:tcPr>
            <w:tcW w:w="880" w:type="dxa"/>
            <w:vAlign w:val="bottom"/>
            <w:tcBorders>
              <w:top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87"/>
        </w:trPr>
        <w:tc>
          <w:tcPr>
            <w:tcW w:w="3440" w:type="dxa"/>
            <w:vAlign w:val="bottom"/>
            <w:shd w:val="clear" w:color="auto" w:fill="CCEEFF"/>
          </w:tcPr>
          <w:p>
            <w:pPr>
              <w:ind w:left="640"/>
              <w:spacing w:after="0"/>
              <w:rPr>
                <w:sz w:val="20"/>
                <w:szCs w:val="20"/>
                <w:color w:val="auto"/>
              </w:rPr>
            </w:pPr>
            <w:r>
              <w:rPr>
                <w:rFonts w:ascii="Arial" w:cs="Arial" w:eastAsia="Arial" w:hAnsi="Arial"/>
                <w:sz w:val="14"/>
                <w:szCs w:val="14"/>
                <w:color w:val="auto"/>
              </w:rPr>
              <w:t>Deferrals</w:t>
            </w:r>
          </w:p>
        </w:tc>
        <w:tc>
          <w:tcPr>
            <w:tcW w:w="8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2"/>
        </w:trPr>
        <w:tc>
          <w:tcPr>
            <w:tcW w:w="3440" w:type="dxa"/>
            <w:vAlign w:val="bottom"/>
          </w:tcPr>
          <w:p>
            <w:pPr>
              <w:ind w:left="640"/>
              <w:spacing w:after="0"/>
              <w:rPr>
                <w:sz w:val="20"/>
                <w:szCs w:val="20"/>
                <w:color w:val="auto"/>
              </w:rPr>
            </w:pPr>
            <w:r>
              <w:rPr>
                <w:rFonts w:ascii="Arial" w:cs="Arial" w:eastAsia="Arial" w:hAnsi="Arial"/>
                <w:sz w:val="14"/>
                <w:szCs w:val="14"/>
                <w:color w:val="auto"/>
              </w:rPr>
              <w:t>Amortization</w:t>
            </w:r>
          </w:p>
        </w:tc>
        <w:tc>
          <w:tcPr>
            <w:tcW w:w="8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(204)</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7"/>
        </w:trPr>
        <w:tc>
          <w:tcPr>
            <w:tcW w:w="3440" w:type="dxa"/>
            <w:vAlign w:val="bottom"/>
            <w:shd w:val="clear" w:color="auto" w:fill="CCEEFF"/>
          </w:tcPr>
          <w:p>
            <w:pPr>
              <w:ind w:left="640"/>
              <w:spacing w:after="0"/>
              <w:rPr>
                <w:sz w:val="20"/>
                <w:szCs w:val="20"/>
                <w:color w:val="auto"/>
              </w:rPr>
            </w:pPr>
            <w:r>
              <w:rPr>
                <w:rFonts w:ascii="Arial" w:cs="Arial" w:eastAsia="Arial" w:hAnsi="Arial"/>
                <w:sz w:val="14"/>
                <w:szCs w:val="14"/>
                <w:color w:val="auto"/>
              </w:rPr>
              <w:t>Interest</w:t>
            </w:r>
          </w:p>
        </w:tc>
        <w:tc>
          <w:tcPr>
            <w:tcW w:w="8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440" w:type="dxa"/>
            <w:vAlign w:val="bottom"/>
          </w:tcPr>
          <w:p>
            <w:pPr>
              <w:ind w:left="640"/>
              <w:spacing w:after="0"/>
              <w:rPr>
                <w:sz w:val="20"/>
                <w:szCs w:val="20"/>
                <w:color w:val="auto"/>
              </w:rPr>
            </w:pPr>
            <w:r>
              <w:rPr>
                <w:rFonts w:ascii="Arial" w:cs="Arial" w:eastAsia="Arial" w:hAnsi="Arial"/>
                <w:sz w:val="14"/>
                <w:szCs w:val="14"/>
                <w:color w:val="auto"/>
              </w:rPr>
              <w:t>Unlocking</w:t>
            </w:r>
          </w:p>
        </w:tc>
        <w:tc>
          <w:tcPr>
            <w:tcW w:w="8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3440" w:type="dxa"/>
            <w:vAlign w:val="bottom"/>
            <w:shd w:val="clear" w:color="auto" w:fill="CCEEFF"/>
          </w:tcPr>
          <w:p>
            <w:pPr>
              <w:ind w:left="640"/>
              <w:spacing w:after="0" w:line="135" w:lineRule="exact"/>
              <w:rPr>
                <w:sz w:val="20"/>
                <w:szCs w:val="20"/>
                <w:color w:val="auto"/>
              </w:rPr>
            </w:pPr>
            <w:r>
              <w:rPr>
                <w:rFonts w:ascii="Arial" w:cs="Arial" w:eastAsia="Arial" w:hAnsi="Arial"/>
                <w:sz w:val="14"/>
                <w:szCs w:val="14"/>
                <w:color w:val="auto"/>
                <w:w w:val="92"/>
              </w:rPr>
              <w:t>Adjustment for net unrealized investment (gains)</w:t>
            </w:r>
          </w:p>
        </w:tc>
        <w:tc>
          <w:tcPr>
            <w:tcW w:w="86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losses</w:t>
            </w:r>
          </w:p>
        </w:tc>
        <w:tc>
          <w:tcPr>
            <w:tcW w:w="86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440" w:type="dxa"/>
            <w:vAlign w:val="bottom"/>
          </w:tcPr>
          <w:p>
            <w:pPr>
              <w:ind w:left="640"/>
              <w:spacing w:after="0"/>
              <w:rPr>
                <w:sz w:val="20"/>
                <w:szCs w:val="20"/>
                <w:color w:val="auto"/>
              </w:rPr>
            </w:pPr>
            <w:r>
              <w:rPr>
                <w:rFonts w:ascii="Arial" w:cs="Arial" w:eastAsia="Arial" w:hAnsi="Arial"/>
                <w:sz w:val="14"/>
                <w:szCs w:val="14"/>
                <w:color w:val="auto"/>
              </w:rPr>
              <w:t>Purchase price allocation adjustments</w:t>
            </w:r>
          </w:p>
        </w:tc>
        <w:tc>
          <w:tcPr>
            <w:tcW w:w="8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440" w:type="dxa"/>
            <w:vAlign w:val="bottom"/>
            <w:tcBorders>
              <w:top w:val="single" w:sz="8" w:color="CCEEFF"/>
              <w:bottom w:val="single" w:sz="8" w:color="CCEEFF"/>
            </w:tcBorders>
            <w:shd w:val="clear" w:color="auto" w:fill="CCEEFF"/>
          </w:tcPr>
          <w:p>
            <w:pPr>
              <w:ind w:left="640"/>
              <w:spacing w:after="0"/>
              <w:rPr>
                <w:sz w:val="20"/>
                <w:szCs w:val="20"/>
                <w:color w:val="auto"/>
              </w:rPr>
            </w:pPr>
            <w:r>
              <w:rPr>
                <w:rFonts w:ascii="Arial" w:cs="Arial" w:eastAsia="Arial" w:hAnsi="Arial"/>
                <w:sz w:val="14"/>
                <w:szCs w:val="14"/>
                <w:b w:val="1"/>
                <w:bCs w:val="1"/>
                <w:color w:val="auto"/>
              </w:rPr>
              <w:t>Balance at June 30, 2021</w:t>
            </w:r>
          </w:p>
        </w:tc>
        <w:tc>
          <w:tcPr>
            <w:tcW w:w="8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8" w:lineRule="exact"/>
        <w:rPr>
          <w:sz w:val="20"/>
          <w:szCs w:val="20"/>
          <w:color w:val="auto"/>
        </w:rPr>
      </w:pPr>
    </w:p>
    <w:p>
      <w:pPr>
        <w:jc w:val="both"/>
        <w:ind w:right="100" w:firstLine="395"/>
        <w:spacing w:after="0" w:line="248" w:lineRule="auto"/>
        <w:rPr>
          <w:sz w:val="20"/>
          <w:szCs w:val="20"/>
          <w:color w:val="auto"/>
        </w:rPr>
      </w:pPr>
      <w:r>
        <w:rPr>
          <w:rFonts w:ascii="Arial" w:cs="Arial" w:eastAsia="Arial" w:hAnsi="Arial"/>
          <w:sz w:val="16"/>
          <w:szCs w:val="16"/>
          <w:color w:val="auto"/>
        </w:rPr>
        <w:t>Amortization of VOBA, DAC, and DSI is based on the current and future expected gross margins or profits recognized, including investment gains and losses. The interest accrual rate utilized to calculate the accretion of interest on VOBA ranged from 0% to 4.71%. The adjustment for unrealized net investment losses (gains) represents the amount of VOBA, DAC, and DSI that would have been amortized if such unrealized gains and losses had been recognized. This is referred to as the “shadow adjustments” as the additional amortization is reflected in AOCI rather than the unaudited Condensed Consolidated Statements of Earnings. As of June 30, 2022 and June 30, 2021, the VOBA balances included cumulative adjustments for net unrealized investment gains (losses) of $(345) million and $298 million, respectively, the DAC balances included cumulative adjustments for net unrealized investment gains (losses) of $(117) million and $53 million, respectively, and the DSI balance included net unrealized investment gains (losses) of $(42) million and $10 million, respectively.</w:t>
      </w:r>
    </w:p>
    <w:p>
      <w:pPr>
        <w:spacing w:after="0" w:line="5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For the in-force liabilities as of June 30, 2022, the estimated amortization expense for VOBA in future fiscal periods is as follows (in millions):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Pr>
          <w:p>
            <w:pPr>
              <w:jc w:val="right"/>
              <w:ind w:right="30"/>
              <w:spacing w:after="0"/>
              <w:rPr>
                <w:sz w:val="20"/>
                <w:szCs w:val="20"/>
                <w:color w:val="auto"/>
              </w:rPr>
            </w:pPr>
            <w:r>
              <w:rPr>
                <w:rFonts w:ascii="Arial" w:cs="Arial" w:eastAsia="Arial" w:hAnsi="Arial"/>
                <w:sz w:val="14"/>
                <w:szCs w:val="14"/>
                <w:b w:val="1"/>
                <w:bCs w:val="1"/>
                <w:color w:val="auto"/>
                <w:w w:val="90"/>
              </w:rPr>
              <w:t>Estimated Amortization</w:t>
            </w:r>
          </w:p>
        </w:tc>
      </w:tr>
      <w:tr>
        <w:trPr>
          <w:trHeight w:val="183"/>
        </w:trPr>
        <w:tc>
          <w:tcPr>
            <w:tcW w:w="96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490"/>
              <w:spacing w:after="0"/>
              <w:rPr>
                <w:sz w:val="20"/>
                <w:szCs w:val="20"/>
                <w:color w:val="auto"/>
              </w:rPr>
            </w:pPr>
            <w:r>
              <w:rPr>
                <w:rFonts w:ascii="Arial" w:cs="Arial" w:eastAsia="Arial" w:hAnsi="Arial"/>
                <w:sz w:val="14"/>
                <w:szCs w:val="14"/>
                <w:b w:val="1"/>
                <w:bCs w:val="1"/>
                <w:color w:val="auto"/>
              </w:rPr>
              <w:t>Expense</w:t>
            </w:r>
          </w:p>
        </w:tc>
      </w:tr>
      <w:tr>
        <w:trPr>
          <w:trHeight w:val="164"/>
        </w:trPr>
        <w:tc>
          <w:tcPr>
            <w:tcW w:w="9620" w:type="dxa"/>
            <w:vAlign w:val="bottom"/>
          </w:tcPr>
          <w:p>
            <w:pPr>
              <w:ind w:left="20"/>
              <w:spacing w:after="0"/>
              <w:rPr>
                <w:sz w:val="20"/>
                <w:szCs w:val="20"/>
                <w:color w:val="auto"/>
              </w:rPr>
            </w:pPr>
            <w:r>
              <w:rPr>
                <w:rFonts w:ascii="Arial" w:cs="Arial" w:eastAsia="Arial" w:hAnsi="Arial"/>
                <w:sz w:val="14"/>
                <w:szCs w:val="14"/>
                <w:b w:val="1"/>
                <w:bCs w:val="1"/>
                <w:color w:val="auto"/>
              </w:rPr>
              <w:t>Fiscal Year</w:t>
            </w:r>
          </w:p>
        </w:tc>
        <w:tc>
          <w:tcPr>
            <w:tcW w:w="8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85"/>
        </w:trPr>
        <w:tc>
          <w:tcPr>
            <w:tcW w:w="9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r>
      <w:tr>
        <w:trPr>
          <w:trHeight w:val="182"/>
        </w:trPr>
        <w:tc>
          <w:tcPr>
            <w:tcW w:w="9620" w:type="dxa"/>
            <w:vAlign w:val="bottom"/>
          </w:tcPr>
          <w:p>
            <w:pPr>
              <w:ind w:left="20"/>
              <w:spacing w:after="0"/>
              <w:rPr>
                <w:sz w:val="20"/>
                <w:szCs w:val="20"/>
                <w:color w:val="auto"/>
              </w:rPr>
            </w:pPr>
            <w:r>
              <w:rPr>
                <w:rFonts w:ascii="Arial" w:cs="Arial" w:eastAsia="Arial" w:hAnsi="Arial"/>
                <w:sz w:val="14"/>
                <w:szCs w:val="14"/>
                <w:color w:val="auto"/>
              </w:rPr>
              <w:t>2023</w:t>
            </w:r>
          </w:p>
        </w:tc>
        <w:tc>
          <w:tcPr>
            <w:tcW w:w="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86</w:t>
            </w:r>
          </w:p>
        </w:tc>
      </w:tr>
      <w:tr>
        <w:trPr>
          <w:trHeight w:val="187"/>
        </w:trPr>
        <w:tc>
          <w:tcPr>
            <w:tcW w:w="9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8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w:t>
            </w:r>
          </w:p>
        </w:tc>
      </w:tr>
      <w:tr>
        <w:trPr>
          <w:trHeight w:val="182"/>
        </w:trPr>
        <w:tc>
          <w:tcPr>
            <w:tcW w:w="9620" w:type="dxa"/>
            <w:vAlign w:val="bottom"/>
          </w:tcPr>
          <w:p>
            <w:pPr>
              <w:ind w:left="20"/>
              <w:spacing w:after="0"/>
              <w:rPr>
                <w:sz w:val="20"/>
                <w:szCs w:val="20"/>
                <w:color w:val="auto"/>
              </w:rPr>
            </w:pPr>
            <w:r>
              <w:rPr>
                <w:rFonts w:ascii="Arial" w:cs="Arial" w:eastAsia="Arial" w:hAnsi="Arial"/>
                <w:sz w:val="14"/>
                <w:szCs w:val="14"/>
                <w:color w:val="auto"/>
              </w:rPr>
              <w:t>2025</w:t>
            </w:r>
          </w:p>
        </w:tc>
        <w:tc>
          <w:tcPr>
            <w:tcW w:w="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161</w:t>
            </w:r>
          </w:p>
        </w:tc>
      </w:tr>
      <w:tr>
        <w:trPr>
          <w:trHeight w:val="187"/>
        </w:trPr>
        <w:tc>
          <w:tcPr>
            <w:tcW w:w="9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2026</w:t>
            </w:r>
          </w:p>
        </w:tc>
        <w:tc>
          <w:tcPr>
            <w:tcW w:w="8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w:t>
            </w:r>
          </w:p>
        </w:tc>
      </w:tr>
      <w:tr>
        <w:trPr>
          <w:trHeight w:val="179"/>
        </w:trPr>
        <w:tc>
          <w:tcPr>
            <w:tcW w:w="9620" w:type="dxa"/>
            <w:vAlign w:val="bottom"/>
          </w:tcPr>
          <w:p>
            <w:pPr>
              <w:ind w:left="20"/>
              <w:spacing w:after="0"/>
              <w:rPr>
                <w:sz w:val="20"/>
                <w:szCs w:val="20"/>
                <w:color w:val="auto"/>
              </w:rPr>
            </w:pPr>
            <w:r>
              <w:rPr>
                <w:rFonts w:ascii="Arial" w:cs="Arial" w:eastAsia="Arial" w:hAnsi="Arial"/>
                <w:sz w:val="14"/>
                <w:szCs w:val="14"/>
                <w:color w:val="auto"/>
              </w:rPr>
              <w:t>Thereafter</w:t>
            </w:r>
          </w:p>
        </w:tc>
        <w:tc>
          <w:tcPr>
            <w:tcW w:w="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703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L — F&amp;G Reinsurance</w:t>
      </w:r>
    </w:p>
    <w:p>
      <w:pPr>
        <w:spacing w:after="0" w:line="89"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F&amp;G reinsures portions of its policy risks with other insurance companies. The use of indemnity reinsurance does not discharge an insurer from liability on the insurance ceded. The insurer is required to pay in full the amount of its insurance liability regardless of whether it is entitled to or able to receive payment from the reinsurer. The portion of risks exceeding F&amp;G's retention limit is reinsured. F&amp;G primarily seeks reinsurance coverage in order to limit its exposure to mortality losses and enhance capital management. If the underlying policy being reinsured is an insurance contract, F&amp;G follows reinsurance accounting when there is adequate risk transfer or deposit accounting if there is inadequate risk transfer. If the underlying policy being reinsured is an investment contract, the effects of the agreement are accounted for as a separate investment contract.</w:t>
      </w:r>
    </w:p>
    <w:p>
      <w:pPr>
        <w:spacing w:after="0" w:line="1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effects of reinsurance on net premiums earned and net benefits incurred (benefits paid and reserve changes) for the three and six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June 30, 2022 and June 30, 2021 were as follows (in millions):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182"/>
        </w:trPr>
        <w:tc>
          <w:tcPr>
            <w:tcW w:w="2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40" w:type="dxa"/>
            <w:vAlign w:val="bottom"/>
            <w:gridSpan w:val="5"/>
          </w:tcPr>
          <w:p>
            <w:pPr>
              <w:ind w:left="460"/>
              <w:spacing w:after="0"/>
              <w:rPr>
                <w:sz w:val="20"/>
                <w:szCs w:val="20"/>
                <w:color w:val="auto"/>
              </w:rPr>
            </w:pPr>
            <w:r>
              <w:rPr>
                <w:rFonts w:ascii="Arial" w:cs="Arial" w:eastAsia="Arial" w:hAnsi="Arial"/>
                <w:sz w:val="14"/>
                <w:szCs w:val="14"/>
                <w:b w:val="1"/>
                <w:bCs w:val="1"/>
                <w:color w:val="auto"/>
              </w:rPr>
              <w:t>June 30, 2022</w:t>
            </w:r>
          </w:p>
        </w:tc>
        <w:tc>
          <w:tcPr>
            <w:tcW w:w="100" w:type="dxa"/>
            <w:vAlign w:val="bottom"/>
          </w:tcPr>
          <w:p>
            <w:pPr>
              <w:spacing w:after="0"/>
              <w:rPr>
                <w:sz w:val="15"/>
                <w:szCs w:val="15"/>
                <w:color w:val="auto"/>
              </w:rPr>
            </w:pPr>
          </w:p>
        </w:tc>
        <w:tc>
          <w:tcPr>
            <w:tcW w:w="2060" w:type="dxa"/>
            <w:vAlign w:val="bottom"/>
            <w:gridSpan w:val="4"/>
          </w:tcPr>
          <w:p>
            <w:pPr>
              <w:ind w:left="580"/>
              <w:spacing w:after="0"/>
              <w:rPr>
                <w:sz w:val="20"/>
                <w:szCs w:val="20"/>
                <w:color w:val="auto"/>
              </w:rPr>
            </w:pPr>
            <w:r>
              <w:rPr>
                <w:rFonts w:ascii="Arial" w:cs="Arial" w:eastAsia="Arial" w:hAnsi="Arial"/>
                <w:sz w:val="14"/>
                <w:szCs w:val="14"/>
                <w:b w:val="1"/>
                <w:bCs w:val="1"/>
                <w:color w:val="auto"/>
              </w:rPr>
              <w:t>June 30, 2021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80" w:type="dxa"/>
            <w:vAlign w:val="bottom"/>
            <w:gridSpan w:val="5"/>
          </w:tcPr>
          <w:p>
            <w:pPr>
              <w:ind w:left="500"/>
              <w:spacing w:after="0"/>
              <w:rPr>
                <w:sz w:val="20"/>
                <w:szCs w:val="20"/>
                <w:color w:val="auto"/>
              </w:rPr>
            </w:pPr>
            <w:r>
              <w:rPr>
                <w:rFonts w:ascii="Arial" w:cs="Arial" w:eastAsia="Arial" w:hAnsi="Arial"/>
                <w:sz w:val="14"/>
                <w:szCs w:val="14"/>
                <w:b w:val="1"/>
                <w:bCs w:val="1"/>
                <w:color w:val="auto"/>
              </w:rPr>
              <w:t>June 30, 2022</w:t>
            </w:r>
          </w:p>
        </w:tc>
        <w:tc>
          <w:tcPr>
            <w:tcW w:w="180" w:type="dxa"/>
            <w:vAlign w:val="bottom"/>
          </w:tcPr>
          <w:p>
            <w:pPr>
              <w:spacing w:after="0"/>
              <w:rPr>
                <w:sz w:val="15"/>
                <w:szCs w:val="15"/>
                <w:color w:val="auto"/>
              </w:rPr>
            </w:pPr>
          </w:p>
        </w:tc>
        <w:tc>
          <w:tcPr>
            <w:tcW w:w="1960" w:type="dxa"/>
            <w:vAlign w:val="bottom"/>
            <w:gridSpan w:val="4"/>
          </w:tcPr>
          <w:p>
            <w:pPr>
              <w:jc w:val="right"/>
              <w:ind w:right="590"/>
              <w:spacing w:after="0"/>
              <w:rPr>
                <w:sz w:val="20"/>
                <w:szCs w:val="20"/>
                <w:color w:val="auto"/>
              </w:rPr>
            </w:pPr>
            <w:r>
              <w:rPr>
                <w:rFonts w:ascii="Arial" w:cs="Arial" w:eastAsia="Arial" w:hAnsi="Arial"/>
                <w:sz w:val="14"/>
                <w:szCs w:val="14"/>
                <w:b w:val="1"/>
                <w:bCs w:val="1"/>
                <w:color w:val="auto"/>
              </w:rPr>
              <w:t>June 30, 2021</w:t>
            </w:r>
          </w:p>
        </w:tc>
      </w:tr>
      <w:tr>
        <w:trPr>
          <w:trHeight w:val="125"/>
        </w:trPr>
        <w:tc>
          <w:tcPr>
            <w:tcW w:w="2340" w:type="dxa"/>
            <w:vAlign w:val="bottom"/>
          </w:tcPr>
          <w:p>
            <w:pPr>
              <w:spacing w:after="0"/>
              <w:rPr>
                <w:sz w:val="10"/>
                <w:szCs w:val="10"/>
                <w:color w:val="auto"/>
              </w:rPr>
            </w:pPr>
          </w:p>
        </w:tc>
        <w:tc>
          <w:tcPr>
            <w:tcW w:w="1140" w:type="dxa"/>
            <w:vAlign w:val="bottom"/>
            <w:tcBorders>
              <w:top w:val="single" w:sz="8" w:color="auto"/>
            </w:tcBorders>
            <w:gridSpan w:val="3"/>
          </w:tcPr>
          <w:p>
            <w:pPr>
              <w:jc w:val="center"/>
              <w:ind w:right="120"/>
              <w:spacing w:after="0" w:line="125" w:lineRule="exact"/>
              <w:rPr>
                <w:sz w:val="20"/>
                <w:szCs w:val="20"/>
                <w:color w:val="auto"/>
              </w:rPr>
            </w:pPr>
            <w:r>
              <w:rPr>
                <w:rFonts w:ascii="Arial" w:cs="Arial" w:eastAsia="Arial" w:hAnsi="Arial"/>
                <w:sz w:val="14"/>
                <w:szCs w:val="14"/>
                <w:b w:val="1"/>
                <w:bCs w:val="1"/>
                <w:color w:val="auto"/>
                <w:w w:val="91"/>
              </w:rPr>
              <w:t>Net Premiums</w:t>
            </w:r>
          </w:p>
        </w:tc>
        <w:tc>
          <w:tcPr>
            <w:tcW w:w="1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ind w:right="30"/>
              <w:spacing w:after="0" w:line="125" w:lineRule="exact"/>
              <w:rPr>
                <w:sz w:val="20"/>
                <w:szCs w:val="20"/>
                <w:color w:val="auto"/>
              </w:rPr>
            </w:pPr>
            <w:r>
              <w:rPr>
                <w:rFonts w:ascii="Arial" w:cs="Arial" w:eastAsia="Arial" w:hAnsi="Arial"/>
                <w:sz w:val="14"/>
                <w:szCs w:val="14"/>
                <w:b w:val="1"/>
                <w:bCs w:val="1"/>
                <w:color w:val="auto"/>
                <w:w w:val="90"/>
              </w:rPr>
              <w:t>Net Benefits</w:t>
            </w: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jc w:val="center"/>
              <w:ind w:right="180"/>
              <w:spacing w:after="0" w:line="125" w:lineRule="exact"/>
              <w:rPr>
                <w:sz w:val="20"/>
                <w:szCs w:val="20"/>
                <w:color w:val="auto"/>
              </w:rPr>
            </w:pPr>
            <w:r>
              <w:rPr>
                <w:rFonts w:ascii="Arial" w:cs="Arial" w:eastAsia="Arial" w:hAnsi="Arial"/>
                <w:sz w:val="14"/>
                <w:szCs w:val="14"/>
                <w:b w:val="1"/>
                <w:bCs w:val="1"/>
                <w:color w:val="auto"/>
                <w:w w:val="91"/>
              </w:rPr>
              <w:t>Net Premiums</w:t>
            </w:r>
          </w:p>
        </w:tc>
        <w:tc>
          <w:tcPr>
            <w:tcW w:w="1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ind w:right="30"/>
              <w:spacing w:after="0" w:line="125" w:lineRule="exact"/>
              <w:rPr>
                <w:sz w:val="20"/>
                <w:szCs w:val="20"/>
                <w:color w:val="auto"/>
              </w:rPr>
            </w:pPr>
            <w:r>
              <w:rPr>
                <w:rFonts w:ascii="Arial" w:cs="Arial" w:eastAsia="Arial" w:hAnsi="Arial"/>
                <w:sz w:val="14"/>
                <w:szCs w:val="14"/>
                <w:b w:val="1"/>
                <w:bCs w:val="1"/>
                <w:color w:val="auto"/>
                <w:w w:val="88"/>
              </w:rPr>
              <w:t>Net Benefits</w:t>
            </w:r>
          </w:p>
        </w:tc>
        <w:tc>
          <w:tcPr>
            <w:tcW w:w="100" w:type="dxa"/>
            <w:vAlign w:val="bottom"/>
          </w:tcPr>
          <w:p>
            <w:pPr>
              <w:spacing w:after="0"/>
              <w:rPr>
                <w:sz w:val="10"/>
                <w:szCs w:val="10"/>
                <w:color w:val="auto"/>
              </w:rPr>
            </w:pPr>
          </w:p>
        </w:tc>
        <w:tc>
          <w:tcPr>
            <w:tcW w:w="1140" w:type="dxa"/>
            <w:vAlign w:val="bottom"/>
            <w:tcBorders>
              <w:top w:val="single" w:sz="8" w:color="auto"/>
            </w:tcBorders>
            <w:gridSpan w:val="3"/>
          </w:tcPr>
          <w:p>
            <w:pPr>
              <w:jc w:val="center"/>
              <w:ind w:right="120"/>
              <w:spacing w:after="0" w:line="125" w:lineRule="exact"/>
              <w:rPr>
                <w:sz w:val="20"/>
                <w:szCs w:val="20"/>
                <w:color w:val="auto"/>
              </w:rPr>
            </w:pPr>
            <w:r>
              <w:rPr>
                <w:rFonts w:ascii="Arial" w:cs="Arial" w:eastAsia="Arial" w:hAnsi="Arial"/>
                <w:sz w:val="14"/>
                <w:szCs w:val="14"/>
                <w:b w:val="1"/>
                <w:bCs w:val="1"/>
                <w:color w:val="auto"/>
                <w:w w:val="91"/>
              </w:rPr>
              <w:t>Net Premiums</w:t>
            </w:r>
          </w:p>
        </w:tc>
        <w:tc>
          <w:tcPr>
            <w:tcW w:w="1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ind w:right="50"/>
              <w:spacing w:after="0" w:line="125" w:lineRule="exact"/>
              <w:rPr>
                <w:sz w:val="20"/>
                <w:szCs w:val="20"/>
                <w:color w:val="auto"/>
              </w:rPr>
            </w:pPr>
            <w:r>
              <w:rPr>
                <w:rFonts w:ascii="Arial" w:cs="Arial" w:eastAsia="Arial" w:hAnsi="Arial"/>
                <w:sz w:val="14"/>
                <w:szCs w:val="14"/>
                <w:b w:val="1"/>
                <w:bCs w:val="1"/>
                <w:color w:val="auto"/>
                <w:w w:val="90"/>
              </w:rPr>
              <w:t>Net Benefits</w:t>
            </w:r>
          </w:p>
        </w:tc>
        <w:tc>
          <w:tcPr>
            <w:tcW w:w="100" w:type="dxa"/>
            <w:vAlign w:val="bottom"/>
          </w:tcPr>
          <w:p>
            <w:pPr>
              <w:spacing w:after="0"/>
              <w:rPr>
                <w:sz w:val="10"/>
                <w:szCs w:val="10"/>
                <w:color w:val="auto"/>
              </w:rPr>
            </w:pPr>
          </w:p>
        </w:tc>
        <w:tc>
          <w:tcPr>
            <w:tcW w:w="1120" w:type="dxa"/>
            <w:vAlign w:val="bottom"/>
            <w:tcBorders>
              <w:top w:val="single" w:sz="8" w:color="auto"/>
            </w:tcBorders>
            <w:gridSpan w:val="3"/>
          </w:tcPr>
          <w:p>
            <w:pPr>
              <w:jc w:val="center"/>
              <w:ind w:right="100"/>
              <w:spacing w:after="0" w:line="125" w:lineRule="exact"/>
              <w:rPr>
                <w:sz w:val="20"/>
                <w:szCs w:val="20"/>
                <w:color w:val="auto"/>
              </w:rPr>
            </w:pPr>
            <w:r>
              <w:rPr>
                <w:rFonts w:ascii="Arial" w:cs="Arial" w:eastAsia="Arial" w:hAnsi="Arial"/>
                <w:sz w:val="14"/>
                <w:szCs w:val="14"/>
                <w:b w:val="1"/>
                <w:bCs w:val="1"/>
                <w:color w:val="auto"/>
                <w:w w:val="91"/>
              </w:rPr>
              <w:t>Net Premiums</w:t>
            </w:r>
          </w:p>
        </w:tc>
        <w:tc>
          <w:tcPr>
            <w:tcW w:w="1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ind w:right="70"/>
              <w:spacing w:after="0" w:line="125" w:lineRule="exact"/>
              <w:rPr>
                <w:sz w:val="20"/>
                <w:szCs w:val="20"/>
                <w:color w:val="auto"/>
              </w:rPr>
            </w:pPr>
            <w:r>
              <w:rPr>
                <w:rFonts w:ascii="Arial" w:cs="Arial" w:eastAsia="Arial" w:hAnsi="Arial"/>
                <w:sz w:val="14"/>
                <w:szCs w:val="14"/>
                <w:b w:val="1"/>
                <w:bCs w:val="1"/>
                <w:color w:val="auto"/>
                <w:w w:val="90"/>
              </w:rPr>
              <w:t>Net Benefits</w:t>
            </w:r>
          </w:p>
        </w:tc>
      </w:tr>
      <w:tr>
        <w:trPr>
          <w:trHeight w:val="184"/>
        </w:trPr>
        <w:tc>
          <w:tcPr>
            <w:tcW w:w="2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Earned</w:t>
            </w:r>
          </w:p>
        </w:tc>
        <w:tc>
          <w:tcPr>
            <w:tcW w:w="10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Incurred</w:t>
            </w:r>
          </w:p>
        </w:tc>
        <w:tc>
          <w:tcPr>
            <w:tcW w:w="100" w:type="dxa"/>
            <w:vAlign w:val="bottom"/>
          </w:tcPr>
          <w:p>
            <w:pPr>
              <w:spacing w:after="0"/>
              <w:rPr>
                <w:sz w:val="15"/>
                <w:szCs w:val="15"/>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Earned</w:t>
            </w: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Incurred</w:t>
            </w:r>
          </w:p>
        </w:tc>
        <w:tc>
          <w:tcPr>
            <w:tcW w:w="180" w:type="dxa"/>
            <w:vAlign w:val="bottom"/>
          </w:tcPr>
          <w:p>
            <w:pPr>
              <w:spacing w:after="0"/>
              <w:rPr>
                <w:sz w:val="15"/>
                <w:szCs w:val="15"/>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Earned</w:t>
            </w: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Incurred</w:t>
            </w:r>
          </w:p>
        </w:tc>
        <w:tc>
          <w:tcPr>
            <w:tcW w:w="180" w:type="dxa"/>
            <w:vAlign w:val="bottom"/>
          </w:tcPr>
          <w:p>
            <w:pPr>
              <w:spacing w:after="0"/>
              <w:rPr>
                <w:sz w:val="15"/>
                <w:szCs w:val="15"/>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Earned</w:t>
            </w:r>
          </w:p>
        </w:tc>
        <w:tc>
          <w:tcPr>
            <w:tcW w:w="120" w:type="dxa"/>
            <w:vAlign w:val="bottom"/>
          </w:tcPr>
          <w:p>
            <w:pPr>
              <w:spacing w:after="0"/>
              <w:rPr>
                <w:sz w:val="15"/>
                <w:szCs w:val="15"/>
                <w:color w:val="auto"/>
              </w:rPr>
            </w:pPr>
          </w:p>
        </w:tc>
        <w:tc>
          <w:tcPr>
            <w:tcW w:w="900" w:type="dxa"/>
            <w:vAlign w:val="bottom"/>
          </w:tcPr>
          <w:p>
            <w:pPr>
              <w:jc w:val="right"/>
              <w:ind w:right="170"/>
              <w:spacing w:after="0"/>
              <w:rPr>
                <w:sz w:val="20"/>
                <w:szCs w:val="20"/>
                <w:color w:val="auto"/>
              </w:rPr>
            </w:pPr>
            <w:r>
              <w:rPr>
                <w:rFonts w:ascii="Arial" w:cs="Arial" w:eastAsia="Arial" w:hAnsi="Arial"/>
                <w:sz w:val="14"/>
                <w:szCs w:val="14"/>
                <w:b w:val="1"/>
                <w:bCs w:val="1"/>
                <w:color w:val="auto"/>
              </w:rPr>
              <w:t>Incurred</w:t>
            </w:r>
          </w:p>
        </w:tc>
      </w:tr>
      <w:tr>
        <w:trPr>
          <w:trHeight w:val="178"/>
        </w:trPr>
        <w:tc>
          <w:tcPr>
            <w:tcW w:w="2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Direct</w:t>
            </w:r>
          </w:p>
        </w:tc>
        <w:tc>
          <w:tcPr>
            <w:tcW w:w="2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center"/>
              <w:ind w:left="490"/>
              <w:spacing w:after="0"/>
              <w:rPr>
                <w:sz w:val="20"/>
                <w:szCs w:val="20"/>
                <w:color w:val="auto"/>
              </w:rPr>
            </w:pPr>
            <w:r>
              <w:rPr>
                <w:rFonts w:ascii="Arial" w:cs="Arial" w:eastAsia="Arial" w:hAnsi="Arial"/>
                <w:sz w:val="14"/>
                <w:szCs w:val="14"/>
                <w:color w:val="auto"/>
                <w:w w:val="85"/>
              </w:rPr>
              <w:t>184</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center"/>
              <w:ind w:left="510"/>
              <w:spacing w:after="0"/>
              <w:rPr>
                <w:sz w:val="20"/>
                <w:szCs w:val="20"/>
                <w:color w:val="auto"/>
              </w:rPr>
            </w:pPr>
            <w:r>
              <w:rPr>
                <w:rFonts w:ascii="Arial" w:cs="Arial" w:eastAsia="Arial" w:hAnsi="Arial"/>
                <w:sz w:val="14"/>
                <w:szCs w:val="14"/>
                <w:color w:val="auto"/>
                <w:w w:val="85"/>
              </w:rPr>
              <w:t>891</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4"/>
                <w:szCs w:val="14"/>
                <w:color w:val="auto"/>
              </w:rPr>
              <w:t>606</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center"/>
              <w:ind w:left="510"/>
              <w:spacing w:after="0"/>
              <w:rPr>
                <w:sz w:val="20"/>
                <w:szCs w:val="20"/>
                <w:color w:val="auto"/>
              </w:rPr>
            </w:pPr>
            <w:r>
              <w:rPr>
                <w:rFonts w:ascii="Arial" w:cs="Arial" w:eastAsia="Arial" w:hAnsi="Arial"/>
                <w:sz w:val="14"/>
                <w:szCs w:val="14"/>
                <w:color w:val="auto"/>
                <w:w w:val="85"/>
              </w:rPr>
              <w:t>697</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center"/>
              <w:ind w:left="510"/>
              <w:spacing w:after="0"/>
              <w:rPr>
                <w:sz w:val="20"/>
                <w:szCs w:val="20"/>
                <w:color w:val="auto"/>
              </w:rPr>
            </w:pPr>
            <w:r>
              <w:rPr>
                <w:rFonts w:ascii="Arial" w:cs="Arial" w:eastAsia="Arial" w:hAnsi="Arial"/>
                <w:sz w:val="14"/>
                <w:szCs w:val="14"/>
                <w:color w:val="auto"/>
                <w:w w:val="89"/>
              </w:rPr>
              <w:t>87</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1,185</w:t>
            </w:r>
          </w:p>
        </w:tc>
      </w:tr>
      <w:tr>
        <w:trPr>
          <w:trHeight w:val="182"/>
        </w:trPr>
        <w:tc>
          <w:tcPr>
            <w:tcW w:w="23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Ceded</w:t>
            </w: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left="470"/>
              <w:spacing w:after="0"/>
              <w:rPr>
                <w:sz w:val="20"/>
                <w:szCs w:val="20"/>
                <w:color w:val="auto"/>
              </w:rPr>
            </w:pPr>
            <w:r>
              <w:rPr>
                <w:rFonts w:ascii="Arial" w:cs="Arial" w:eastAsia="Arial" w:hAnsi="Arial"/>
                <w:sz w:val="14"/>
                <w:szCs w:val="14"/>
                <w:color w:val="auto"/>
                <w:w w:val="91"/>
              </w:rPr>
              <w:t>(602)</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left="490"/>
              <w:spacing w:after="0"/>
              <w:rPr>
                <w:sz w:val="20"/>
                <w:szCs w:val="20"/>
                <w:color w:val="auto"/>
              </w:rPr>
            </w:pPr>
            <w:r>
              <w:rPr>
                <w:rFonts w:ascii="Arial" w:cs="Arial" w:eastAsia="Arial" w:hAnsi="Arial"/>
                <w:sz w:val="14"/>
                <w:szCs w:val="14"/>
                <w:color w:val="auto"/>
                <w:w w:val="91"/>
              </w:rPr>
              <w:t>(316)</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w w:val="96"/>
              </w:rPr>
              <w:t>(67)</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left="490"/>
              <w:spacing w:after="0"/>
              <w:rPr>
                <w:sz w:val="20"/>
                <w:szCs w:val="20"/>
                <w:color w:val="auto"/>
              </w:rPr>
            </w:pPr>
            <w:r>
              <w:rPr>
                <w:rFonts w:ascii="Arial" w:cs="Arial" w:eastAsia="Arial" w:hAnsi="Arial"/>
                <w:sz w:val="14"/>
                <w:szCs w:val="14"/>
                <w:color w:val="auto"/>
                <w:w w:val="91"/>
              </w:rPr>
              <w:t>(907)</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left="490"/>
              <w:spacing w:after="0"/>
              <w:rPr>
                <w:sz w:val="20"/>
                <w:szCs w:val="20"/>
                <w:color w:val="auto"/>
              </w:rPr>
            </w:pPr>
            <w:r>
              <w:rPr>
                <w:rFonts w:ascii="Arial" w:cs="Arial" w:eastAsia="Arial" w:hAnsi="Arial"/>
                <w:sz w:val="14"/>
                <w:szCs w:val="14"/>
                <w:color w:val="auto"/>
                <w:w w:val="96"/>
              </w:rPr>
              <w:t>(71)</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(636)</w:t>
            </w:r>
          </w:p>
        </w:tc>
      </w:tr>
      <w:tr>
        <w:trPr>
          <w:trHeight w:val="205"/>
        </w:trPr>
        <w:tc>
          <w:tcPr>
            <w:tcW w:w="2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Net</w:t>
            </w:r>
          </w:p>
        </w:tc>
        <w:tc>
          <w:tcPr>
            <w:tcW w:w="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center"/>
              <w:ind w:left="470"/>
              <w:spacing w:after="0"/>
              <w:rPr>
                <w:sz w:val="20"/>
                <w:szCs w:val="20"/>
                <w:color w:val="auto"/>
              </w:rPr>
            </w:pPr>
            <w:r>
              <w:rPr>
                <w:rFonts w:ascii="Arial" w:cs="Arial" w:eastAsia="Arial" w:hAnsi="Arial"/>
                <w:sz w:val="14"/>
                <w:szCs w:val="14"/>
                <w:color w:val="auto"/>
                <w:w w:val="91"/>
              </w:rPr>
              <w:t>(418)</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center"/>
              <w:ind w:left="510"/>
              <w:spacing w:after="0"/>
              <w:rPr>
                <w:sz w:val="20"/>
                <w:szCs w:val="20"/>
                <w:color w:val="auto"/>
              </w:rPr>
            </w:pPr>
            <w:r>
              <w:rPr>
                <w:rFonts w:ascii="Arial" w:cs="Arial" w:eastAsia="Arial" w:hAnsi="Arial"/>
                <w:sz w:val="14"/>
                <w:szCs w:val="14"/>
                <w:color w:val="auto"/>
                <w:w w:val="85"/>
              </w:rPr>
              <w:t>575</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4"/>
                <w:szCs w:val="14"/>
                <w:color w:val="auto"/>
              </w:rPr>
              <w:t>539</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center"/>
              <w:ind w:left="490"/>
              <w:spacing w:after="0"/>
              <w:rPr>
                <w:sz w:val="20"/>
                <w:szCs w:val="20"/>
                <w:color w:val="auto"/>
              </w:rPr>
            </w:pPr>
            <w:r>
              <w:rPr>
                <w:rFonts w:ascii="Arial" w:cs="Arial" w:eastAsia="Arial" w:hAnsi="Arial"/>
                <w:sz w:val="14"/>
                <w:szCs w:val="14"/>
                <w:color w:val="auto"/>
                <w:w w:val="91"/>
              </w:rPr>
              <w:t>(210)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center"/>
              <w:ind w:left="510"/>
              <w:spacing w:after="0"/>
              <w:rPr>
                <w:sz w:val="20"/>
                <w:szCs w:val="20"/>
                <w:color w:val="auto"/>
              </w:rPr>
            </w:pPr>
            <w:r>
              <w:rPr>
                <w:rFonts w:ascii="Arial" w:cs="Arial" w:eastAsia="Arial" w:hAnsi="Arial"/>
                <w:sz w:val="14"/>
                <w:szCs w:val="14"/>
                <w:color w:val="auto"/>
                <w:w w:val="89"/>
              </w:rPr>
              <w:t>16</w:t>
            </w: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549</w:t>
            </w: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both"/>
        <w:ind w:firstLine="316"/>
        <w:spacing w:after="0" w:line="252" w:lineRule="auto"/>
        <w:rPr>
          <w:sz w:val="20"/>
          <w:szCs w:val="20"/>
          <w:color w:val="auto"/>
        </w:rPr>
      </w:pPr>
      <w:r>
        <w:rPr>
          <w:rFonts w:ascii="Arial" w:cs="Arial" w:eastAsia="Arial" w:hAnsi="Arial"/>
          <w:sz w:val="18"/>
          <w:szCs w:val="18"/>
          <w:color w:val="auto"/>
        </w:rPr>
        <w:t>Amounts payable or recoverable for reinsurance on paid and unpaid claims are not subject to periodic or maximum limits. F&amp;G did not write off any significant reinsurance balances during the six months ended June 30, 2022 and June 30, 2021. F&amp;G did not commute any ceded reinsurance treaties during the six months ended June 30, 2022 and June 30, 2021.</w:t>
      </w:r>
    </w:p>
    <w:p>
      <w:pPr>
        <w:spacing w:after="0" w:line="59" w:lineRule="exact"/>
        <w:rPr>
          <w:sz w:val="20"/>
          <w:szCs w:val="20"/>
          <w:color w:val="auto"/>
        </w:rPr>
      </w:pPr>
    </w:p>
    <w:p>
      <w:pPr>
        <w:jc w:val="both"/>
        <w:ind w:firstLine="316"/>
        <w:spacing w:after="0" w:line="291" w:lineRule="auto"/>
        <w:rPr>
          <w:sz w:val="20"/>
          <w:szCs w:val="20"/>
          <w:color w:val="auto"/>
        </w:rPr>
      </w:pPr>
      <w:r>
        <w:rPr>
          <w:rFonts w:ascii="Arial" w:cs="Arial" w:eastAsia="Arial" w:hAnsi="Arial"/>
          <w:sz w:val="16"/>
          <w:szCs w:val="16"/>
          <w:color w:val="auto"/>
        </w:rPr>
        <w:t>F&amp;G estimates expected credit losses on reinsurance recoverables using a probability of default/loss given default model. Significant inputs to the model include the reinsurer's credit risk, expected timing of recovery, industry-wide historical default experience, senior unsecured bond recovery rates, and credit enhancement features. As of June 30, 2022 and June 30, 2021, the expected credit loss reserve was $19 million and $20 million, respectively. There were no significant changes in the expected credit loss reserve for the three and six months ended June 30, 2022 and June 30, 2021.</w:t>
      </w:r>
    </w:p>
    <w:p>
      <w:pPr>
        <w:spacing w:after="0" w:line="42" w:lineRule="exact"/>
        <w:rPr>
          <w:sz w:val="20"/>
          <w:szCs w:val="20"/>
          <w:color w:val="auto"/>
        </w:rPr>
      </w:pPr>
    </w:p>
    <w:p>
      <w:pPr>
        <w:jc w:val="both"/>
        <w:ind w:firstLine="316"/>
        <w:spacing w:after="0" w:line="261" w:lineRule="auto"/>
        <w:rPr>
          <w:sz w:val="20"/>
          <w:szCs w:val="20"/>
          <w:color w:val="auto"/>
        </w:rPr>
      </w:pPr>
      <w:r>
        <w:rPr>
          <w:rFonts w:ascii="Arial" w:cs="Arial" w:eastAsia="Arial" w:hAnsi="Arial"/>
          <w:sz w:val="18"/>
          <w:szCs w:val="18"/>
          <w:color w:val="auto"/>
        </w:rPr>
        <w:t>No policies issued by F&amp;G have been reinsured with any foreign company, which is controlled, either directly or indirectly, by a party not primarily engaged in the business of insurance.</w:t>
      </w:r>
    </w:p>
    <w:p>
      <w:pPr>
        <w:spacing w:after="0" w:line="63"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F&amp;G has not entered into any reinsurance agreements in which the reinsurer may unilaterally cancel any reinsurance for reasons other than non-payment of premiums or other similar credit issues.</w:t>
      </w:r>
    </w:p>
    <w:p>
      <w:pPr>
        <w:spacing w:after="0" w:line="50" w:lineRule="exact"/>
        <w:rPr>
          <w:sz w:val="20"/>
          <w:szCs w:val="20"/>
          <w:color w:val="auto"/>
        </w:rPr>
      </w:pPr>
    </w:p>
    <w:p>
      <w:pPr>
        <w:jc w:val="both"/>
        <w:ind w:firstLine="316"/>
        <w:spacing w:after="0" w:line="287" w:lineRule="auto"/>
        <w:rPr>
          <w:sz w:val="20"/>
          <w:szCs w:val="20"/>
          <w:color w:val="auto"/>
        </w:rPr>
      </w:pPr>
      <w:r>
        <w:rPr>
          <w:rFonts w:ascii="Arial" w:cs="Arial" w:eastAsia="Arial" w:hAnsi="Arial"/>
          <w:sz w:val="16"/>
          <w:szCs w:val="16"/>
          <w:color w:val="auto"/>
        </w:rPr>
        <w:t>Effective May 1, 2020, F&amp;G entered into an indemnity reinsurance agreement with Canada Life Assurance Company United States Branch, a third party reinsurer, to reinsure FIA policies with GMWB. In accordance with the terms of this agreement, F&amp;G cedes a quota share percentage of the net retention of guarantee payments in excess of account value for GMWB. This treaty was subsequently amended effective January 1, 2021 and January 1, 2022, and now covers FIA policies with GMWB issued from January 1, 2020 to December 31, 2023. The effects of this agreement are not accounted for as reinsurance as it does not satisfy the risk transfer requirements for GAAP; therefore, deposit accounting is applied.</w:t>
      </w:r>
    </w:p>
    <w:p>
      <w:pPr>
        <w:spacing w:after="0" w:line="11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Concentration of Reinsurance Risk</w:t>
      </w:r>
    </w:p>
    <w:p>
      <w:pPr>
        <w:spacing w:after="0" w:line="83" w:lineRule="exact"/>
        <w:rPr>
          <w:sz w:val="20"/>
          <w:szCs w:val="20"/>
          <w:color w:val="auto"/>
        </w:rPr>
      </w:pPr>
    </w:p>
    <w:p>
      <w:pPr>
        <w:jc w:val="both"/>
        <w:ind w:firstLine="395"/>
        <w:spacing w:after="0" w:line="281" w:lineRule="auto"/>
        <w:rPr>
          <w:sz w:val="20"/>
          <w:szCs w:val="20"/>
          <w:color w:val="auto"/>
        </w:rPr>
      </w:pPr>
      <w:r>
        <w:rPr>
          <w:rFonts w:ascii="Arial" w:cs="Arial" w:eastAsia="Arial" w:hAnsi="Arial"/>
          <w:sz w:val="16"/>
          <w:szCs w:val="16"/>
          <w:color w:val="auto"/>
        </w:rPr>
        <w:t xml:space="preserve">F&amp;G has a significant concentration of reinsurance risk with third party reinsurers, Aspida Re, Wilton Reassurance Company (“Wilton Re”), and Somerset that could have a material impact on our financial position in the event that any of these reinsurers fails to perform its obligations under the various reinsurance treaties. Aspida Re has an </w:t>
      </w:r>
      <w:r>
        <w:rPr>
          <w:rFonts w:ascii="Arial" w:cs="Arial" w:eastAsia="Arial" w:hAnsi="Arial"/>
          <w:sz w:val="16"/>
          <w:szCs w:val="16"/>
          <w:color w:val="1F5122"/>
        </w:rPr>
        <w:t>A-</w:t>
      </w:r>
      <w:r>
        <w:rPr>
          <w:rFonts w:ascii="Arial" w:cs="Arial" w:eastAsia="Arial" w:hAnsi="Arial"/>
          <w:sz w:val="16"/>
          <w:szCs w:val="16"/>
          <w:color w:val="auto"/>
        </w:rPr>
        <w:t xml:space="preserve"> issuer credit rating from AM Best as of June 30, 2022, and the risk of non-performance is further mitigated through the funds withheld arrangement. Wilton Re has an A+ issuer credit rating from AM Best and an </w:t>
      </w:r>
      <w:r>
        <w:rPr>
          <w:rFonts w:ascii="Arial" w:cs="Arial" w:eastAsia="Arial" w:hAnsi="Arial"/>
          <w:sz w:val="16"/>
          <w:szCs w:val="16"/>
          <w:color w:val="1F5122"/>
        </w:rPr>
        <w:t>A+</w:t>
      </w:r>
      <w:r>
        <w:rPr>
          <w:rFonts w:ascii="Arial" w:cs="Arial" w:eastAsia="Arial" w:hAnsi="Arial"/>
          <w:sz w:val="16"/>
          <w:szCs w:val="16"/>
          <w:color w:val="auto"/>
        </w:rPr>
        <w:t xml:space="preserve"> issuer credit rating from Fitch as of June 30, 2022. Somerset has an A- issuer credit rating from AM Best and a BBB+ issuer credit rating from S&amp;P as of June 30, 2022, and the risk of non-performance is further mitigated through the funds withheld arrangement. On June 30, 2022, the net amounts recoverable from Aspida Re, Wilton Re, and Somerset were $1,651 million, $1,259 million, and $626 million, respectively. We monitor both the financial condition of individual reinsurers and risk concentration arising from similar activities and economic characteristics of reinsurers to attempt to reduce the risk of default by such reinsurers.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all amounts due from Aspida Re, Wilton Re, and Somerset for periodic treaty settlements are collectible as of June 30, 2022.</w:t>
      </w:r>
    </w:p>
    <w:p>
      <w:pPr>
        <w:spacing w:after="0" w:line="83"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There have been no other material changes in the reinsurance and the intercompany reinsurance agreements described in our Annual Report on Form 10-K for the year ended December 31, 2021.</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M — F&amp;G Insurance Subsidiary Financial Information and Regulatory Matters</w:t>
      </w:r>
    </w:p>
    <w:p>
      <w:pPr>
        <w:spacing w:after="0" w:line="89" w:lineRule="exact"/>
        <w:rPr>
          <w:sz w:val="20"/>
          <w:szCs w:val="20"/>
          <w:color w:val="auto"/>
        </w:rPr>
      </w:pPr>
    </w:p>
    <w:p>
      <w:pPr>
        <w:jc w:val="both"/>
        <w:ind w:firstLine="395"/>
        <w:spacing w:after="0" w:line="281" w:lineRule="auto"/>
        <w:rPr>
          <w:sz w:val="20"/>
          <w:szCs w:val="20"/>
          <w:color w:val="auto"/>
        </w:rPr>
      </w:pPr>
      <w:r>
        <w:rPr>
          <w:rFonts w:ascii="Arial" w:cs="Arial" w:eastAsia="Arial" w:hAnsi="Arial"/>
          <w:sz w:val="16"/>
          <w:szCs w:val="16"/>
          <w:color w:val="auto"/>
        </w:rPr>
        <w:t>Our U.S. insurance subsidiaries, FGL Insurance, FGL NY Insurance, and Raven Re, file financial statements with state insurance regulatory authorities and the National Association of Insurance Commissioners (“NAIC”) that are prepared in accordance with Statutory Accounting Principles (“SAP”) prescribed or permitted by such authorities, which may vary materially from GAAP. Prescribed SAP includes the Accounting Practices and Procedures Manual of the NAIC as well as state laws, regulations and administrative rules. Permitted SAP encompasses all accounting practices not so prescribed. The principal differences between SAP financial statements and financial statements prepared in accordance with GAAP are that SAP financial statements do not reflect VOBA, DAC, and DSI, some bond portfolios may be carried at amortized cost, assets and liabilities are presented net of reinsurance, contractholder liabilities are generally valued using more conservative assumptions and certain assets are non-admitted. Accordingly, SAP operating results and SAP capital and surplus may differ substantially from amounts reported in the GAAP basis financial statements for comparable items.</w:t>
      </w:r>
    </w:p>
    <w:p>
      <w:pPr>
        <w:spacing w:after="0" w:line="4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F&amp;G Cayman Re Ltd and F&amp;G Life Re Ltd (Bermuda) file financial statements with their respective regulators that are based on U.S. GAAP.</w:t>
      </w:r>
    </w:p>
    <w:p>
      <w:pPr>
        <w:spacing w:after="0" w:line="106" w:lineRule="exact"/>
        <w:rPr>
          <w:sz w:val="20"/>
          <w:szCs w:val="20"/>
          <w:color w:val="auto"/>
        </w:rPr>
      </w:pPr>
    </w:p>
    <w:p>
      <w:pPr>
        <w:jc w:val="both"/>
        <w:ind w:firstLine="434"/>
        <w:spacing w:after="0" w:line="250" w:lineRule="auto"/>
        <w:rPr>
          <w:sz w:val="20"/>
          <w:szCs w:val="20"/>
          <w:color w:val="auto"/>
        </w:rPr>
      </w:pPr>
      <w:r>
        <w:rPr>
          <w:rFonts w:ascii="Arial" w:cs="Arial" w:eastAsia="Arial" w:hAnsi="Arial"/>
          <w:sz w:val="18"/>
          <w:szCs w:val="18"/>
          <w:color w:val="auto"/>
        </w:rPr>
        <w:t>FGL Insurance applies Iowa-prescribed accounting practices that permit Iowa-domiciled insurers to report equity call options used to economically hedge FIA index credits at amortized cost for statutory accounting purposes and to calculate FIA statutory reserves such that index credit returns will be included in the reserve only after crediting to the annuity contract. This resulted in a $162 million and $106 million decrease to statutory capital and surplus at June 30, 2022 and December 31, 2021, respectively.</w:t>
      </w:r>
    </w:p>
    <w:p>
      <w:pPr>
        <w:spacing w:after="0" w:line="59" w:lineRule="exact"/>
        <w:rPr>
          <w:sz w:val="20"/>
          <w:szCs w:val="20"/>
          <w:color w:val="auto"/>
        </w:rPr>
      </w:pPr>
    </w:p>
    <w:p>
      <w:pPr>
        <w:jc w:val="both"/>
        <w:ind w:firstLine="434"/>
        <w:spacing w:after="0" w:line="252" w:lineRule="auto"/>
        <w:rPr>
          <w:sz w:val="20"/>
          <w:szCs w:val="20"/>
          <w:color w:val="auto"/>
        </w:rPr>
      </w:pPr>
      <w:r>
        <w:rPr>
          <w:rFonts w:ascii="Arial" w:cs="Arial" w:eastAsia="Arial" w:hAnsi="Arial"/>
          <w:sz w:val="18"/>
          <w:szCs w:val="18"/>
          <w:color w:val="auto"/>
        </w:rPr>
        <w:t>FGL Insurance’s statutory carrying value of Raven Reinsurance Company ("Raven Re") reflects the effect of permitted practices Raven Re received to treat the available amount of a letter of credit as an admitted asset, which increased Raven Re’s statutory capital and surplus by $50 million and $85 million at June 30, 2022 and December 31, 2021, respectively.</w:t>
      </w:r>
    </w:p>
    <w:p>
      <w:pPr>
        <w:spacing w:after="0" w:line="59" w:lineRule="exact"/>
        <w:rPr>
          <w:sz w:val="20"/>
          <w:szCs w:val="20"/>
          <w:color w:val="auto"/>
        </w:rPr>
      </w:pPr>
    </w:p>
    <w:p>
      <w:pPr>
        <w:jc w:val="both"/>
        <w:ind w:firstLine="434"/>
        <w:spacing w:after="0" w:line="248" w:lineRule="auto"/>
        <w:rPr>
          <w:sz w:val="20"/>
          <w:szCs w:val="20"/>
          <w:color w:val="auto"/>
        </w:rPr>
      </w:pPr>
      <w:r>
        <w:rPr>
          <w:rFonts w:ascii="Arial" w:cs="Arial" w:eastAsia="Arial" w:hAnsi="Arial"/>
          <w:sz w:val="18"/>
          <w:szCs w:val="18"/>
          <w:color w:val="auto"/>
        </w:rPr>
        <w:t>Raven Re is also permitted to follow Iowa prescribed statutory accounting practice for its reserves on reinsurance assumed from FGL Insurance. Without such permitted statutory accounting practices, Raven Re’s statutory capital and surplus (deficit) and its risk-based capital would not fall below the minimum regulatory requirements. The letter of credit facility is collateralized by NAIC 1 rated debt securities. If the permitted practice was revoked, the letter of credit could be replaced by the collateral assets with Nomura’s consent. FGL Insurance’s statutory carrying value of Raven Re was $80 million and $115 million at June 30, 2022 and December 31, 2021, respectively.</w:t>
      </w:r>
    </w:p>
    <w:p>
      <w:pPr>
        <w:spacing w:after="0" w:line="62"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As of June 30, 2022, FGL NY Insurance did not follow any prescribed or permitted statutory accounting practices that differ from the NAIC's statutory accounting practices.</w:t>
      </w:r>
    </w:p>
    <w:p>
      <w:pPr>
        <w:spacing w:after="0" w:line="50"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The prescribed and permitted statutory accounting practices have no impact on our unaudited Condensed Consolidated Financial Statements, which are prepared in accordance with GAAP.</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1" w:lineRule="exact"/>
        <w:rPr>
          <w:sz w:val="20"/>
          <w:szCs w:val="20"/>
          <w:color w:val="auto"/>
        </w:rPr>
      </w:pPr>
    </w:p>
    <w:p>
      <w:pPr>
        <w:jc w:val="both"/>
        <w:ind w:firstLine="316"/>
        <w:spacing w:after="0" w:line="277" w:lineRule="auto"/>
        <w:rPr>
          <w:sz w:val="20"/>
          <w:szCs w:val="20"/>
          <w:color w:val="auto"/>
        </w:rPr>
      </w:pPr>
      <w:r>
        <w:rPr>
          <w:rFonts w:ascii="Arial" w:cs="Arial" w:eastAsia="Arial" w:hAnsi="Arial"/>
          <w:sz w:val="16"/>
          <w:szCs w:val="16"/>
          <w:color w:val="auto"/>
        </w:rPr>
        <w:t>The statements contained in this Quarterly Report on Form 10-Q that are not purely historical are forward-looking statements within the meaning of Section 27A of the Securities Act of 1933, as amended, and Section 21E of the Securities Exchange Act of 1934, as amended, including statements regarding our expectations, hopes, intentions or strategies regarding the future. All forward-looking statements included in this document are based on information available to us on the date hereof, and we assume no obligation to update any such forward-looking statements. It is important to note that our actual results could vary materially from those forward-looking statements contained herein due to many factors, including, but not limited to: the potential impact of the consummation of the proposed F&amp;G spin-off transaction on relationships, including employees, suppliers, customers and competitors; our ability to successfully realize the anticipated benefits of the proposed spin-off transaction; the ability to satisfy any necessary conditions (including any applicable regulatory approvals) to consummate the spin-off transaction within the estimated timeframe or at all; changes in general economic, business and political and COVID-19 conditions, including changes in the financial markets; weakness or adverse changes in the level of real estate activity, which may be caused by, among other things, high or increasing interest rates, a limited supply of mortgage funding, a weak U.S. economy; our potential inability to find suitable acquisition candidates, acquisitions in lines of business that will not necessarily be limited to our traditional areas of focus, or difficulties in consummating and integrating acquisitions; our dependence on distributions from our title insurance underwriters as our main source of cash flow; significant competition that our operating subsidiaries face; compliance with extensive government regulation of our operating subsidiaries; and other risks detailed in the “Statement Regarding Forward-Looking Information,” “Risk Factors” and other sections of our Annual Report on Form 10-K (our "Annual Report") for the year ended December 31, 2021 and other filings with the SEC.</w:t>
      </w:r>
    </w:p>
    <w:p>
      <w:pPr>
        <w:spacing w:after="0" w:line="6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discussion should be read in conjunction with our Annual Report.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5" w:lineRule="exact"/>
        <w:rPr>
          <w:sz w:val="20"/>
          <w:szCs w:val="20"/>
          <w:color w:val="auto"/>
        </w:rPr>
      </w:pPr>
    </w:p>
    <w:p>
      <w:pPr>
        <w:jc w:val="both"/>
        <w:ind w:firstLine="316"/>
        <w:spacing w:after="0" w:line="252" w:lineRule="auto"/>
        <w:rPr>
          <w:sz w:val="20"/>
          <w:szCs w:val="20"/>
          <w:color w:val="auto"/>
        </w:rPr>
      </w:pPr>
      <w:r>
        <w:rPr>
          <w:rFonts w:ascii="Arial" w:cs="Arial" w:eastAsia="Arial" w:hAnsi="Arial"/>
          <w:sz w:val="18"/>
          <w:szCs w:val="18"/>
          <w:color w:val="auto"/>
        </w:rPr>
        <w:t xml:space="preserve">For a description of our business, including descriptions of segments and recent business developments, see the discussion in Note A </w:t>
      </w:r>
      <w:r>
        <w:rPr>
          <w:rFonts w:ascii="Arial" w:cs="Arial" w:eastAsia="Arial" w:hAnsi="Arial"/>
          <w:sz w:val="18"/>
          <w:szCs w:val="18"/>
          <w:i w:val="1"/>
          <w:iCs w:val="1"/>
          <w:color w:val="auto"/>
        </w:rPr>
        <w:t>Basis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w:t>
      </w:r>
      <w:r>
        <w:rPr>
          <w:rFonts w:ascii="Arial" w:cs="Arial" w:eastAsia="Arial" w:hAnsi="Arial"/>
          <w:sz w:val="18"/>
          <w:szCs w:val="18"/>
          <w:color w:val="auto"/>
        </w:rPr>
        <w:t>in the accompanying unaudited Condensed Consolidated Financial Statements included in Item 1 of Part I of this Report, which is incorporated by</w:t>
      </w:r>
      <w:r>
        <w:rPr>
          <w:rFonts w:ascii="Arial" w:cs="Arial" w:eastAsia="Arial" w:hAnsi="Arial"/>
          <w:sz w:val="18"/>
          <w:szCs w:val="18"/>
          <w:i w:val="1"/>
          <w:iCs w:val="1"/>
          <w:color w:val="auto"/>
        </w:rPr>
        <w:t xml:space="preserve"> </w:t>
      </w:r>
      <w:r>
        <w:rPr>
          <w:rFonts w:ascii="Arial" w:cs="Arial" w:eastAsia="Arial" w:hAnsi="Arial"/>
          <w:sz w:val="18"/>
          <w:szCs w:val="18"/>
          <w:color w:val="auto"/>
        </w:rPr>
        <w:t>reference into this Part I, Item 2.</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Trends and Conditions</w:t>
      </w:r>
    </w:p>
    <w:p>
      <w:pPr>
        <w:spacing w:after="0" w:line="11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Title</w:t>
      </w:r>
    </w:p>
    <w:p>
      <w:pPr>
        <w:spacing w:after="0" w:line="109" w:lineRule="exact"/>
        <w:rPr>
          <w:sz w:val="20"/>
          <w:szCs w:val="20"/>
          <w:color w:val="auto"/>
        </w:rPr>
      </w:pPr>
    </w:p>
    <w:p>
      <w:pPr>
        <w:jc w:val="both"/>
        <w:ind w:firstLine="316"/>
        <w:spacing w:after="0" w:line="324" w:lineRule="auto"/>
        <w:rPr>
          <w:sz w:val="20"/>
          <w:szCs w:val="20"/>
          <w:color w:val="auto"/>
        </w:rPr>
      </w:pPr>
      <w:r>
        <w:rPr>
          <w:rFonts w:ascii="Arial" w:cs="Arial" w:eastAsia="Arial" w:hAnsi="Arial"/>
          <w:sz w:val="16"/>
          <w:szCs w:val="16"/>
          <w:color w:val="auto"/>
        </w:rPr>
        <w:t>Our Title segment revenue is closely related to the level of real estate activity that includes sales, mortgage financing and mortgage refinancing. Declines in the level of real estate activity or the average price of real estate sales will adversely affect our title insurance revenues.</w:t>
      </w:r>
    </w:p>
    <w:p>
      <w:pPr>
        <w:spacing w:after="0" w:line="3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have found that residential real estate activity is generally dependent on the following factors:</w:t>
      </w:r>
    </w:p>
    <w:p>
      <w:pPr>
        <w:spacing w:after="0" w:line="96" w:lineRule="exact"/>
        <w:rPr>
          <w:sz w:val="20"/>
          <w:szCs w:val="20"/>
          <w:color w:val="auto"/>
        </w:rPr>
      </w:pPr>
    </w:p>
    <w:p>
      <w:pPr>
        <w:ind w:left="640" w:hanging="319"/>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mortgage interest rates;</w:t>
      </w:r>
    </w:p>
    <w:p>
      <w:pPr>
        <w:spacing w:after="0" w:line="15" w:lineRule="exact"/>
        <w:rPr>
          <w:rFonts w:ascii="Arial" w:cs="Arial" w:eastAsia="Arial" w:hAnsi="Arial"/>
          <w:sz w:val="18"/>
          <w:szCs w:val="18"/>
          <w:color w:val="auto"/>
        </w:rPr>
      </w:pPr>
    </w:p>
    <w:p>
      <w:pPr>
        <w:ind w:left="640" w:hanging="319"/>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mortgage funding supply;</w:t>
      </w:r>
    </w:p>
    <w:p>
      <w:pPr>
        <w:spacing w:after="0" w:line="3" w:lineRule="exact"/>
        <w:rPr>
          <w:rFonts w:ascii="Arial" w:cs="Arial" w:eastAsia="Arial" w:hAnsi="Arial"/>
          <w:sz w:val="18"/>
          <w:szCs w:val="18"/>
          <w:color w:val="auto"/>
        </w:rPr>
      </w:pPr>
    </w:p>
    <w:p>
      <w:pPr>
        <w:ind w:left="640" w:hanging="319"/>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housing inventory and home prices;</w:t>
      </w:r>
    </w:p>
    <w:p>
      <w:pPr>
        <w:spacing w:after="0" w:line="3" w:lineRule="exact"/>
        <w:rPr>
          <w:rFonts w:ascii="Arial" w:cs="Arial" w:eastAsia="Arial" w:hAnsi="Arial"/>
          <w:sz w:val="18"/>
          <w:szCs w:val="18"/>
          <w:color w:val="auto"/>
        </w:rPr>
      </w:pPr>
    </w:p>
    <w:p>
      <w:pPr>
        <w:ind w:left="640" w:hanging="319"/>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supply and demand for commercial real estate; and</w:t>
      </w:r>
    </w:p>
    <w:p>
      <w:pPr>
        <w:spacing w:after="0" w:line="3" w:lineRule="exact"/>
        <w:rPr>
          <w:rFonts w:ascii="Arial" w:cs="Arial" w:eastAsia="Arial" w:hAnsi="Arial"/>
          <w:sz w:val="18"/>
          <w:szCs w:val="18"/>
          <w:color w:val="auto"/>
        </w:rPr>
      </w:pPr>
    </w:p>
    <w:p>
      <w:pPr>
        <w:ind w:left="640" w:hanging="319"/>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strength of the United States economy, including employment levels.</w:t>
      </w:r>
    </w:p>
    <w:p>
      <w:pPr>
        <w:spacing w:after="0" w:line="9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most recent forecast of the Mortgage Bankers Association ("MBA"), as of July 18, 2022, estimates (actual for fiscal year 2021) the size of the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residential mortgage originations market as shown in the following table for 2021 - 2024 in its "Mortgage Finance Forecast" (in trillions):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26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2021</w:t>
            </w:r>
          </w:p>
        </w:tc>
      </w:tr>
      <w:tr>
        <w:trPr>
          <w:trHeight w:val="222"/>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transactions</w:t>
            </w:r>
          </w:p>
        </w:tc>
        <w:tc>
          <w:tcPr>
            <w:tcW w:w="620" w:type="dxa"/>
            <w:vAlign w:val="bottom"/>
            <w:shd w:val="clear" w:color="auto" w:fill="CCEEFF"/>
          </w:tcPr>
          <w:p>
            <w:pPr>
              <w:jc w:val="right"/>
              <w:ind w:right="437"/>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1.8</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7"/>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3"/>
        </w:trPr>
        <w:tc>
          <w:tcPr>
            <w:tcW w:w="7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Refinance transactions</w:t>
            </w:r>
          </w:p>
        </w:tc>
        <w:tc>
          <w:tcPr>
            <w:tcW w:w="620" w:type="dxa"/>
            <w:vAlign w:val="bottom"/>
            <w:tcBorders>
              <w:bottom w:val="single" w:sz="8" w:color="auto"/>
            </w:tcBorders>
          </w:tcPr>
          <w:p>
            <w:pPr>
              <w:jc w:val="right"/>
              <w:ind w:right="437"/>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0.7</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jc w:val="right"/>
              <w:ind w:right="417"/>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0.5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42"/>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U.S. mortgage originations forecast</w:t>
            </w:r>
          </w:p>
        </w:tc>
        <w:tc>
          <w:tcPr>
            <w:tcW w:w="620" w:type="dxa"/>
            <w:vAlign w:val="bottom"/>
            <w:tcBorders>
              <w:bottom w:val="single" w:sz="8" w:color="auto"/>
            </w:tcBorders>
            <w:shd w:val="clear" w:color="auto" w:fill="CCEEFF"/>
          </w:tcPr>
          <w:p>
            <w:pPr>
              <w:jc w:val="right"/>
              <w:ind w:right="437"/>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2.5</w:t>
            </w: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17"/>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2.2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both"/>
        <w:ind w:firstLine="316"/>
        <w:spacing w:after="0" w:line="252" w:lineRule="auto"/>
        <w:rPr>
          <w:sz w:val="20"/>
          <w:szCs w:val="20"/>
          <w:color w:val="auto"/>
        </w:rPr>
      </w:pPr>
      <w:r>
        <w:rPr>
          <w:rFonts w:ascii="Arial" w:cs="Arial" w:eastAsia="Arial" w:hAnsi="Arial"/>
          <w:sz w:val="18"/>
          <w:szCs w:val="18"/>
          <w:color w:val="auto"/>
        </w:rPr>
        <w:t>As of July 18, 2022, the MBA expects residential purchase transactions to slightly increase in 2022 and beyond. Additionally the MBA expects residential refinance transactions to decrease in 2022 and 2023 before increasing in 2024. The MBA expects overall mortgage originations to decrease in 2022 and 2023 before increasing in 2024.</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316"/>
        <w:spacing w:after="0" w:line="248" w:lineRule="auto"/>
        <w:rPr>
          <w:sz w:val="20"/>
          <w:szCs w:val="20"/>
          <w:color w:val="auto"/>
        </w:rPr>
      </w:pPr>
      <w:r>
        <w:rPr>
          <w:rFonts w:ascii="Arial" w:cs="Arial" w:eastAsia="Arial" w:hAnsi="Arial"/>
          <w:sz w:val="18"/>
          <w:szCs w:val="18"/>
          <w:color w:val="auto"/>
        </w:rPr>
        <w:t>During the first quarter of 2022 the Federal Reserve raised the benchmark interest rate by 25 basis points in an effort to combat inflation, the first increase since 2018. In May 2022 and June 2022, the Federal Reserve further raised the benchmark interest rate by 50 and 75 basis points, respectively, in efforts to combat rising inflation. Average interest rates for a 30-year fixed rate mortgage increased to 5.3% and 4.6% for the three and six months ended June 30, 2022, respectively, as compared to 3.0% and 3.0% for the corresponding periods of 2021. On July 27, 2022, the Federal Reserve raised the benchmark interest rate by an additional 75 basis points.</w:t>
      </w:r>
    </w:p>
    <w:p>
      <w:pPr>
        <w:spacing w:after="0" w:line="75" w:lineRule="exact"/>
        <w:rPr>
          <w:sz w:val="20"/>
          <w:szCs w:val="20"/>
          <w:color w:val="auto"/>
        </w:rPr>
      </w:pPr>
    </w:p>
    <w:p>
      <w:pPr>
        <w:jc w:val="both"/>
        <w:ind w:firstLine="316"/>
        <w:spacing w:after="0" w:line="247" w:lineRule="auto"/>
        <w:rPr>
          <w:sz w:val="20"/>
          <w:szCs w:val="20"/>
          <w:color w:val="auto"/>
        </w:rPr>
      </w:pPr>
      <w:r>
        <w:rPr>
          <w:rFonts w:ascii="Arial" w:cs="Arial" w:eastAsia="Arial" w:hAnsi="Arial"/>
          <w:sz w:val="18"/>
          <w:szCs w:val="18"/>
          <w:color w:val="auto"/>
        </w:rPr>
        <w:t>A shortage in the supply of homes for sale, increasing home prices, rising mortgage interest rates, inflation and disrupted labor markets created some volatility in the residential real estate market in 2021, which has continued into 2022. Additionally, geopolitical uncertainties associated with the war in the Ukraine have created additional volatility in the global economy in 2022. Existing-home sales decreased 10% in the three months ended June 30, 2022 as compared to the corresponding period in 2021 while median existing-home sales prices rose to $406,633 in the three months ended June 30, 2022, a 15 % increase over the corresponding period in 2021. Existing-home sales decreased 6% in the six months ended June 30, 2022 as compared to the corresponding period in 2021 while median existing-home sales prices rose to $386,200 in the six months ended June 30, 2022, a 15 % increase over the corresponding period in 2021.</w:t>
      </w:r>
    </w:p>
    <w:p>
      <w:pPr>
        <w:spacing w:after="0" w:line="62" w:lineRule="exact"/>
        <w:rPr>
          <w:sz w:val="20"/>
          <w:szCs w:val="20"/>
          <w:color w:val="auto"/>
        </w:rPr>
      </w:pPr>
    </w:p>
    <w:p>
      <w:pPr>
        <w:jc w:val="both"/>
        <w:ind w:firstLine="316"/>
        <w:spacing w:after="0" w:line="324" w:lineRule="auto"/>
        <w:rPr>
          <w:sz w:val="20"/>
          <w:szCs w:val="20"/>
          <w:color w:val="auto"/>
        </w:rPr>
      </w:pPr>
      <w:r>
        <w:rPr>
          <w:rFonts w:ascii="Arial" w:cs="Arial" w:eastAsia="Arial" w:hAnsi="Arial"/>
          <w:sz w:val="16"/>
          <w:szCs w:val="16"/>
          <w:color w:val="auto"/>
        </w:rPr>
        <w:t>Other economic indicators used to measure the health of the U.S. economy, including the unemployment rate, have remained strong. The unemployment rate was 3.6% in June 2022, which was near the record low of 3.5% in February 2020, as compared to 5.9% in June 2021.</w:t>
      </w:r>
    </w:p>
    <w:p>
      <w:pPr>
        <w:spacing w:after="0" w:line="16" w:lineRule="exact"/>
        <w:rPr>
          <w:sz w:val="20"/>
          <w:szCs w:val="20"/>
          <w:color w:val="auto"/>
        </w:rPr>
      </w:pPr>
    </w:p>
    <w:p>
      <w:pPr>
        <w:jc w:val="both"/>
        <w:ind w:firstLine="316"/>
        <w:spacing w:after="0" w:line="282" w:lineRule="auto"/>
        <w:rPr>
          <w:sz w:val="20"/>
          <w:szCs w:val="20"/>
          <w:color w:val="auto"/>
        </w:rPr>
      </w:pPr>
      <w:r>
        <w:rPr>
          <w:rFonts w:ascii="Arial" w:cs="Arial" w:eastAsia="Arial" w:hAnsi="Arial"/>
          <w:sz w:val="16"/>
          <w:szCs w:val="16"/>
          <w:color w:val="auto"/>
        </w:rPr>
        <w:t>Because commercial real estate transactions tend to be generally driven by supply and demand for commercial space and occupancy rates in a particular area rather than by interest rate fluctuations, we believe that our commercial real estate title insurance business is less dependent on the industry cycles discussed above than our residential real estate title business. Commercial real estate transaction volume is also often linked to the availability of financing. Factors including U.S. tax reform and a shift in U.S. monetary policy have had, or are expected to have, varying effects on availability of financing in the U.S. Lower corporate and individual tax rates and corporate tax-deductibility of capital expenditures have provided increased capacity and incentive for investments in commercial real estate. In 2021 and the first half of 2022, we experienced strong demand in commercial real estate markets and therefore experienced relatively high volumes and fee-per-file in our commercial business when compared to historical results.</w:t>
      </w:r>
    </w:p>
    <w:p>
      <w:pPr>
        <w:spacing w:after="0" w:line="39" w:lineRule="exact"/>
        <w:rPr>
          <w:sz w:val="20"/>
          <w:szCs w:val="20"/>
          <w:color w:val="auto"/>
        </w:rPr>
      </w:pPr>
    </w:p>
    <w:p>
      <w:pPr>
        <w:jc w:val="both"/>
        <w:ind w:firstLine="316"/>
        <w:spacing w:after="0" w:line="228" w:lineRule="auto"/>
        <w:rPr>
          <w:sz w:val="20"/>
          <w:szCs w:val="20"/>
          <w:color w:val="auto"/>
        </w:rPr>
      </w:pPr>
      <w:r>
        <w:rPr>
          <w:rFonts w:ascii="Arial" w:cs="Arial" w:eastAsia="Arial" w:hAnsi="Arial"/>
          <w:sz w:val="18"/>
          <w:szCs w:val="18"/>
          <w:color w:val="auto"/>
        </w:rPr>
        <w:t>We continually monitor mortgage origination trends and believe that, based on our ability to produce industry leading operating margins through all economic cycles, we are well positioned to adjust our operations for adverse changes in real estate activity and to take advantage of increased volume when demand increases.</w:t>
      </w:r>
    </w:p>
    <w:p>
      <w:pPr>
        <w:spacing w:after="0" w:line="55" w:lineRule="exact"/>
        <w:rPr>
          <w:sz w:val="20"/>
          <w:szCs w:val="20"/>
          <w:color w:val="auto"/>
        </w:rPr>
      </w:pPr>
    </w:p>
    <w:p>
      <w:pPr>
        <w:jc w:val="both"/>
        <w:ind w:firstLine="316"/>
        <w:spacing w:after="0" w:line="284" w:lineRule="auto"/>
        <w:rPr>
          <w:sz w:val="20"/>
          <w:szCs w:val="20"/>
          <w:color w:val="auto"/>
        </w:rPr>
      </w:pPr>
      <w:r>
        <w:rPr>
          <w:rFonts w:ascii="Arial" w:cs="Arial" w:eastAsia="Arial" w:hAnsi="Arial"/>
          <w:sz w:val="16"/>
          <w:szCs w:val="16"/>
          <w:i w:val="1"/>
          <w:iCs w:val="1"/>
          <w:color w:val="auto"/>
        </w:rPr>
        <w:t xml:space="preserve">Seasonality. </w:t>
      </w:r>
      <w:r>
        <w:rPr>
          <w:rFonts w:ascii="Arial" w:cs="Arial" w:eastAsia="Arial" w:hAnsi="Arial"/>
          <w:sz w:val="16"/>
          <w:szCs w:val="16"/>
          <w:color w:val="auto"/>
        </w:rPr>
        <w:t>Historically, real estate transactions have produced seasonal revenue fluctuations in the real estate industry. The first calendar quarter is</w:t>
      </w:r>
      <w:r>
        <w:rPr>
          <w:rFonts w:ascii="Arial" w:cs="Arial" w:eastAsia="Arial" w:hAnsi="Arial"/>
          <w:sz w:val="16"/>
          <w:szCs w:val="16"/>
          <w:i w:val="1"/>
          <w:iCs w:val="1"/>
          <w:color w:val="auto"/>
        </w:rPr>
        <w:t xml:space="preserve"> </w:t>
      </w:r>
      <w:r>
        <w:rPr>
          <w:rFonts w:ascii="Arial" w:cs="Arial" w:eastAsia="Arial" w:hAnsi="Arial"/>
          <w:sz w:val="16"/>
          <w:szCs w:val="16"/>
          <w:color w:val="auto"/>
        </w:rPr>
        <w:t>typically the weakest quarter in terms of revenue due to the generally low volume of home sales during January and February. The second and third calendar quarters are typically the strongest quarters in terms of revenue, primarily due to a higher volume of residential transactions in the spring and summer months. The fourth quarter is typically strong due to the desire of commercial entities to complete transactions by year-end. We have noted short-term fluctuations through recent years in resale and refinance transactions as a result of changes in interest rates. Due to COVID-19 and the Federal Reserve's actions in 2020 in response to the pandemic, seasonality deviated from historical patterns in 2021.</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F&amp;G</w:t>
      </w:r>
    </w:p>
    <w:p>
      <w:pPr>
        <w:spacing w:after="0" w:line="109" w:lineRule="exact"/>
        <w:rPr>
          <w:sz w:val="20"/>
          <w:szCs w:val="20"/>
          <w:color w:val="auto"/>
        </w:rPr>
      </w:pPr>
    </w:p>
    <w:p>
      <w:pPr>
        <w:jc w:val="both"/>
        <w:ind w:firstLine="434"/>
        <w:spacing w:after="0" w:line="252" w:lineRule="auto"/>
        <w:rPr>
          <w:sz w:val="20"/>
          <w:szCs w:val="20"/>
          <w:color w:val="auto"/>
        </w:rPr>
      </w:pPr>
      <w:r>
        <w:rPr>
          <w:rFonts w:ascii="Arial" w:cs="Arial" w:eastAsia="Arial" w:hAnsi="Arial"/>
          <w:sz w:val="18"/>
          <w:szCs w:val="18"/>
          <w:color w:val="auto"/>
        </w:rPr>
        <w:t>The following factors represent some of the key trends and uncertainties that have influenced the development of our F&amp;G segment and its historical financial performance, and we believe these key trends and uncertainties will continue to influence the business and financial performance of our F&amp;G segment in the future.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w:t>
      </w:r>
    </w:p>
    <w:p>
      <w:pPr>
        <w:spacing w:after="0" w:line="4" w:lineRule="exact"/>
        <w:rPr>
          <w:sz w:val="20"/>
          <w:szCs w:val="20"/>
          <w:color w:val="auto"/>
        </w:rPr>
      </w:pPr>
    </w:p>
    <w:p>
      <w:pPr>
        <w:jc w:val="both"/>
        <w:ind w:firstLine="434"/>
        <w:spacing w:after="0" w:line="217" w:lineRule="auto"/>
        <w:rPr>
          <w:sz w:val="20"/>
          <w:szCs w:val="20"/>
          <w:color w:val="auto"/>
        </w:rPr>
      </w:pPr>
      <w:r>
        <w:rPr>
          <w:rFonts w:ascii="Arial" w:cs="Arial" w:eastAsia="Arial" w:hAnsi="Arial"/>
          <w:sz w:val="18"/>
          <w:szCs w:val="18"/>
          <w:color w:val="auto"/>
        </w:rPr>
        <w:t>While still evolving, the COVID-19 pandemic has caused significant economic and financial turmoil in the U.S. and around the world. At this time, it is still not possible to estimate the longer term-effects the COVID-19 pandemic could have on our F&amp;G segment or our consolidated financial statements. Increased economic uncertainty and increased unemployment that could potentially result from the spread of COVID-19 variants may result in F&amp;G policyholders seeking sources of liquidity and withdrawing at rates greater than was previously expected. Additionally, adverse events or conditions resulting from COVID-19 could also have a negative effect on its sales of new policies and could result in more volatility from the impact of mortality experience. As of June 30, 2022, F&amp;G has not seen a sustained elevated level of adverse policyholder experience from the impact of COVID-19 on the overall business. The full extent to which the COVID-19</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pandemic impacts our F&amp;G segment's financial condition, results of operations, liquidity or prospects will depend on future developments, which cannot be predicted at this time.</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Market Conditions</w:t>
      </w:r>
    </w:p>
    <w:p>
      <w:pPr>
        <w:spacing w:after="0" w:line="83" w:lineRule="exact"/>
        <w:rPr>
          <w:sz w:val="20"/>
          <w:szCs w:val="20"/>
          <w:color w:val="auto"/>
        </w:rPr>
      </w:pPr>
    </w:p>
    <w:p>
      <w:pPr>
        <w:jc w:val="both"/>
        <w:ind w:firstLine="434"/>
        <w:spacing w:after="0" w:line="248" w:lineRule="auto"/>
        <w:rPr>
          <w:sz w:val="20"/>
          <w:szCs w:val="20"/>
          <w:color w:val="auto"/>
        </w:rPr>
      </w:pPr>
      <w:r>
        <w:rPr>
          <w:rFonts w:ascii="Arial" w:cs="Arial" w:eastAsia="Arial" w:hAnsi="Arial"/>
          <w:sz w:val="18"/>
          <w:szCs w:val="18"/>
          <w:color w:val="auto"/>
        </w:rPr>
        <w:t>Market volatility has affected, and may continue to affect, our business and financial performance in varying ways. Volatility can pressure sales and reduce demand as consumers hesitate to make financial decisions. To enhance the attractiveness and profitability of our products and services, we continually monitor the behavior of our customers, as evidenced by annuitization rates and lapse rates, which vary in response to changes in market conditions. See Item 1A of Part I of our Annual Report on Form 10-K for the year ended December 31, 2021 for further discussion of risk factors that could affect market conditions.</w:t>
      </w:r>
    </w:p>
    <w:p>
      <w:pPr>
        <w:spacing w:after="0" w:line="22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Interest Rate Environment</w:t>
      </w:r>
    </w:p>
    <w:p>
      <w:pPr>
        <w:spacing w:after="0" w:line="83" w:lineRule="exact"/>
        <w:rPr>
          <w:sz w:val="20"/>
          <w:szCs w:val="20"/>
          <w:color w:val="auto"/>
        </w:rPr>
      </w:pPr>
    </w:p>
    <w:p>
      <w:pPr>
        <w:jc w:val="both"/>
        <w:ind w:firstLine="434"/>
        <w:spacing w:after="0" w:line="282" w:lineRule="auto"/>
        <w:rPr>
          <w:sz w:val="20"/>
          <w:szCs w:val="20"/>
          <w:color w:val="auto"/>
        </w:rPr>
      </w:pPr>
      <w:r>
        <w:rPr>
          <w:rFonts w:ascii="Arial" w:cs="Arial" w:eastAsia="Arial" w:hAnsi="Arial"/>
          <w:sz w:val="16"/>
          <w:szCs w:val="16"/>
          <w:color w:val="auto"/>
        </w:rPr>
        <w:t>Some of our F&amp;G products include guaranteed minimum crediting rates, most notably our fixed rate annuities. As of June 30, 2022, our reserves, net of reinsurance, and average crediting rate on our fixed rate annuities were $5.0 billion and 3%, respectively. We are required to pay the guaranteed minimum crediting rates even if earnings on our investment portfolio decline, which would negatively impact earnings. In addition, we expect more policyholders to hold policies with comparatively high guaranteed rates for a longer period in a low interest rate environment. Conversely, a rise in average yield on our investment portfolio would increase earnings if the average interest rate we pay on our products does not rise correspondingly. Similarly, we expect that policyholders would be less likely to hold policies with existing guarantees as interest rates rise and the relative value of other new business offerings are increased, which would negatively impact our earnings and cash flows.</w:t>
      </w:r>
    </w:p>
    <w:p>
      <w:pPr>
        <w:spacing w:after="0" w:line="3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See Item 7A of Part II of our Annual Report on Form 10-K for the year ended December 31, 2021 for a more detailed discussion of interest rate risk.</w:t>
      </w:r>
    </w:p>
    <w:p>
      <w:pPr>
        <w:spacing w:after="0" w:line="26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Aging of the U.S. Population</w:t>
      </w:r>
    </w:p>
    <w:p>
      <w:pPr>
        <w:spacing w:after="0" w:line="83" w:lineRule="exact"/>
        <w:rPr>
          <w:sz w:val="20"/>
          <w:szCs w:val="20"/>
          <w:color w:val="auto"/>
        </w:rPr>
      </w:pPr>
    </w:p>
    <w:p>
      <w:pPr>
        <w:jc w:val="both"/>
        <w:ind w:firstLine="434"/>
        <w:spacing w:after="0" w:line="287" w:lineRule="auto"/>
        <w:rPr>
          <w:sz w:val="20"/>
          <w:szCs w:val="20"/>
          <w:color w:val="auto"/>
        </w:rPr>
      </w:pPr>
      <w:r>
        <w:rPr>
          <w:rFonts w:ascii="Arial" w:cs="Arial" w:eastAsia="Arial" w:hAnsi="Arial"/>
          <w:sz w:val="16"/>
          <w:szCs w:val="16"/>
          <w:color w:val="auto"/>
        </w:rPr>
        <w:t>We believe that the aging of the U.S. population will increase the demand for our fixed indexed annuities ("FIA") and indexed universal life (“IUL”) products. As the “baby boomer” generation prepares for retirement, we believe that demand for retirement savings, growth, and income products will grow. Over 10,000 people will turn 65 each day in the United States over the next 15 years, and according to the U.S. Census Bureau, the proportion of the U.S. population over the age of 65 is expected to grow from 17% in 2021 to 21% in 2035. The impact of this growth may be offset to some extent by asset outflows as an increasing percentage of the population begins withdrawing assets to convert their savings into income.</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Industry Factors and Trends Affecting Our Results of Operations</w:t>
      </w:r>
    </w:p>
    <w:p>
      <w:pPr>
        <w:spacing w:after="0" w:line="83" w:lineRule="exact"/>
        <w:rPr>
          <w:sz w:val="20"/>
          <w:szCs w:val="20"/>
          <w:color w:val="auto"/>
        </w:rPr>
      </w:pPr>
    </w:p>
    <w:p>
      <w:pPr>
        <w:jc w:val="both"/>
        <w:ind w:firstLine="434"/>
        <w:spacing w:after="0" w:line="287" w:lineRule="auto"/>
        <w:rPr>
          <w:sz w:val="20"/>
          <w:szCs w:val="20"/>
          <w:color w:val="auto"/>
        </w:rPr>
      </w:pPr>
      <w:r>
        <w:rPr>
          <w:rFonts w:ascii="Arial" w:cs="Arial" w:eastAsia="Arial" w:hAnsi="Arial"/>
          <w:sz w:val="16"/>
          <w:szCs w:val="16"/>
          <w:color w:val="auto"/>
        </w:rPr>
        <w:t>We operate in the sector of the insurance industry that focuses on the needs of middle-income Americans. The underserved middle-income market represents a major growth opportunity for us. As a tool for addressing the unmet need for retirement planning, we believe that many middle-income Americans have grown to appreciate the financial certainty that we believe annuities such as our FIA products afford. Accordingly, the FIA market grew from nearly $12 billion of sales in 2002 to $66 billion of sales in 2021. Additionally, this market demand has positively impacted the IUL market as it has expanded from $100 million of annual premiums in 2002 to $2 billion of annual premiums in 2021.</w:t>
      </w:r>
    </w:p>
    <w:p>
      <w:pPr>
        <w:spacing w:after="0" w:line="32" w:lineRule="exact"/>
        <w:rPr>
          <w:sz w:val="20"/>
          <w:szCs w:val="20"/>
          <w:color w:val="auto"/>
        </w:rPr>
      </w:pPr>
    </w:p>
    <w:p>
      <w:pPr>
        <w:jc w:val="both"/>
        <w:ind w:firstLine="434"/>
        <w:spacing w:after="0" w:line="261" w:lineRule="auto"/>
        <w:rPr>
          <w:sz w:val="20"/>
          <w:szCs w:val="20"/>
          <w:color w:val="auto"/>
        </w:rPr>
      </w:pPr>
      <w:r>
        <w:rPr>
          <w:rFonts w:ascii="Arial" w:cs="Arial" w:eastAsia="Arial" w:hAnsi="Arial"/>
          <w:sz w:val="18"/>
          <w:szCs w:val="18"/>
          <w:color w:val="auto"/>
        </w:rPr>
        <w:t>See Item 7 of Part II of our Annual Report on Form 10-K for the year ended December 31, 2021 for a more detailed discussion of industry factors and trends affecting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 of Operations</w:t>
      </w:r>
    </w:p>
    <w:p>
      <w:pPr>
        <w:spacing w:after="0" w:line="10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 xml:space="preserve">Net Earnings. </w:t>
      </w:r>
      <w:r>
        <w:rPr>
          <w:rFonts w:ascii="Arial" w:cs="Arial" w:eastAsia="Arial" w:hAnsi="Arial"/>
          <w:sz w:val="18"/>
          <w:szCs w:val="18"/>
          <w:color w:val="auto"/>
        </w:rPr>
        <w:t>The following table presents certain financial data for the periods indicated: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8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1940" w:type="dxa"/>
            <w:vAlign w:val="bottom"/>
            <w:gridSpan w:val="4"/>
          </w:tcPr>
          <w:p>
            <w:pPr>
              <w:jc w:val="right"/>
              <w:ind w:right="253"/>
              <w:spacing w:after="0"/>
              <w:rPr>
                <w:sz w:val="20"/>
                <w:szCs w:val="20"/>
                <w:color w:val="auto"/>
              </w:rPr>
            </w:pPr>
            <w:r>
              <w:rPr>
                <w:rFonts w:ascii="Arial" w:cs="Arial" w:eastAsia="Arial" w:hAnsi="Arial"/>
                <w:sz w:val="14"/>
                <w:szCs w:val="14"/>
                <w:b w:val="1"/>
                <w:bCs w:val="1"/>
                <w:color w:val="auto"/>
                <w:w w:val="87"/>
              </w:rPr>
              <w:t>Six months ended June 30,</w:t>
            </w:r>
          </w:p>
        </w:tc>
      </w:tr>
      <w:tr>
        <w:trPr>
          <w:trHeight w:val="182"/>
        </w:trPr>
        <w:tc>
          <w:tcPr>
            <w:tcW w:w="662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2021</w:t>
            </w:r>
          </w:p>
        </w:tc>
      </w:tr>
      <w:tr>
        <w:trPr>
          <w:trHeight w:val="177"/>
        </w:trPr>
        <w:tc>
          <w:tcPr>
            <w:tcW w:w="6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24"/>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3"/>
        </w:trPr>
        <w:tc>
          <w:tcPr>
            <w:tcW w:w="6620" w:type="dxa"/>
            <w:vAlign w:val="bottom"/>
          </w:tcPr>
          <w:p>
            <w:pPr>
              <w:ind w:left="220"/>
              <w:spacing w:after="0"/>
              <w:rPr>
                <w:sz w:val="20"/>
                <w:szCs w:val="20"/>
                <w:color w:val="auto"/>
              </w:rPr>
            </w:pPr>
            <w:r>
              <w:rPr>
                <w:rFonts w:ascii="Arial" w:cs="Arial" w:eastAsia="Arial" w:hAnsi="Arial"/>
                <w:sz w:val="18"/>
                <w:szCs w:val="18"/>
                <w:color w:val="auto"/>
              </w:rPr>
              <w:t>Direct title insurance premiums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859</w:t>
            </w:r>
          </w:p>
        </w:tc>
        <w:tc>
          <w:tcPr>
            <w:tcW w:w="80" w:type="dxa"/>
            <w:vAlign w:val="bottom"/>
          </w:tcPr>
          <w:p>
            <w:pPr>
              <w:spacing w:after="0"/>
              <w:rPr>
                <w:sz w:val="19"/>
                <w:szCs w:val="19"/>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904</w:t>
            </w:r>
          </w:p>
        </w:tc>
        <w:tc>
          <w:tcPr>
            <w:tcW w:w="8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1,626</w:t>
            </w:r>
          </w:p>
        </w:tc>
        <w:tc>
          <w:tcPr>
            <w:tcW w:w="8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1,650</w:t>
            </w:r>
          </w:p>
        </w:tc>
      </w:tr>
      <w:tr>
        <w:trPr>
          <w:trHeight w:val="224"/>
        </w:trPr>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Agency title insurance premiums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2,314</w:t>
            </w:r>
          </w:p>
        </w:tc>
      </w:tr>
      <w:tr>
        <w:trPr>
          <w:trHeight w:val="223"/>
        </w:trPr>
        <w:tc>
          <w:tcPr>
            <w:tcW w:w="6620" w:type="dxa"/>
            <w:vAlign w:val="bottom"/>
          </w:tcPr>
          <w:p>
            <w:pPr>
              <w:ind w:left="220"/>
              <w:spacing w:after="0"/>
              <w:rPr>
                <w:sz w:val="20"/>
                <w:szCs w:val="20"/>
                <w:color w:val="auto"/>
              </w:rPr>
            </w:pPr>
            <w:r>
              <w:rPr>
                <w:rFonts w:ascii="Arial" w:cs="Arial" w:eastAsia="Arial" w:hAnsi="Arial"/>
                <w:sz w:val="18"/>
                <w:szCs w:val="18"/>
                <w:color w:val="auto"/>
              </w:rPr>
              <w:t>Escrow, title-related and other fees</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948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2,072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1,799</w:t>
            </w:r>
          </w:p>
        </w:tc>
      </w:tr>
      <w:tr>
        <w:trPr>
          <w:trHeight w:val="224"/>
        </w:trPr>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and investment income</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w:t>
            </w:r>
          </w:p>
        </w:tc>
      </w:tr>
      <w:tr>
        <w:trPr>
          <w:trHeight w:val="223"/>
        </w:trPr>
        <w:tc>
          <w:tcPr>
            <w:tcW w:w="66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Recognized gains and losses, net</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(1,145)</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r>
      <w:tr>
        <w:trPr>
          <w:trHeight w:val="217"/>
        </w:trPr>
        <w:tc>
          <w:tcPr>
            <w:tcW w:w="66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revenues</w:t>
            </w: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2,631</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3,854</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5,796</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6,954</w:t>
            </w:r>
          </w:p>
        </w:tc>
      </w:tr>
      <w:tr>
        <w:trPr>
          <w:trHeight w:val="217"/>
        </w:trPr>
        <w:tc>
          <w:tcPr>
            <w:tcW w:w="6620" w:type="dxa"/>
            <w:vAlign w:val="bottom"/>
          </w:tcPr>
          <w:p>
            <w:pPr>
              <w:ind w:left="20"/>
              <w:spacing w:after="0"/>
              <w:rPr>
                <w:sz w:val="20"/>
                <w:szCs w:val="20"/>
                <w:color w:val="auto"/>
              </w:rPr>
            </w:pPr>
            <w:r>
              <w:rPr>
                <w:rFonts w:ascii="Arial" w:cs="Arial" w:eastAsia="Arial" w:hAnsi="Arial"/>
                <w:sz w:val="18"/>
                <w:szCs w:val="18"/>
                <w:color w:val="auto"/>
              </w:rPr>
              <w:t>Expenses: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24"/>
        </w:trPr>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Benefits and other changes in policy reserves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r>
      <w:tr>
        <w:trPr>
          <w:trHeight w:val="223"/>
        </w:trPr>
        <w:tc>
          <w:tcPr>
            <w:tcW w:w="6620" w:type="dxa"/>
            <w:vAlign w:val="bottom"/>
          </w:tcPr>
          <w:p>
            <w:pPr>
              <w:ind w:left="220"/>
              <w:spacing w:after="0"/>
              <w:rPr>
                <w:sz w:val="20"/>
                <w:szCs w:val="20"/>
                <w:color w:val="auto"/>
              </w:rPr>
            </w:pPr>
            <w:r>
              <w:rPr>
                <w:rFonts w:ascii="Arial" w:cs="Arial" w:eastAsia="Arial" w:hAnsi="Arial"/>
                <w:sz w:val="18"/>
                <w:szCs w:val="18"/>
                <w:color w:val="auto"/>
              </w:rPr>
              <w:t>Personnel costs</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890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1,662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1,702</w:t>
            </w:r>
          </w:p>
        </w:tc>
      </w:tr>
      <w:tr>
        <w:trPr>
          <w:trHeight w:val="224"/>
        </w:trPr>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Agent commissions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w:t>
            </w:r>
          </w:p>
        </w:tc>
      </w:tr>
      <w:tr>
        <w:trPr>
          <w:trHeight w:val="223"/>
        </w:trPr>
        <w:tc>
          <w:tcPr>
            <w:tcW w:w="6620" w:type="dxa"/>
            <w:vAlign w:val="bottom"/>
          </w:tcPr>
          <w:p>
            <w:pPr>
              <w:ind w:left="220"/>
              <w:spacing w:after="0"/>
              <w:rPr>
                <w:sz w:val="20"/>
                <w:szCs w:val="20"/>
                <w:color w:val="auto"/>
              </w:rPr>
            </w:pPr>
            <w:r>
              <w:rPr>
                <w:rFonts w:ascii="Arial" w:cs="Arial" w:eastAsia="Arial" w:hAnsi="Arial"/>
                <w:sz w:val="18"/>
                <w:szCs w:val="18"/>
                <w:color w:val="auto"/>
              </w:rPr>
              <w:t>Other operating expenses</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899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934</w:t>
            </w:r>
          </w:p>
        </w:tc>
      </w:tr>
      <w:tr>
        <w:trPr>
          <w:trHeight w:val="224"/>
        </w:trPr>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r>
      <w:tr>
        <w:trPr>
          <w:trHeight w:val="223"/>
        </w:trPr>
        <w:tc>
          <w:tcPr>
            <w:tcW w:w="6620" w:type="dxa"/>
            <w:vAlign w:val="bottom"/>
          </w:tcPr>
          <w:p>
            <w:pPr>
              <w:ind w:left="220"/>
              <w:spacing w:after="0"/>
              <w:rPr>
                <w:sz w:val="20"/>
                <w:szCs w:val="20"/>
                <w:color w:val="auto"/>
              </w:rPr>
            </w:pPr>
            <w:r>
              <w:rPr>
                <w:rFonts w:ascii="Arial" w:cs="Arial" w:eastAsia="Arial" w:hAnsi="Arial"/>
                <w:sz w:val="18"/>
                <w:szCs w:val="18"/>
                <w:color w:val="auto"/>
              </w:rPr>
              <w:t>Provision for title claim losses</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224"/>
        </w:trPr>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17"/>
        </w:trPr>
        <w:tc>
          <w:tcPr>
            <w:tcW w:w="662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expenses</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2,093</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3,141</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4,706</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5,484</w:t>
            </w:r>
          </w:p>
        </w:tc>
      </w:tr>
      <w:tr>
        <w:trPr>
          <w:trHeight w:val="217"/>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before income taxes and equity in earnings of unconsolidated affiliates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w:t>
            </w:r>
          </w:p>
        </w:tc>
      </w:tr>
      <w:tr>
        <w:trPr>
          <w:trHeight w:val="223"/>
        </w:trPr>
        <w:tc>
          <w:tcPr>
            <w:tcW w:w="662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342</w:t>
            </w:r>
          </w:p>
        </w:tc>
      </w:tr>
      <w:tr>
        <w:trPr>
          <w:trHeight w:val="224"/>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 earnings of unconsolidated affiliates</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17"/>
        </w:trPr>
        <w:tc>
          <w:tcPr>
            <w:tcW w:w="6620" w:type="dxa"/>
            <w:vAlign w:val="bottom"/>
          </w:tcPr>
          <w:p>
            <w:pPr>
              <w:ind w:left="20"/>
              <w:spacing w:after="0"/>
              <w:rPr>
                <w:sz w:val="20"/>
                <w:szCs w:val="20"/>
                <w:color w:val="auto"/>
              </w:rPr>
            </w:pPr>
            <w:r>
              <w:rPr>
                <w:rFonts w:ascii="Arial" w:cs="Arial" w:eastAsia="Arial" w:hAnsi="Arial"/>
                <w:sz w:val="18"/>
                <w:szCs w:val="18"/>
                <w:color w:val="auto"/>
              </w:rPr>
              <w:t>Net earnings from continuing operations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1,155</w:t>
            </w:r>
          </w:p>
        </w:tc>
      </w:tr>
      <w:tr>
        <w:trPr>
          <w:trHeight w:val="20"/>
        </w:trPr>
        <w:tc>
          <w:tcPr>
            <w:tcW w:w="6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9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Revenues.</w:t>
      </w:r>
    </w:p>
    <w:p>
      <w:pPr>
        <w:spacing w:after="0" w:line="109" w:lineRule="exact"/>
        <w:rPr>
          <w:sz w:val="20"/>
          <w:szCs w:val="20"/>
          <w:color w:val="auto"/>
        </w:rPr>
      </w:pPr>
    </w:p>
    <w:p>
      <w:pPr>
        <w:jc w:val="both"/>
        <w:ind w:firstLine="316"/>
        <w:spacing w:after="0" w:line="261" w:lineRule="auto"/>
        <w:rPr>
          <w:sz w:val="20"/>
          <w:szCs w:val="20"/>
          <w:color w:val="auto"/>
        </w:rPr>
      </w:pPr>
      <w:r>
        <w:rPr>
          <w:rFonts w:ascii="Arial" w:cs="Arial" w:eastAsia="Arial" w:hAnsi="Arial"/>
          <w:sz w:val="18"/>
          <w:szCs w:val="18"/>
          <w:color w:val="auto"/>
        </w:rPr>
        <w:t>Total revenues decreased by $1,223 million in the three months ended June 30, 2022 and decreased by $1,158 million in the six months ended June 30, 2022 compared to the corresponding periods in 2021.</w:t>
      </w:r>
    </w:p>
    <w:p>
      <w:pPr>
        <w:spacing w:after="0" w:line="76" w:lineRule="exact"/>
        <w:rPr>
          <w:sz w:val="20"/>
          <w:szCs w:val="20"/>
          <w:color w:val="auto"/>
        </w:rPr>
      </w:pPr>
    </w:p>
    <w:p>
      <w:pPr>
        <w:jc w:val="both"/>
        <w:ind w:firstLine="316"/>
        <w:spacing w:after="0" w:line="261" w:lineRule="auto"/>
        <w:rPr>
          <w:sz w:val="20"/>
          <w:szCs w:val="20"/>
          <w:color w:val="auto"/>
        </w:rPr>
      </w:pPr>
      <w:r>
        <w:rPr>
          <w:rFonts w:ascii="Arial" w:cs="Arial" w:eastAsia="Arial" w:hAnsi="Arial"/>
          <w:sz w:val="18"/>
          <w:szCs w:val="18"/>
          <w:color w:val="auto"/>
        </w:rPr>
        <w:t>Net earnings from continuing operations decreased by $163 million in the three months ended June 30, 2022 and decreased by $368 million in the six months ended June 30, 2022 compared to the corresponding periods in 2021.</w:t>
      </w:r>
    </w:p>
    <w:p>
      <w:pPr>
        <w:spacing w:after="0" w:line="7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change in revenue and net earnings from our reportable segments is discussed in further detail at the segment level below.</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5" w:lineRule="exact"/>
        <w:rPr>
          <w:sz w:val="20"/>
          <w:szCs w:val="20"/>
          <w:color w:val="auto"/>
        </w:rPr>
      </w:pPr>
    </w:p>
    <w:p>
      <w:pPr>
        <w:jc w:val="both"/>
        <w:ind w:firstLine="316"/>
        <w:spacing w:after="0" w:line="279" w:lineRule="auto"/>
        <w:rPr>
          <w:sz w:val="20"/>
          <w:szCs w:val="20"/>
          <w:color w:val="auto"/>
        </w:rPr>
      </w:pPr>
      <w:r>
        <w:rPr>
          <w:rFonts w:ascii="Arial" w:cs="Arial" w:eastAsia="Arial" w:hAnsi="Arial"/>
          <w:sz w:val="16"/>
          <w:szCs w:val="16"/>
          <w:color w:val="auto"/>
        </w:rPr>
        <w:t>Our operating expenses consist primarily of Personnel costs; Other operating expenses, which in our title business are incurred as orders are received and processed; Agent commissions, which are incurred as title agency revenue is recognized; and Benefits and other changes in policy reserves, which in our F&amp;G segment are charged to earnings in the period they are earned by the policyholder based on their selected strategy. For traditional life and immediate annuities, policy benefit claims are charged to expense in the period that the claims are incurred, net of reinsurance recoveries. Title insurance premiums, escrow and title-related fees are generally recognized as income at the time the underlying transaction closes or other service is provided. Direct title operations revenue often lags approximately 45-60 days behind expenses and therefore gross margins may fluctuate. The changes in the market environment, mix of business between direct and agency operations and the contributions from our various business units have historically impacted margins and net earnings. We have implemented programs and have taken necessary actions to maintain expense levels consistent with revenue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auto"/>
        </w:rPr>
        <w:t>streams. However, a short-term lag exists in reducing controllable fixed costs and certain fixed costs are incurred regardless of revenue levels.</w:t>
      </w:r>
    </w:p>
    <w:p>
      <w:pPr>
        <w:spacing w:after="0" w:line="132" w:lineRule="exact"/>
        <w:rPr>
          <w:sz w:val="20"/>
          <w:szCs w:val="20"/>
          <w:color w:val="auto"/>
        </w:rPr>
      </w:pPr>
    </w:p>
    <w:p>
      <w:pPr>
        <w:jc w:val="both"/>
        <w:ind w:firstLine="316"/>
        <w:spacing w:after="0" w:line="261" w:lineRule="auto"/>
        <w:rPr>
          <w:sz w:val="20"/>
          <w:szCs w:val="20"/>
          <w:color w:val="auto"/>
        </w:rPr>
      </w:pPr>
      <w:r>
        <w:rPr>
          <w:rFonts w:ascii="Arial" w:cs="Arial" w:eastAsia="Arial" w:hAnsi="Arial"/>
          <w:sz w:val="18"/>
          <w:szCs w:val="18"/>
          <w:color w:val="auto"/>
        </w:rPr>
        <w:t>Personnel costs include base salaries, commissions, benefits, stock-based compensation and bonuses paid to employees, and are one of our most significant operating expenses.</w:t>
      </w:r>
    </w:p>
    <w:p>
      <w:pPr>
        <w:spacing w:after="0" w:line="7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Agent commissions represent the portion of premiums retained by our third-party agents pursuant to the terms of their respective agency contracts.</w:t>
      </w:r>
    </w:p>
    <w:p>
      <w:pPr>
        <w:spacing w:after="0" w:line="132" w:lineRule="exact"/>
        <w:rPr>
          <w:sz w:val="20"/>
          <w:szCs w:val="20"/>
          <w:color w:val="auto"/>
        </w:rPr>
      </w:pPr>
    </w:p>
    <w:p>
      <w:pPr>
        <w:jc w:val="both"/>
        <w:ind w:firstLine="316"/>
        <w:spacing w:after="0" w:line="250" w:lineRule="auto"/>
        <w:rPr>
          <w:sz w:val="20"/>
          <w:szCs w:val="20"/>
          <w:color w:val="auto"/>
        </w:rPr>
      </w:pPr>
      <w:r>
        <w:rPr>
          <w:rFonts w:ascii="Arial" w:cs="Arial" w:eastAsia="Arial" w:hAnsi="Arial"/>
          <w:sz w:val="18"/>
          <w:szCs w:val="18"/>
          <w:color w:val="auto"/>
        </w:rPr>
        <w:t>Benefit expenses for deferred annuity, FIA and IUL policies include index credits and interest credited to contractholder account balances and benefit claims in excess of contract account balances, net of reinsurance recoveries. Other changes in policy reserves include the change in the fair value of the FIA embedded derivative and the change in the reserve for secondary guarantee benefit payments. Other changes in policy reserves also include the change in reserves for life insurance products.</w:t>
      </w:r>
    </w:p>
    <w:p>
      <w:pPr>
        <w:spacing w:after="0" w:line="85" w:lineRule="exact"/>
        <w:rPr>
          <w:sz w:val="20"/>
          <w:szCs w:val="20"/>
          <w:color w:val="auto"/>
        </w:rPr>
      </w:pPr>
    </w:p>
    <w:p>
      <w:pPr>
        <w:jc w:val="both"/>
        <w:ind w:firstLine="316"/>
        <w:spacing w:after="0" w:line="250" w:lineRule="auto"/>
        <w:rPr>
          <w:sz w:val="20"/>
          <w:szCs w:val="20"/>
          <w:color w:val="auto"/>
        </w:rPr>
      </w:pPr>
      <w:r>
        <w:rPr>
          <w:rFonts w:ascii="Arial" w:cs="Arial" w:eastAsia="Arial" w:hAnsi="Arial"/>
          <w:sz w:val="18"/>
          <w:szCs w:val="18"/>
          <w:color w:val="auto"/>
        </w:rPr>
        <w:t>Other operating expenses consist primarily of facilities expenses, title plant maintenance, premium taxes (which insurance underwriters are required to pay on title premiums in lieu of franchise and other state taxes), appraisal fees and other cost of sales on ServiceLink product offerings and other title-related products, postage and courier services, computer services, professional services, travel expenses, general insurance and bad debt expense on our trade and notes receivable.</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Provision for title claim losses includes an estimate of anticipated title and title-related claims, and escrow losses.</w:t>
      </w:r>
    </w:p>
    <w:p>
      <w:pPr>
        <w:spacing w:after="0" w:line="10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change in expenses attributable to our reportable segments is discussed in further detail at the segment level below.</w:t>
      </w:r>
    </w:p>
    <w:p>
      <w:pPr>
        <w:spacing w:after="0" w:line="109" w:lineRule="exact"/>
        <w:rPr>
          <w:sz w:val="20"/>
          <w:szCs w:val="20"/>
          <w:color w:val="auto"/>
        </w:rPr>
      </w:pPr>
    </w:p>
    <w:p>
      <w:pPr>
        <w:jc w:val="both"/>
        <w:ind w:firstLine="316"/>
        <w:spacing w:after="0" w:line="263" w:lineRule="auto"/>
        <w:rPr>
          <w:sz w:val="20"/>
          <w:szCs w:val="20"/>
          <w:color w:val="auto"/>
        </w:rPr>
      </w:pPr>
      <w:r>
        <w:rPr>
          <w:rFonts w:ascii="Arial" w:cs="Arial" w:eastAsia="Arial" w:hAnsi="Arial"/>
          <w:sz w:val="16"/>
          <w:szCs w:val="16"/>
          <w:color w:val="auto"/>
        </w:rPr>
        <w:t>Income tax expense was $164 million and $176 million in the three months ended June 30, 2022 and 2021, respectively, and $319 million and $342 million in the six months ended June 30, 2022 and 2021, respectively. Income tax expense as a percentage of earnings before income taxes was 30% and 25% in the three months ended June 30, 2022 and 2021, respectively and 29% and 23% in the six months ended June 30, 2022 and 2021, respectively. The increase in income tax expense as a percentage of earnings before taxes in the three months ended June 30, 2022 as compared to the corresponding period in 2021 is primarily attributable to the recording of a valuation allowance in the 2022 period for tax benefits associated with deferred tax assets related to recognized valuation losses on equity securities for which it is more likely than not that we will not be able to realize for tax purposes. The increase in income tax expense as a percentage of earnings before taxes in the six months ended June 30, 2022 as compared to the corresponding period in 2021 is primarily attributable to the recording of a valuation allowances in the 2022 period for tax benefits associated with deferred tax assets related to realized losses on the past sales of discontinued operations and the aforementioned recognized valuation losses on equity securities for which it is more likely than not that we will not be able to realize for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Title</w:t>
      </w:r>
    </w:p>
    <w:p>
      <w:pPr>
        <w:spacing w:after="0" w:line="1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the results from operations of our Title segment:</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8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1940" w:type="dxa"/>
            <w:vAlign w:val="bottom"/>
            <w:gridSpan w:val="4"/>
          </w:tcPr>
          <w:p>
            <w:pPr>
              <w:jc w:val="right"/>
              <w:ind w:right="253"/>
              <w:spacing w:after="0"/>
              <w:rPr>
                <w:sz w:val="20"/>
                <w:szCs w:val="20"/>
                <w:color w:val="auto"/>
              </w:rPr>
            </w:pPr>
            <w:r>
              <w:rPr>
                <w:rFonts w:ascii="Arial" w:cs="Arial" w:eastAsia="Arial" w:hAnsi="Arial"/>
                <w:sz w:val="14"/>
                <w:szCs w:val="14"/>
                <w:b w:val="1"/>
                <w:bCs w:val="1"/>
                <w:color w:val="auto"/>
                <w:w w:val="87"/>
              </w:rPr>
              <w:t>Six months ended June 30,</w:t>
            </w:r>
          </w:p>
        </w:tc>
        <w:tc>
          <w:tcPr>
            <w:tcW w:w="0" w:type="dxa"/>
            <w:vAlign w:val="bottom"/>
          </w:tcPr>
          <w:p>
            <w:pPr>
              <w:spacing w:after="0"/>
              <w:rPr>
                <w:sz w:val="1"/>
                <w:szCs w:val="1"/>
                <w:color w:val="auto"/>
              </w:rPr>
            </w:pPr>
          </w:p>
        </w:tc>
      </w:tr>
      <w:tr>
        <w:trPr>
          <w:trHeight w:val="182"/>
        </w:trPr>
        <w:tc>
          <w:tcPr>
            <w:tcW w:w="662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77"/>
        </w:trPr>
        <w:tc>
          <w:tcPr>
            <w:tcW w:w="6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6620" w:type="dxa"/>
            <w:vAlign w:val="bottom"/>
          </w:tcPr>
          <w:p>
            <w:pPr>
              <w:ind w:left="20"/>
              <w:spacing w:after="0"/>
              <w:rPr>
                <w:sz w:val="20"/>
                <w:szCs w:val="20"/>
                <w:color w:val="auto"/>
              </w:rPr>
            </w:pPr>
            <w:r>
              <w:rPr>
                <w:rFonts w:ascii="Arial" w:cs="Arial" w:eastAsia="Arial" w:hAnsi="Arial"/>
                <w:sz w:val="18"/>
                <w:szCs w:val="18"/>
                <w:color w:val="auto"/>
              </w:rPr>
              <w:t>Revenues:</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Direct title insurance premiums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0" w:type="dxa"/>
            <w:vAlign w:val="bottom"/>
          </w:tcPr>
          <w:p>
            <w:pPr>
              <w:spacing w:after="0"/>
              <w:rPr>
                <w:sz w:val="1"/>
                <w:szCs w:val="1"/>
                <w:color w:val="auto"/>
              </w:rPr>
            </w:pPr>
          </w:p>
        </w:tc>
      </w:tr>
      <w:tr>
        <w:trPr>
          <w:trHeight w:val="223"/>
        </w:trPr>
        <w:tc>
          <w:tcPr>
            <w:tcW w:w="6620" w:type="dxa"/>
            <w:vAlign w:val="bottom"/>
          </w:tcPr>
          <w:p>
            <w:pPr>
              <w:ind w:left="220"/>
              <w:spacing w:after="0"/>
              <w:rPr>
                <w:sz w:val="20"/>
                <w:szCs w:val="20"/>
                <w:color w:val="auto"/>
              </w:rPr>
            </w:pPr>
            <w:r>
              <w:rPr>
                <w:rFonts w:ascii="Arial" w:cs="Arial" w:eastAsia="Arial" w:hAnsi="Arial"/>
                <w:sz w:val="18"/>
                <w:szCs w:val="18"/>
                <w:color w:val="auto"/>
              </w:rPr>
              <w:t>Agency title insurance premiums</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1,203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1,256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2,302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2,314</w:t>
            </w:r>
          </w:p>
        </w:tc>
        <w:tc>
          <w:tcPr>
            <w:tcW w:w="0" w:type="dxa"/>
            <w:vAlign w:val="bottom"/>
          </w:tcPr>
          <w:p>
            <w:pPr>
              <w:spacing w:after="0"/>
              <w:rPr>
                <w:sz w:val="1"/>
                <w:szCs w:val="1"/>
                <w:color w:val="auto"/>
              </w:rPr>
            </w:pPr>
          </w:p>
        </w:tc>
      </w:tr>
      <w:tr>
        <w:trPr>
          <w:trHeight w:val="224"/>
        </w:trPr>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Escrow, title-related and other fees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0" w:type="dxa"/>
            <w:vAlign w:val="bottom"/>
          </w:tcPr>
          <w:p>
            <w:pPr>
              <w:spacing w:after="0"/>
              <w:rPr>
                <w:sz w:val="1"/>
                <w:szCs w:val="1"/>
                <w:color w:val="auto"/>
              </w:rPr>
            </w:pPr>
          </w:p>
        </w:tc>
      </w:tr>
      <w:tr>
        <w:trPr>
          <w:trHeight w:val="223"/>
        </w:trPr>
        <w:tc>
          <w:tcPr>
            <w:tcW w:w="6620" w:type="dxa"/>
            <w:vAlign w:val="bottom"/>
          </w:tcPr>
          <w:p>
            <w:pPr>
              <w:ind w:left="220"/>
              <w:spacing w:after="0"/>
              <w:rPr>
                <w:sz w:val="20"/>
                <w:szCs w:val="20"/>
                <w:color w:val="auto"/>
              </w:rPr>
            </w:pPr>
            <w:r>
              <w:rPr>
                <w:rFonts w:ascii="Arial" w:cs="Arial" w:eastAsia="Arial" w:hAnsi="Arial"/>
                <w:sz w:val="18"/>
                <w:szCs w:val="18"/>
                <w:color w:val="auto"/>
              </w:rPr>
              <w:t>Interest and investment income</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4"/>
        </w:trPr>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Recognized gains and losses, net</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7"/>
        </w:trPr>
        <w:tc>
          <w:tcPr>
            <w:tcW w:w="6620" w:type="dxa"/>
            <w:vAlign w:val="bottom"/>
          </w:tcPr>
          <w:p>
            <w:pPr>
              <w:ind w:left="500"/>
              <w:spacing w:after="0"/>
              <w:rPr>
                <w:sz w:val="20"/>
                <w:szCs w:val="20"/>
                <w:color w:val="auto"/>
              </w:rPr>
            </w:pPr>
            <w:r>
              <w:rPr>
                <w:rFonts w:ascii="Arial" w:cs="Arial" w:eastAsia="Arial" w:hAnsi="Arial"/>
                <w:sz w:val="18"/>
                <w:szCs w:val="18"/>
                <w:color w:val="auto"/>
              </w:rPr>
              <w:t>Total revenues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2,554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2,996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4,937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5,515</w:t>
            </w:r>
          </w:p>
        </w:tc>
        <w:tc>
          <w:tcPr>
            <w:tcW w:w="0" w:type="dxa"/>
            <w:vAlign w:val="bottom"/>
          </w:tcPr>
          <w:p>
            <w:pPr>
              <w:spacing w:after="0"/>
              <w:rPr>
                <w:sz w:val="1"/>
                <w:szCs w:val="1"/>
                <w:color w:val="auto"/>
              </w:rPr>
            </w:pPr>
          </w:p>
        </w:tc>
      </w:tr>
      <w:tr>
        <w:trPr>
          <w:trHeight w:val="224"/>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20" w:type="dxa"/>
            <w:vAlign w:val="bottom"/>
          </w:tcPr>
          <w:p>
            <w:pPr>
              <w:ind w:left="220"/>
              <w:spacing w:after="0"/>
              <w:rPr>
                <w:sz w:val="20"/>
                <w:szCs w:val="20"/>
                <w:color w:val="auto"/>
              </w:rPr>
            </w:pPr>
            <w:r>
              <w:rPr>
                <w:rFonts w:ascii="Arial" w:cs="Arial" w:eastAsia="Arial" w:hAnsi="Arial"/>
                <w:sz w:val="18"/>
                <w:szCs w:val="18"/>
                <w:color w:val="auto"/>
              </w:rPr>
              <w:t>Personnel costs</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1,597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1,580</w:t>
            </w:r>
          </w:p>
        </w:tc>
        <w:tc>
          <w:tcPr>
            <w:tcW w:w="0" w:type="dxa"/>
            <w:vAlign w:val="bottom"/>
          </w:tcPr>
          <w:p>
            <w:pPr>
              <w:spacing w:after="0"/>
              <w:rPr>
                <w:sz w:val="1"/>
                <w:szCs w:val="1"/>
                <w:color w:val="auto"/>
              </w:rPr>
            </w:pPr>
          </w:p>
        </w:tc>
      </w:tr>
      <w:tr>
        <w:trPr>
          <w:trHeight w:val="224"/>
        </w:trPr>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Agent commissions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w:t>
            </w:r>
          </w:p>
        </w:tc>
        <w:tc>
          <w:tcPr>
            <w:tcW w:w="0" w:type="dxa"/>
            <w:vAlign w:val="bottom"/>
          </w:tcPr>
          <w:p>
            <w:pPr>
              <w:spacing w:after="0"/>
              <w:rPr>
                <w:sz w:val="1"/>
                <w:szCs w:val="1"/>
                <w:color w:val="auto"/>
              </w:rPr>
            </w:pPr>
          </w:p>
        </w:tc>
      </w:tr>
      <w:tr>
        <w:trPr>
          <w:trHeight w:val="223"/>
        </w:trPr>
        <w:tc>
          <w:tcPr>
            <w:tcW w:w="6620" w:type="dxa"/>
            <w:vAlign w:val="bottom"/>
          </w:tcPr>
          <w:p>
            <w:pPr>
              <w:ind w:left="220"/>
              <w:spacing w:after="0"/>
              <w:rPr>
                <w:sz w:val="20"/>
                <w:szCs w:val="20"/>
                <w:color w:val="auto"/>
              </w:rPr>
            </w:pPr>
            <w:r>
              <w:rPr>
                <w:rFonts w:ascii="Arial" w:cs="Arial" w:eastAsia="Arial" w:hAnsi="Arial"/>
                <w:sz w:val="18"/>
                <w:szCs w:val="18"/>
                <w:color w:val="auto"/>
              </w:rPr>
              <w:t>Other operating expenses</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24"/>
        </w:trPr>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3"/>
        </w:trPr>
        <w:tc>
          <w:tcPr>
            <w:tcW w:w="66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Provision for title claim losses</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7"/>
        </w:trPr>
        <w:tc>
          <w:tcPr>
            <w:tcW w:w="66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expenses</w:t>
            </w: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2,287</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2,352</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4,421</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4,432</w:t>
            </w:r>
          </w:p>
        </w:tc>
        <w:tc>
          <w:tcPr>
            <w:tcW w:w="0" w:type="dxa"/>
            <w:vAlign w:val="bottom"/>
          </w:tcPr>
          <w:p>
            <w:pPr>
              <w:spacing w:after="0"/>
              <w:rPr>
                <w:sz w:val="1"/>
                <w:szCs w:val="1"/>
                <w:color w:val="auto"/>
              </w:rPr>
            </w:pPr>
          </w:p>
        </w:tc>
      </w:tr>
      <w:tr>
        <w:trPr>
          <w:trHeight w:val="152"/>
        </w:trPr>
        <w:tc>
          <w:tcPr>
            <w:tcW w:w="6620" w:type="dxa"/>
            <w:vAlign w:val="bottom"/>
          </w:tcPr>
          <w:p>
            <w:pPr>
              <w:ind w:left="20"/>
              <w:spacing w:after="0" w:line="152" w:lineRule="exact"/>
              <w:rPr>
                <w:sz w:val="20"/>
                <w:szCs w:val="20"/>
                <w:color w:val="auto"/>
              </w:rPr>
            </w:pPr>
            <w:r>
              <w:rPr>
                <w:rFonts w:ascii="Arial" w:cs="Arial" w:eastAsia="Arial" w:hAnsi="Arial"/>
                <w:sz w:val="16"/>
                <w:szCs w:val="16"/>
                <w:color w:val="auto"/>
              </w:rPr>
              <w:t>Earnings from continuing operations, before income taxes and equity in earnings of</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267</w:t>
            </w:r>
          </w:p>
        </w:tc>
        <w:tc>
          <w:tcPr>
            <w:tcW w:w="80" w:type="dxa"/>
            <w:vAlign w:val="bottom"/>
          </w:tcPr>
          <w:p>
            <w:pPr>
              <w:spacing w:after="0"/>
              <w:rPr>
                <w:sz w:val="13"/>
                <w:szCs w:val="13"/>
                <w:color w:val="auto"/>
              </w:rPr>
            </w:pPr>
          </w:p>
        </w:tc>
        <w:tc>
          <w:tcPr>
            <w:tcW w:w="260" w:type="dxa"/>
            <w:vAlign w:val="bottom"/>
            <w:vMerge w:val="restart"/>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644</w:t>
            </w:r>
          </w:p>
        </w:tc>
        <w:tc>
          <w:tcPr>
            <w:tcW w:w="80" w:type="dxa"/>
            <w:vAlign w:val="bottom"/>
          </w:tcPr>
          <w:p>
            <w:pPr>
              <w:spacing w:after="0"/>
              <w:rPr>
                <w:sz w:val="13"/>
                <w:szCs w:val="13"/>
                <w:color w:val="auto"/>
              </w:rPr>
            </w:pPr>
          </w:p>
        </w:tc>
        <w:tc>
          <w:tcPr>
            <w:tcW w:w="320" w:type="dxa"/>
            <w:vAlign w:val="bottom"/>
            <w:vMerge w:val="restart"/>
          </w:tcPr>
          <w:p>
            <w:pPr>
              <w:jc w:val="right"/>
              <w:ind w:right="132"/>
              <w:spacing w:after="0"/>
              <w:rPr>
                <w:sz w:val="20"/>
                <w:szCs w:val="20"/>
                <w:color w:val="auto"/>
              </w:rPr>
            </w:pPr>
            <w:r>
              <w:rPr>
                <w:rFonts w:ascii="Arial" w:cs="Arial" w:eastAsia="Arial" w:hAnsi="Arial"/>
                <w:sz w:val="18"/>
                <w:szCs w:val="18"/>
                <w:color w:val="auto"/>
                <w:w w:val="79"/>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516</w:t>
            </w:r>
          </w:p>
        </w:tc>
        <w:tc>
          <w:tcPr>
            <w:tcW w:w="80" w:type="dxa"/>
            <w:vAlign w:val="bottom"/>
          </w:tcPr>
          <w:p>
            <w:pPr>
              <w:spacing w:after="0"/>
              <w:rPr>
                <w:sz w:val="13"/>
                <w:szCs w:val="13"/>
                <w:color w:val="auto"/>
              </w:rPr>
            </w:pPr>
          </w:p>
        </w:tc>
        <w:tc>
          <w:tcPr>
            <w:tcW w:w="240" w:type="dxa"/>
            <w:vAlign w:val="bottom"/>
            <w:vMerge w:val="restart"/>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02"/>
        </w:trPr>
        <w:tc>
          <w:tcPr>
            <w:tcW w:w="6620" w:type="dxa"/>
            <w:vAlign w:val="bottom"/>
          </w:tcPr>
          <w:p>
            <w:pPr>
              <w:ind w:left="20"/>
              <w:spacing w:after="0" w:line="196" w:lineRule="exact"/>
              <w:rPr>
                <w:sz w:val="20"/>
                <w:szCs w:val="20"/>
                <w:color w:val="auto"/>
              </w:rPr>
            </w:pPr>
            <w:r>
              <w:rPr>
                <w:rFonts w:ascii="Arial" w:cs="Arial" w:eastAsia="Arial" w:hAnsi="Arial"/>
                <w:sz w:val="18"/>
                <w:szCs w:val="18"/>
                <w:color w:val="auto"/>
              </w:rPr>
              <w:t>unconsolidated affiliates</w:t>
            </w:r>
          </w:p>
        </w:tc>
        <w:tc>
          <w:tcPr>
            <w:tcW w:w="18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Orders opened by direct title operations (in thousands)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223"/>
        </w:trPr>
        <w:tc>
          <w:tcPr>
            <w:tcW w:w="6620" w:type="dxa"/>
            <w:vAlign w:val="bottom"/>
          </w:tcPr>
          <w:p>
            <w:pPr>
              <w:ind w:left="20"/>
              <w:spacing w:after="0"/>
              <w:rPr>
                <w:sz w:val="20"/>
                <w:szCs w:val="20"/>
                <w:color w:val="auto"/>
              </w:rPr>
            </w:pPr>
            <w:r>
              <w:rPr>
                <w:rFonts w:ascii="Arial" w:cs="Arial" w:eastAsia="Arial" w:hAnsi="Arial"/>
                <w:sz w:val="18"/>
                <w:szCs w:val="18"/>
                <w:color w:val="auto"/>
              </w:rPr>
              <w:t>Orders closed by direct title operations (in thousands)</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1,165</w:t>
            </w:r>
          </w:p>
        </w:tc>
        <w:tc>
          <w:tcPr>
            <w:tcW w:w="0" w:type="dxa"/>
            <w:vAlign w:val="bottom"/>
          </w:tcPr>
          <w:p>
            <w:pPr>
              <w:spacing w:after="0"/>
              <w:rPr>
                <w:sz w:val="1"/>
                <w:szCs w:val="1"/>
                <w:color w:val="auto"/>
              </w:rPr>
            </w:pPr>
          </w:p>
        </w:tc>
      </w:tr>
      <w:tr>
        <w:trPr>
          <w:trHeight w:val="224"/>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Fee per file (in dollars)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w:t>
            </w:r>
          </w:p>
        </w:tc>
        <w:tc>
          <w:tcPr>
            <w:tcW w:w="0" w:type="dxa"/>
            <w:vAlign w:val="bottom"/>
          </w:tcPr>
          <w:p>
            <w:pPr>
              <w:spacing w:after="0"/>
              <w:rPr>
                <w:sz w:val="1"/>
                <w:szCs w:val="1"/>
                <w:color w:val="auto"/>
              </w:rPr>
            </w:pPr>
          </w:p>
        </w:tc>
      </w:tr>
    </w:tbl>
    <w:p>
      <w:pPr>
        <w:spacing w:after="0" w:line="185" w:lineRule="exact"/>
        <w:rPr>
          <w:sz w:val="20"/>
          <w:szCs w:val="20"/>
          <w:color w:val="auto"/>
        </w:rPr>
      </w:pPr>
    </w:p>
    <w:p>
      <w:pPr>
        <w:jc w:val="both"/>
        <w:ind w:firstLine="316"/>
        <w:spacing w:after="0" w:line="261" w:lineRule="auto"/>
        <w:rPr>
          <w:sz w:val="20"/>
          <w:szCs w:val="20"/>
          <w:color w:val="auto"/>
        </w:rPr>
      </w:pPr>
      <w:r>
        <w:rPr>
          <w:rFonts w:ascii="Arial" w:cs="Arial" w:eastAsia="Arial" w:hAnsi="Arial"/>
          <w:sz w:val="18"/>
          <w:szCs w:val="18"/>
          <w:color w:val="auto"/>
        </w:rPr>
        <w:t>Total revenues for the Title segment decreased by $442 million, or 15%, in the three months ended June 30, 2022 and decreased by $578 million, or 10% in the six months ended June 30, 2022 from the corresponding periods in 2021.</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the percentages of title insurance premiums generated by our direct and agency operations: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w w:val="98"/>
              </w:rPr>
              <w:t>Three months ended June 30,</w:t>
            </w: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Six months ended June 30,</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ind w:left="360"/>
              <w:spacing w:after="0"/>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ind w:left="380"/>
              <w:spacing w:after="0"/>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ind w:left="380"/>
              <w:spacing w:after="0"/>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299"/>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88"/>
        </w:trPr>
        <w:tc>
          <w:tcPr>
            <w:tcW w:w="2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2"/>
        </w:trPr>
        <w:tc>
          <w:tcPr>
            <w:tcW w:w="2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80" w:type="dxa"/>
            <w:vAlign w:val="bottom"/>
            <w:gridSpan w:val="5"/>
          </w:tcPr>
          <w:p>
            <w:pPr>
              <w:ind w:left="520"/>
              <w:spacing w:after="0"/>
              <w:rPr>
                <w:sz w:val="20"/>
                <w:szCs w:val="20"/>
                <w:color w:val="auto"/>
              </w:rPr>
            </w:pPr>
            <w:r>
              <w:rPr>
                <w:rFonts w:ascii="Arial" w:cs="Arial" w:eastAsia="Arial" w:hAnsi="Arial"/>
                <w:sz w:val="14"/>
                <w:szCs w:val="14"/>
                <w:b w:val="1"/>
                <w:bCs w:val="1"/>
                <w:color w:val="auto"/>
              </w:rPr>
              <w:t>(Dollars in millions)</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62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color w:val="auto"/>
              </w:rPr>
              <w:t>Title premiums from direct</w:t>
            </w:r>
          </w:p>
        </w:tc>
        <w:tc>
          <w:tcPr>
            <w:tcW w:w="22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12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12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1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12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1,626</w:t>
            </w:r>
          </w:p>
        </w:tc>
        <w:tc>
          <w:tcPr>
            <w:tcW w:w="1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12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1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23"/>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operations</w:t>
            </w:r>
          </w:p>
        </w:tc>
        <w:tc>
          <w:tcPr>
            <w:tcW w:w="220" w:type="dxa"/>
            <w:vAlign w:val="bottom"/>
            <w:vMerge w:val="continue"/>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2620" w:type="dxa"/>
            <w:vAlign w:val="bottom"/>
          </w:tcPr>
          <w:p>
            <w:pPr>
              <w:ind w:left="20"/>
              <w:spacing w:after="0" w:line="172" w:lineRule="exact"/>
              <w:rPr>
                <w:sz w:val="20"/>
                <w:szCs w:val="20"/>
                <w:color w:val="auto"/>
              </w:rPr>
            </w:pPr>
            <w:r>
              <w:rPr>
                <w:rFonts w:ascii="Arial" w:cs="Arial" w:eastAsia="Arial" w:hAnsi="Arial"/>
                <w:sz w:val="18"/>
                <w:szCs w:val="18"/>
                <w:color w:val="auto"/>
              </w:rPr>
              <w:t>Title premiums from agency</w:t>
            </w:r>
          </w:p>
        </w:tc>
        <w:tc>
          <w:tcPr>
            <w:tcW w:w="2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1,203</w:t>
            </w:r>
          </w:p>
        </w:tc>
        <w:tc>
          <w:tcPr>
            <w:tcW w:w="120" w:type="dxa"/>
            <w:vAlign w:val="bottom"/>
          </w:tcPr>
          <w:p>
            <w:pPr>
              <w:spacing w:after="0"/>
              <w:rPr>
                <w:sz w:val="14"/>
                <w:szCs w:val="14"/>
                <w:color w:val="auto"/>
              </w:rPr>
            </w:pPr>
          </w:p>
        </w:tc>
        <w:tc>
          <w:tcPr>
            <w:tcW w:w="1020" w:type="dxa"/>
            <w:vAlign w:val="bottom"/>
            <w:vMerge w:val="restart"/>
          </w:tcPr>
          <w:p>
            <w:pPr>
              <w:jc w:val="right"/>
              <w:ind w:right="141"/>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1,256</w:t>
            </w:r>
          </w:p>
        </w:tc>
        <w:tc>
          <w:tcPr>
            <w:tcW w:w="120" w:type="dxa"/>
            <w:vAlign w:val="bottom"/>
          </w:tcPr>
          <w:p>
            <w:pPr>
              <w:spacing w:after="0"/>
              <w:rPr>
                <w:sz w:val="14"/>
                <w:szCs w:val="14"/>
                <w:color w:val="auto"/>
              </w:rPr>
            </w:pPr>
          </w:p>
        </w:tc>
        <w:tc>
          <w:tcPr>
            <w:tcW w:w="1040" w:type="dxa"/>
            <w:vAlign w:val="bottom"/>
            <w:vMerge w:val="restart"/>
          </w:tcPr>
          <w:p>
            <w:pPr>
              <w:jc w:val="right"/>
              <w:ind w:right="141"/>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2,302</w:t>
            </w:r>
          </w:p>
        </w:tc>
        <w:tc>
          <w:tcPr>
            <w:tcW w:w="120" w:type="dxa"/>
            <w:vAlign w:val="bottom"/>
          </w:tcPr>
          <w:p>
            <w:pPr>
              <w:spacing w:after="0"/>
              <w:rPr>
                <w:sz w:val="14"/>
                <w:szCs w:val="14"/>
                <w:color w:val="auto"/>
              </w:rPr>
            </w:pPr>
          </w:p>
        </w:tc>
        <w:tc>
          <w:tcPr>
            <w:tcW w:w="1040" w:type="dxa"/>
            <w:vAlign w:val="bottom"/>
            <w:vMerge w:val="restart"/>
          </w:tcPr>
          <w:p>
            <w:pPr>
              <w:jc w:val="right"/>
              <w:ind w:right="121"/>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2,314</w:t>
            </w:r>
          </w:p>
        </w:tc>
        <w:tc>
          <w:tcPr>
            <w:tcW w:w="120" w:type="dxa"/>
            <w:vAlign w:val="bottom"/>
          </w:tcPr>
          <w:p>
            <w:pPr>
              <w:spacing w:after="0"/>
              <w:rPr>
                <w:sz w:val="14"/>
                <w:szCs w:val="14"/>
                <w:color w:val="auto"/>
              </w:rPr>
            </w:pPr>
          </w:p>
        </w:tc>
        <w:tc>
          <w:tcPr>
            <w:tcW w:w="1040" w:type="dxa"/>
            <w:vAlign w:val="bottom"/>
            <w:vMerge w:val="restart"/>
          </w:tcPr>
          <w:p>
            <w:pPr>
              <w:jc w:val="right"/>
              <w:ind w:right="139"/>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3"/>
        </w:trPr>
        <w:tc>
          <w:tcPr>
            <w:tcW w:w="2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operations</w:t>
            </w: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title premiums</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2,062</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2,160</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3,928</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3,964</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firstLine="316"/>
        <w:spacing w:after="0" w:line="252" w:lineRule="auto"/>
        <w:rPr>
          <w:sz w:val="20"/>
          <w:szCs w:val="20"/>
          <w:color w:val="auto"/>
        </w:rPr>
      </w:pPr>
      <w:r>
        <w:rPr>
          <w:rFonts w:ascii="Arial" w:cs="Arial" w:eastAsia="Arial" w:hAnsi="Arial"/>
          <w:sz w:val="18"/>
          <w:szCs w:val="18"/>
          <w:color w:val="auto"/>
        </w:rPr>
        <w:t>Title premiums decreased by $98 million, or 5% in the three months ended June 30, 2022 from the corresponding period in 2021. The decrease was comprised of a decrease in Title premiums from direct operations of $45 million, or 5%, and an decrease in Title premiums from agency operations of $53 million, or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firstLine="316"/>
        <w:spacing w:after="0" w:line="324" w:lineRule="auto"/>
        <w:rPr>
          <w:sz w:val="20"/>
          <w:szCs w:val="20"/>
          <w:color w:val="auto"/>
        </w:rPr>
      </w:pPr>
      <w:r>
        <w:rPr>
          <w:rFonts w:ascii="Arial" w:cs="Arial" w:eastAsia="Arial" w:hAnsi="Arial"/>
          <w:sz w:val="16"/>
          <w:szCs w:val="16"/>
          <w:color w:val="auto"/>
        </w:rPr>
        <w:t>Title premiums decreased by 0.9% in the six months ended June 30, 2022 as compared to the corresponding period in 2021. The decrease is comprised of a decrease in Title premiums from direct operations of $24 million, or 1%, and a decrease in Title premiums from agency operations of $12 million or 1%.</w:t>
      </w:r>
    </w:p>
    <w:p>
      <w:pPr>
        <w:spacing w:after="0" w:line="372" w:lineRule="exact"/>
        <w:rPr>
          <w:sz w:val="20"/>
          <w:szCs w:val="20"/>
          <w:color w:val="auto"/>
        </w:rPr>
      </w:pPr>
    </w:p>
    <w:p>
      <w:pPr>
        <w:jc w:val="both"/>
        <w:ind w:firstLine="316"/>
        <w:spacing w:after="0" w:line="261" w:lineRule="auto"/>
        <w:rPr>
          <w:sz w:val="20"/>
          <w:szCs w:val="20"/>
          <w:color w:val="auto"/>
        </w:rPr>
      </w:pPr>
      <w:r>
        <w:rPr>
          <w:rFonts w:ascii="Arial" w:cs="Arial" w:eastAsia="Arial" w:hAnsi="Arial"/>
          <w:sz w:val="18"/>
          <w:szCs w:val="18"/>
          <w:color w:val="auto"/>
        </w:rPr>
        <w:t>The following table presents the percentages of opened and closed title insurance orders generated by purchase and refinance transactions by our direct operations: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000" w:type="dxa"/>
            <w:vAlign w:val="bottom"/>
          </w:tcPr>
          <w:p>
            <w:pPr>
              <w:spacing w:after="0"/>
              <w:rPr>
                <w:sz w:val="16"/>
                <w:szCs w:val="16"/>
                <w:color w:val="auto"/>
              </w:rPr>
            </w:pPr>
          </w:p>
        </w:tc>
        <w:tc>
          <w:tcPr>
            <w:tcW w:w="254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rPr>
              <w:t>Three months ended June 30,</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tcBorders>
              <w:bottom w:val="single" w:sz="8" w:color="auto"/>
            </w:tcBorders>
            <w:gridSpan w:val="3"/>
          </w:tcPr>
          <w:p>
            <w:pPr>
              <w:jc w:val="right"/>
              <w:ind w:right="655"/>
              <w:spacing w:after="0"/>
              <w:rPr>
                <w:sz w:val="20"/>
                <w:szCs w:val="20"/>
                <w:color w:val="auto"/>
              </w:rPr>
            </w:pPr>
            <w:r>
              <w:rPr>
                <w:rFonts w:ascii="Arial" w:cs="Arial" w:eastAsia="Arial" w:hAnsi="Arial"/>
                <w:sz w:val="14"/>
                <w:szCs w:val="14"/>
                <w:b w:val="1"/>
                <w:bCs w:val="1"/>
                <w:color w:val="auto"/>
              </w:rPr>
              <w:t>Six months ended June 30,</w:t>
            </w:r>
          </w:p>
        </w:tc>
      </w:tr>
      <w:tr>
        <w:trPr>
          <w:trHeight w:val="182"/>
        </w:trPr>
        <w:tc>
          <w:tcPr>
            <w:tcW w:w="500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14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2021</w:t>
            </w:r>
          </w:p>
        </w:tc>
      </w:tr>
      <w:tr>
        <w:trPr>
          <w:trHeight w:val="217"/>
        </w:trPr>
        <w:tc>
          <w:tcPr>
            <w:tcW w:w="5940" w:type="dxa"/>
            <w:vAlign w:val="bottom"/>
            <w:gridSpan w:val="2"/>
          </w:tcPr>
          <w:p>
            <w:pPr>
              <w:ind w:left="20"/>
              <w:spacing w:after="0"/>
              <w:rPr>
                <w:sz w:val="20"/>
                <w:szCs w:val="20"/>
                <w:color w:val="auto"/>
              </w:rPr>
            </w:pPr>
            <w:r>
              <w:rPr>
                <w:rFonts w:ascii="Arial" w:cs="Arial" w:eastAsia="Arial" w:hAnsi="Arial"/>
                <w:sz w:val="15"/>
                <w:szCs w:val="15"/>
                <w:color w:val="auto"/>
              </w:rPr>
              <w:t>Opened title insurance orders from purchase transactions (1)</w:t>
            </w:r>
          </w:p>
        </w:tc>
        <w:tc>
          <w:tcPr>
            <w:tcW w:w="540" w:type="dxa"/>
            <w:vAlign w:val="bottom"/>
          </w:tcPr>
          <w:p>
            <w:pPr>
              <w:jc w:val="right"/>
              <w:spacing w:after="0"/>
              <w:rPr>
                <w:sz w:val="20"/>
                <w:szCs w:val="20"/>
                <w:color w:val="auto"/>
              </w:rPr>
            </w:pPr>
            <w:r>
              <w:rPr>
                <w:rFonts w:ascii="Arial" w:cs="Arial" w:eastAsia="Arial" w:hAnsi="Arial"/>
                <w:sz w:val="18"/>
                <w:szCs w:val="18"/>
                <w:color w:val="auto"/>
              </w:rPr>
              <w:t>75 %</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53 %</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68 %</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47 %</w:t>
            </w:r>
          </w:p>
        </w:tc>
      </w:tr>
      <w:tr>
        <w:trPr>
          <w:trHeight w:val="224"/>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Opened title insurance orders from refinance transactions (1)</w:t>
            </w:r>
          </w:p>
        </w:tc>
        <w:tc>
          <w:tcPr>
            <w:tcW w:w="5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53</w:t>
            </w:r>
          </w:p>
        </w:tc>
      </w:tr>
      <w:tr>
        <w:trPr>
          <w:trHeight w:val="217"/>
        </w:trPr>
        <w:tc>
          <w:tcPr>
            <w:tcW w:w="5000" w:type="dxa"/>
            <w:vAlign w:val="bottom"/>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100 %</w:t>
            </w:r>
          </w:p>
        </w:tc>
        <w:tc>
          <w:tcPr>
            <w:tcW w:w="120" w:type="dxa"/>
            <w:vAlign w:val="bottom"/>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100 %</w:t>
            </w:r>
          </w:p>
        </w:tc>
        <w:tc>
          <w:tcPr>
            <w:tcW w:w="10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50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30"/>
        </w:trPr>
        <w:tc>
          <w:tcPr>
            <w:tcW w:w="50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3"/>
        </w:trPr>
        <w:tc>
          <w:tcPr>
            <w:tcW w:w="5940" w:type="dxa"/>
            <w:vAlign w:val="bottom"/>
            <w:gridSpan w:val="2"/>
          </w:tcPr>
          <w:p>
            <w:pPr>
              <w:ind w:left="20"/>
              <w:spacing w:after="0"/>
              <w:rPr>
                <w:sz w:val="20"/>
                <w:szCs w:val="20"/>
                <w:color w:val="auto"/>
              </w:rPr>
            </w:pPr>
            <w:r>
              <w:rPr>
                <w:rFonts w:ascii="Arial" w:cs="Arial" w:eastAsia="Arial" w:hAnsi="Arial"/>
                <w:sz w:val="15"/>
                <w:szCs w:val="15"/>
                <w:color w:val="auto"/>
              </w:rPr>
              <w:t>Closed title insurance orders from purchase transactions (1)</w:t>
            </w:r>
          </w:p>
        </w:tc>
        <w:tc>
          <w:tcPr>
            <w:tcW w:w="540" w:type="dxa"/>
            <w:vAlign w:val="bottom"/>
          </w:tcPr>
          <w:p>
            <w:pPr>
              <w:jc w:val="right"/>
              <w:spacing w:after="0"/>
              <w:rPr>
                <w:sz w:val="20"/>
                <w:szCs w:val="20"/>
                <w:color w:val="auto"/>
              </w:rPr>
            </w:pPr>
            <w:r>
              <w:rPr>
                <w:rFonts w:ascii="Arial" w:cs="Arial" w:eastAsia="Arial" w:hAnsi="Arial"/>
                <w:sz w:val="18"/>
                <w:szCs w:val="18"/>
                <w:color w:val="auto"/>
              </w:rPr>
              <w:t>71 %</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47 %</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62 %</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40 %</w:t>
            </w:r>
          </w:p>
        </w:tc>
      </w:tr>
      <w:tr>
        <w:trPr>
          <w:trHeight w:val="224"/>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Closed title insurance orders from refinance transactions (1)</w:t>
            </w:r>
          </w:p>
        </w:tc>
        <w:tc>
          <w:tcPr>
            <w:tcW w:w="5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60</w:t>
            </w:r>
          </w:p>
        </w:tc>
      </w:tr>
      <w:tr>
        <w:trPr>
          <w:trHeight w:val="217"/>
        </w:trPr>
        <w:tc>
          <w:tcPr>
            <w:tcW w:w="5000" w:type="dxa"/>
            <w:vAlign w:val="bottom"/>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100 %</w:t>
            </w:r>
          </w:p>
        </w:tc>
        <w:tc>
          <w:tcPr>
            <w:tcW w:w="120" w:type="dxa"/>
            <w:vAlign w:val="bottom"/>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100 %</w:t>
            </w:r>
          </w:p>
        </w:tc>
        <w:tc>
          <w:tcPr>
            <w:tcW w:w="10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50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w:t>
      </w:r>
    </w:p>
    <w:p>
      <w:pPr>
        <w:spacing w:after="0" w:line="56"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5"/>
          <w:szCs w:val="15"/>
          <w:color w:val="auto"/>
        </w:rPr>
        <w:t>Percentages exclude consideration of an immaterial number of non-purchase and non-refinance orders.</w:t>
      </w:r>
    </w:p>
    <w:p>
      <w:pPr>
        <w:spacing w:after="0" w:line="109" w:lineRule="exact"/>
        <w:rPr>
          <w:sz w:val="20"/>
          <w:szCs w:val="20"/>
          <w:color w:val="auto"/>
        </w:rPr>
      </w:pPr>
    </w:p>
    <w:p>
      <w:pPr>
        <w:jc w:val="both"/>
        <w:ind w:firstLine="316"/>
        <w:spacing w:after="0" w:line="252" w:lineRule="auto"/>
        <w:rPr>
          <w:sz w:val="20"/>
          <w:szCs w:val="20"/>
          <w:color w:val="auto"/>
        </w:rPr>
      </w:pPr>
      <w:r>
        <w:rPr>
          <w:rFonts w:ascii="Arial" w:cs="Arial" w:eastAsia="Arial" w:hAnsi="Arial"/>
          <w:sz w:val="18"/>
          <w:szCs w:val="18"/>
          <w:color w:val="auto"/>
        </w:rPr>
        <w:t>Title premiums from direct operations decreased in the three and six months ended June 30, 2022 from the corresponding periods in 2021. The decreases were primarily attributable to decreased closed order volume, partially offset by increases in the average fee per file, which were driven by increases in the proportion of purchase transactions versus refinance transactions.</w:t>
      </w:r>
    </w:p>
    <w:p>
      <w:pPr>
        <w:spacing w:after="0" w:line="85" w:lineRule="exact"/>
        <w:rPr>
          <w:sz w:val="20"/>
          <w:szCs w:val="20"/>
          <w:color w:val="auto"/>
        </w:rPr>
      </w:pPr>
    </w:p>
    <w:p>
      <w:pPr>
        <w:jc w:val="both"/>
        <w:ind w:firstLine="316"/>
        <w:spacing w:after="0" w:line="296" w:lineRule="auto"/>
        <w:rPr>
          <w:sz w:val="20"/>
          <w:szCs w:val="20"/>
          <w:color w:val="auto"/>
        </w:rPr>
      </w:pPr>
      <w:r>
        <w:rPr>
          <w:rFonts w:ascii="Arial" w:cs="Arial" w:eastAsia="Arial" w:hAnsi="Arial"/>
          <w:sz w:val="15"/>
          <w:szCs w:val="15"/>
          <w:color w:val="auto"/>
        </w:rPr>
        <w:t>We experienced a significant decrease in closed title insurance order volume from refinance transactions in the three and six months ended June 30, 2022 from the corresponding periods in 2021. Closed title insurance volume from purchase transactions slightly decreased in the three and six months ended June 30, 2022 when compared to the corresponding periods in 2021. Total closed order volume was 348,000 in the three months ended June 30, 2022 compared to 568,000 in the three months ended June 30, 2021 and 728,000 in the six months ended June 30, 2022 compared to 1,165,000 in the six months ended June 30, 2021. This represented an overall decrease of 39% and 38% in the three and six months ended June 30, 2022, respectively, from the corresponding periods in</w:t>
      </w:r>
    </w:p>
    <w:p>
      <w:pPr>
        <w:spacing w:after="0" w:line="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2021. The decreases were primarily attributable to higher average mortgage interest rates and the surge in residential refinance transactions in 2020 and the first half of 2021, resulting in a decline in the population of eligible refinance candidates in the three and six months ended June 30, 2022 when compared to the corresponding periods in 2021.</w:t>
      </w:r>
    </w:p>
    <w:p>
      <w:pPr>
        <w:spacing w:after="0" w:line="89" w:lineRule="exact"/>
        <w:rPr>
          <w:sz w:val="20"/>
          <w:szCs w:val="20"/>
          <w:color w:val="auto"/>
        </w:rPr>
      </w:pPr>
    </w:p>
    <w:p>
      <w:pPr>
        <w:jc w:val="both"/>
        <w:ind w:firstLine="316"/>
        <w:spacing w:after="0" w:line="261" w:lineRule="auto"/>
        <w:rPr>
          <w:sz w:val="20"/>
          <w:szCs w:val="20"/>
          <w:color w:val="auto"/>
        </w:rPr>
      </w:pPr>
      <w:r>
        <w:rPr>
          <w:rFonts w:ascii="Arial" w:cs="Arial" w:eastAsia="Arial" w:hAnsi="Arial"/>
          <w:sz w:val="18"/>
          <w:szCs w:val="18"/>
          <w:color w:val="auto"/>
        </w:rPr>
        <w:t>Total opened title insurance order volume decreased in the three and six months ended June 30, 2022 from the corresponding periods in 2021. The decrease was attributable to decreased opened title orders from refinance and purchase transactions.</w:t>
      </w:r>
    </w:p>
    <w:p>
      <w:pPr>
        <w:spacing w:after="0" w:line="76" w:lineRule="exact"/>
        <w:rPr>
          <w:sz w:val="20"/>
          <w:szCs w:val="20"/>
          <w:color w:val="auto"/>
        </w:rPr>
      </w:pPr>
    </w:p>
    <w:p>
      <w:pPr>
        <w:jc w:val="both"/>
        <w:ind w:firstLine="316"/>
        <w:spacing w:after="0" w:line="310" w:lineRule="auto"/>
        <w:rPr>
          <w:sz w:val="20"/>
          <w:szCs w:val="20"/>
          <w:color w:val="auto"/>
        </w:rPr>
      </w:pPr>
      <w:r>
        <w:rPr>
          <w:rFonts w:ascii="Arial" w:cs="Arial" w:eastAsia="Arial" w:hAnsi="Arial"/>
          <w:sz w:val="15"/>
          <w:szCs w:val="15"/>
          <w:color w:val="auto"/>
        </w:rPr>
        <w:t>The average fee per file in our direct operations was $3,557 and $3,210 in the three and six months ended June 30, 2022, respectively, compared to $2,444 and $2,188 in the three and six months ended June 30, 2021, respectively. The increases in average fee per file in the three and six-month periods reflect an increased proportion of purchase transactions relative to total closed orders and an increased commercial market compared to the corresponding periods in 2021. The fee per file tends to change as the mix of refinance and purchase transactions changes, because purchase transactions involve the issuance of both a lender’s policy and an owner’s policy, resulting in higher fees, whereas refinance transactions only require a lender’s policy, resulting in lower fees.</w:t>
      </w:r>
    </w:p>
    <w:p>
      <w:pPr>
        <w:spacing w:after="0" w:line="44" w:lineRule="exact"/>
        <w:rPr>
          <w:sz w:val="20"/>
          <w:szCs w:val="20"/>
          <w:color w:val="auto"/>
        </w:rPr>
      </w:pPr>
    </w:p>
    <w:p>
      <w:pPr>
        <w:jc w:val="both"/>
        <w:ind w:firstLine="316"/>
        <w:spacing w:after="0" w:line="250" w:lineRule="auto"/>
        <w:rPr>
          <w:sz w:val="20"/>
          <w:szCs w:val="20"/>
          <w:color w:val="auto"/>
        </w:rPr>
      </w:pPr>
      <w:r>
        <w:rPr>
          <w:rFonts w:ascii="Arial" w:cs="Arial" w:eastAsia="Arial" w:hAnsi="Arial"/>
          <w:sz w:val="18"/>
          <w:szCs w:val="18"/>
          <w:color w:val="auto"/>
        </w:rPr>
        <w:t>Title premiums from agency operations decreased $53 million, or 4%, in the three months ended June 30, 2022 and decreased $12 million, or 1%, in the six months ended June 30, 2022 from the corresponding periods in 2021. The current trends in the agency business reflect a strong residential purchase environment in many markets throughout the country and a concerted effort by management to increase remittances with existing agents as well as cultivate new relationships with potential new agents.</w:t>
      </w:r>
    </w:p>
    <w:p>
      <w:pPr>
        <w:spacing w:after="0" w:line="85" w:lineRule="exact"/>
        <w:rPr>
          <w:sz w:val="20"/>
          <w:szCs w:val="20"/>
          <w:color w:val="auto"/>
        </w:rPr>
      </w:pPr>
    </w:p>
    <w:p>
      <w:pPr>
        <w:jc w:val="both"/>
        <w:ind w:firstLine="316"/>
        <w:spacing w:after="0" w:line="261" w:lineRule="auto"/>
        <w:rPr>
          <w:sz w:val="20"/>
          <w:szCs w:val="20"/>
          <w:color w:val="auto"/>
        </w:rPr>
      </w:pPr>
      <w:r>
        <w:rPr>
          <w:rFonts w:ascii="Arial" w:cs="Arial" w:eastAsia="Arial" w:hAnsi="Arial"/>
          <w:sz w:val="18"/>
          <w:szCs w:val="18"/>
          <w:color w:val="auto"/>
        </w:rPr>
        <w:t>Escrow, title-related and other fees decreased by $133 million, or 16%, in the three months ended June 30, 2022 and decreased $213 million or 13% in the six months ended June 30, 2022 from the corresponding periods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310" w:lineRule="auto"/>
        <w:rPr>
          <w:sz w:val="20"/>
          <w:szCs w:val="20"/>
          <w:color w:val="auto"/>
        </w:rPr>
      </w:pPr>
      <w:r>
        <w:rPr>
          <w:rFonts w:ascii="Arial" w:cs="Arial" w:eastAsia="Arial" w:hAnsi="Arial"/>
          <w:sz w:val="15"/>
          <w:szCs w:val="15"/>
          <w:color w:val="auto"/>
        </w:rPr>
        <w:t>in 2021. Escrow fees decreased by $80 million, or 21%, in the three months ended June 30, 2022 and $139 million, or 20% in the six months ended June 30, 2022 from the corresponding periods in 2021. The decreases in the three and six-month periods were primarily attributable to the decrease in residential refinance transactions, which have relatively higher escrow fees per transaction than residential purchase and commercial transactions. Other fees, excluding escrow fees, decreased by $53 million, or 11%, in the three months ended June 30, 2022 and decreased by $74 million, or 8% in the six months ended June 30, 2022 from the corresponding periods in 2021. The decreases in Other fees in the three and six-month periods were attributable to various immaterial items.</w:t>
      </w:r>
    </w:p>
    <w:p>
      <w:pPr>
        <w:spacing w:after="0" w:line="44" w:lineRule="exact"/>
        <w:rPr>
          <w:sz w:val="20"/>
          <w:szCs w:val="20"/>
          <w:color w:val="auto"/>
        </w:rPr>
      </w:pPr>
    </w:p>
    <w:p>
      <w:pPr>
        <w:jc w:val="both"/>
        <w:ind w:firstLine="316"/>
        <w:spacing w:after="0" w:line="291" w:lineRule="auto"/>
        <w:rPr>
          <w:sz w:val="20"/>
          <w:szCs w:val="20"/>
          <w:color w:val="auto"/>
        </w:rPr>
      </w:pPr>
      <w:r>
        <w:rPr>
          <w:rFonts w:ascii="Arial" w:cs="Arial" w:eastAsia="Arial" w:hAnsi="Arial"/>
          <w:sz w:val="16"/>
          <w:szCs w:val="16"/>
          <w:color w:val="auto"/>
        </w:rPr>
        <w:t>Interest and investment income levels are primarily a function of securities markets, interest rates and the amount of cash available for investment. Interest and investment income increased $8 million, or 30%, in the three months ended June 30, 2022 and increased $6 million, or 11% in the six months ended June 30, 2022 from the corresponding period in 2021. The increases in the three and six-month periods were primarily attributable to increased income from our tax-deferred property exchange business and higher yields on our short-term investments when compared to the corresponding periods in 2021.</w:t>
      </w:r>
    </w:p>
    <w:p>
      <w:pPr>
        <w:spacing w:after="0" w:line="55" w:lineRule="exact"/>
        <w:rPr>
          <w:sz w:val="20"/>
          <w:szCs w:val="20"/>
          <w:color w:val="auto"/>
        </w:rPr>
      </w:pPr>
    </w:p>
    <w:p>
      <w:pPr>
        <w:jc w:val="both"/>
        <w:ind w:firstLine="316"/>
        <w:spacing w:after="0" w:line="250" w:lineRule="auto"/>
        <w:rPr>
          <w:sz w:val="20"/>
          <w:szCs w:val="20"/>
          <w:color w:val="auto"/>
        </w:rPr>
      </w:pPr>
      <w:r>
        <w:rPr>
          <w:rFonts w:ascii="Arial" w:cs="Arial" w:eastAsia="Arial" w:hAnsi="Arial"/>
          <w:sz w:val="18"/>
          <w:szCs w:val="18"/>
          <w:color w:val="auto"/>
        </w:rPr>
        <w:t>Net recognized losses were $249 million and $30 million in the three months ended June 30, 2022 and 2021, respectively. Net recognized losses were $424 million and $89 million in the six months ended June 30, 2022 and 2021, respectively. The increases in net recognized losses in the three and six months ended June 30, 2022 compared to the corresponding periods in 2021 are primarily attributable to fluctuations in non-cash valuation changes on our equity and preferred security holdings in addition to various other immaterial items.</w:t>
      </w:r>
    </w:p>
    <w:p>
      <w:pPr>
        <w:spacing w:after="0" w:line="85" w:lineRule="exact"/>
        <w:rPr>
          <w:sz w:val="20"/>
          <w:szCs w:val="20"/>
          <w:color w:val="auto"/>
        </w:rPr>
      </w:pPr>
    </w:p>
    <w:p>
      <w:pPr>
        <w:jc w:val="both"/>
        <w:ind w:firstLine="316"/>
        <w:spacing w:after="0" w:line="280" w:lineRule="auto"/>
        <w:rPr>
          <w:sz w:val="20"/>
          <w:szCs w:val="20"/>
          <w:color w:val="auto"/>
        </w:rPr>
      </w:pPr>
      <w:r>
        <w:rPr>
          <w:rFonts w:ascii="Arial" w:cs="Arial" w:eastAsia="Arial" w:hAnsi="Arial"/>
          <w:sz w:val="16"/>
          <w:szCs w:val="16"/>
          <w:color w:val="auto"/>
        </w:rPr>
        <w:t>Personnel costs include base salaries, commissions, benefits, stock-based compensation and bonuses paid to employees, and are one of our most significant operating expenses. Personnel costs decreased $5 million, or 1%, in the three months ended June 30, 2022 and increased $17 million, or 1% in the six months ended June 30, 2022 compared to the corresponding periods in 2021. The decrease in the three-month period is due to lower average head count in the 2022 period partially offset by an increase in the 401(k) match in the 2022 period. The increase in the six-month period was primarily attributable to an increase in the 401(k) employer match as compared to the 2021 period and a higher average head count in the first quarter of 2022 as compared to the first quarter of 2021. Personnel costs as a percentage of total revenues from direct title premiums and escrow, title-related and other fees were 52% and 47% for the three months ended June 30, 2022 and 2021, respectively and 53% and 49% for the six-month periods ended June 30, 2022 and 2021, respectively. Average employee count in the Title segment was 26,283 and 27,348 in the three months ended June 30, 2022 and 2021, respectively, and 26,628 and 26,846 in the six months ended June 30, 2022 and 2021, respectively.</w:t>
      </w:r>
    </w:p>
    <w:p>
      <w:pPr>
        <w:spacing w:after="0" w:line="68" w:lineRule="exact"/>
        <w:rPr>
          <w:sz w:val="20"/>
          <w:szCs w:val="20"/>
          <w:color w:val="auto"/>
        </w:rPr>
      </w:pPr>
    </w:p>
    <w:p>
      <w:pPr>
        <w:jc w:val="both"/>
        <w:ind w:firstLine="316"/>
        <w:spacing w:after="0" w:line="250" w:lineRule="auto"/>
        <w:rPr>
          <w:sz w:val="20"/>
          <w:szCs w:val="20"/>
          <w:color w:val="auto"/>
        </w:rPr>
      </w:pPr>
      <w:r>
        <w:rPr>
          <w:rFonts w:ascii="Arial" w:cs="Arial" w:eastAsia="Arial" w:hAnsi="Arial"/>
          <w:sz w:val="18"/>
          <w:szCs w:val="18"/>
          <w:color w:val="auto"/>
        </w:rPr>
        <w:t>Other operating expenses decreased by $16 million, or 4%, in the three months ended June 30, 2022, and decreased by $24 million, or 3% in the six months ended June 30, 2022 from the corresponding periods in 2021. Other operating expenses as a percentage of total revenue excluding agency premiums, interest and investment income, and recognized gains and losses were 26% and 24% in the three months ended June 30, 2022 and 2021, respectively, and 27% and 26% in the six months ended June 30, 2022 and 2021, respectively.</w:t>
      </w:r>
    </w:p>
    <w:p>
      <w:pPr>
        <w:spacing w:after="0" w:line="85" w:lineRule="exact"/>
        <w:rPr>
          <w:sz w:val="20"/>
          <w:szCs w:val="20"/>
          <w:color w:val="auto"/>
        </w:rPr>
      </w:pPr>
    </w:p>
    <w:p>
      <w:pPr>
        <w:jc w:val="both"/>
        <w:ind w:firstLine="316"/>
        <w:spacing w:after="0" w:line="324" w:lineRule="auto"/>
        <w:rPr>
          <w:sz w:val="20"/>
          <w:szCs w:val="20"/>
          <w:color w:val="auto"/>
        </w:rPr>
      </w:pPr>
      <w:r>
        <w:rPr>
          <w:rFonts w:ascii="Arial" w:cs="Arial" w:eastAsia="Arial" w:hAnsi="Arial"/>
          <w:sz w:val="16"/>
          <w:szCs w:val="16"/>
          <w:color w:val="auto"/>
        </w:rPr>
        <w:t>Agent commissions represent the portion of premiums retained by agents pursuant to the terms of their respective agency contracts. Agent commissions and the resulting percentage of agent premiums that we retain vary according to regional differences in real estate closing practices and state regulations.</w:t>
      </w:r>
    </w:p>
    <w:p>
      <w:pPr>
        <w:spacing w:after="0" w:line="3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illustrates the relationship of agent premiums and agent commissions, which has remained relatively consistent since 2021:</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Six months ended June 30,</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7"/>
        </w:trPr>
        <w:tc>
          <w:tcPr>
            <w:tcW w:w="2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60" w:type="dxa"/>
            <w:vAlign w:val="bottom"/>
            <w:gridSpan w:val="5"/>
          </w:tcPr>
          <w:p>
            <w:pPr>
              <w:ind w:left="540"/>
              <w:spacing w:after="0"/>
              <w:rPr>
                <w:sz w:val="20"/>
                <w:szCs w:val="20"/>
                <w:color w:val="auto"/>
              </w:rPr>
            </w:pPr>
            <w:r>
              <w:rPr>
                <w:rFonts w:ascii="Arial" w:cs="Arial" w:eastAsia="Arial" w:hAnsi="Arial"/>
                <w:sz w:val="14"/>
                <w:szCs w:val="14"/>
                <w:b w:val="1"/>
                <w:bCs w:val="1"/>
                <w:color w:val="auto"/>
              </w:rPr>
              <w:t>(Dollars in millions)</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Agent premiums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2,302</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2,314</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3"/>
        </w:trPr>
        <w:tc>
          <w:tcPr>
            <w:tcW w:w="2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Agent commissions</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w:t>
            </w: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77 %</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w:t>
            </w: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77 %</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1,774</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77 %</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1,777</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77 %</w:t>
            </w:r>
          </w:p>
        </w:tc>
        <w:tc>
          <w:tcPr>
            <w:tcW w:w="0" w:type="dxa"/>
            <w:vAlign w:val="bottom"/>
          </w:tcPr>
          <w:p>
            <w:pPr>
              <w:spacing w:after="0"/>
              <w:rPr>
                <w:sz w:val="1"/>
                <w:szCs w:val="1"/>
                <w:color w:val="auto"/>
              </w:rPr>
            </w:pPr>
          </w:p>
        </w:tc>
      </w:tr>
      <w:tr>
        <w:trPr>
          <w:trHeight w:val="152"/>
        </w:trPr>
        <w:tc>
          <w:tcPr>
            <w:tcW w:w="2000" w:type="dxa"/>
            <w:vAlign w:val="bottom"/>
            <w:shd w:val="clear" w:color="auto" w:fill="CCEEFF"/>
          </w:tcPr>
          <w:p>
            <w:pPr>
              <w:ind w:left="220"/>
              <w:spacing w:after="0" w:line="152" w:lineRule="exact"/>
              <w:rPr>
                <w:sz w:val="20"/>
                <w:szCs w:val="20"/>
                <w:color w:val="auto"/>
              </w:rPr>
            </w:pPr>
            <w:r>
              <w:rPr>
                <w:rFonts w:ascii="Arial" w:cs="Arial" w:eastAsia="Arial" w:hAnsi="Arial"/>
                <w:sz w:val="16"/>
                <w:szCs w:val="16"/>
                <w:color w:val="auto"/>
              </w:rPr>
              <w:t>Net retained agent</w:t>
            </w:r>
          </w:p>
        </w:tc>
        <w:tc>
          <w:tcPr>
            <w:tcW w:w="24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2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2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2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2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2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2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2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17"/>
        </w:trPr>
        <w:tc>
          <w:tcPr>
            <w:tcW w:w="2000" w:type="dxa"/>
            <w:vAlign w:val="bottom"/>
            <w:tcBorders>
              <w:bottom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premiums</w:t>
            </w: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jc w:val="both"/>
        <w:ind w:firstLine="316"/>
        <w:spacing w:after="0" w:line="252" w:lineRule="auto"/>
        <w:rPr>
          <w:sz w:val="20"/>
          <w:szCs w:val="20"/>
          <w:color w:val="auto"/>
        </w:rPr>
      </w:pPr>
      <w:r>
        <w:rPr>
          <w:rFonts w:ascii="Arial" w:cs="Arial" w:eastAsia="Arial" w:hAnsi="Arial"/>
          <w:sz w:val="18"/>
          <w:szCs w:val="18"/>
          <w:color w:val="auto"/>
        </w:rPr>
        <w:t>The claim loss provision for title insurance was $93 million and $97 million for the three months ended June 30, 2022 and 2021, respectively, and $177 million and $178 million for the six months ended June 30, 2022 and 2021, respectively. The provision reflects an average provision rate of 4.5% of title premiums in all</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periods. We continually monitor and evaluate our loss provision level, actual claims paid, and the loss reserve position each quarter. This loss provision rate is set to provide for losses on current year policies, but due to development of prior years and our long claim duration, it periodically includes amounts of estimated adverse or positive development on prior years' policies.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F&amp;G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Overview</w:t>
      </w:r>
    </w:p>
    <w:p>
      <w:pPr>
        <w:spacing w:after="0" w:line="10" w:lineRule="exact"/>
        <w:rPr>
          <w:sz w:val="20"/>
          <w:szCs w:val="20"/>
          <w:color w:val="auto"/>
        </w:rPr>
      </w:pPr>
    </w:p>
    <w:p>
      <w:pPr>
        <w:ind w:right="20" w:firstLine="395"/>
        <w:spacing w:after="0" w:line="244" w:lineRule="auto"/>
        <w:rPr>
          <w:sz w:val="20"/>
          <w:szCs w:val="20"/>
          <w:color w:val="auto"/>
        </w:rPr>
      </w:pPr>
      <w:r>
        <w:rPr>
          <w:rFonts w:ascii="Arial" w:cs="Arial" w:eastAsia="Arial" w:hAnsi="Arial"/>
          <w:sz w:val="16"/>
          <w:szCs w:val="16"/>
          <w:color w:val="auto"/>
        </w:rPr>
        <w:t>Through our wholly owned F&amp;G subsidiary, we have five distribution channels across retail and institutional markets. Our three retail channels include agent-based IMOs, banks and broker dealers. We have deep, long-tenured relationships with our network of leading IMOs and their agents to serve the needs of the middle-income market and develop competitive annuity and life products to align with their evolving needs. Upon FNF’s ownership and F&amp;G’s subsequent rating upgrades in mid-2020, we launched into banks and broker dealers. Further, in 2021, we launched two institutional channels to originate FABN and PRT transactions. The FABN program offers funding agreements to institutional clients by means of capital markets transactions through investment banks. The funding agreements issued under the FABN program are in addition to those issued to the Federal Home Loan Bank of Atlanta ("FHLB"). The PRT solutions business was launched by building an experienced team and then working with brokers and institutional consultants for distribution. These markets leverage our existing team's spread-based capabilities as well as our strategic partnership with Blackstone Inc.</w:t>
      </w:r>
    </w:p>
    <w:p>
      <w:pPr>
        <w:spacing w:after="0" w:line="55" w:lineRule="exact"/>
        <w:rPr>
          <w:sz w:val="20"/>
          <w:szCs w:val="20"/>
          <w:color w:val="auto"/>
        </w:rPr>
      </w:pPr>
    </w:p>
    <w:p>
      <w:pPr>
        <w:ind w:right="60" w:firstLine="395"/>
        <w:spacing w:after="0" w:line="291" w:lineRule="auto"/>
        <w:rPr>
          <w:sz w:val="20"/>
          <w:szCs w:val="20"/>
          <w:color w:val="auto"/>
        </w:rPr>
      </w:pPr>
      <w:r>
        <w:rPr>
          <w:rFonts w:ascii="Arial" w:cs="Arial" w:eastAsia="Arial" w:hAnsi="Arial"/>
          <w:sz w:val="16"/>
          <w:szCs w:val="16"/>
          <w:color w:val="auto"/>
        </w:rPr>
        <w:t>In setting the features and pricing of our flagship FIA products relative to our targeted net margin, we take into account our expectations regarding (1) net investment spread, which is the difference between the net investment income we earn and the sum of the interest credited to policyholders and the cost of hedging our risk on the policies; (2) fees, including surrender charges and rider fees, partly offset by vesting bonuses that we pay our policyholders; and (3) a number of related expenses, including benefits and changes in reserves, acquisition costs, and general and administrative expenses.</w:t>
      </w:r>
    </w:p>
    <w:p>
      <w:pPr>
        <w:spacing w:after="0" w:line="42" w:lineRule="exact"/>
        <w:rPr>
          <w:sz w:val="20"/>
          <w:szCs w:val="20"/>
          <w:color w:val="auto"/>
        </w:rPr>
      </w:pPr>
    </w:p>
    <w:p>
      <w:pPr>
        <w:jc w:val="both"/>
        <w:ind w:firstLine="316"/>
        <w:spacing w:after="0" w:line="281" w:lineRule="auto"/>
        <w:rPr>
          <w:sz w:val="20"/>
          <w:szCs w:val="20"/>
          <w:color w:val="auto"/>
        </w:rPr>
      </w:pPr>
      <w:r>
        <w:rPr>
          <w:rFonts w:ascii="Arial" w:cs="Arial" w:eastAsia="Arial" w:hAnsi="Arial"/>
          <w:sz w:val="16"/>
          <w:szCs w:val="16"/>
          <w:color w:val="auto"/>
        </w:rPr>
        <w:t>On March 14, 2022, our Board of Directors approved a dividend to our shareholders, on a pro rata basis, of 15% of the common stock of F&amp;G (the "F&amp;G Distribution"). We intend to retain control of F&amp;G through our approximate 85% ownership stake. The proposed F&amp;G Distribution is intended to be structured as a taxable dividend to our shareholders and is subject to various conditions including the final approval of our Board of Directors, the effectiveness of appropriate filings with the U.S Securities and Exchange Commission (the "SEC"), and any applicable regulatory approvals. The record date and distribution settlement date will be determined by our Board of Directors prior to the distribution. Upon completion of the F&amp;G Distribution, our shareholders as of the record date are expected to own stock in both publicly traded companies. On July 20, 2022, F&amp;G filed its confidential Form 10 registration statement with the SEC. The proposed F&amp;G Distribution is targeted to be completed early in the fourth quarter of 2022. However, there can be no assurance regarding the timeframe for completing the F&amp;G Distribution or that the conditions of the F&amp;G Distribution will be met.</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Historical Results of Operations</w:t>
      </w:r>
    </w:p>
    <w:p>
      <w:pPr>
        <w:spacing w:after="0" w:line="89" w:lineRule="exact"/>
        <w:rPr>
          <w:sz w:val="20"/>
          <w:szCs w:val="20"/>
          <w:color w:val="auto"/>
        </w:rPr>
      </w:pPr>
    </w:p>
    <w:p>
      <w:pPr>
        <w:jc w:val="both"/>
        <w:ind w:firstLine="434"/>
        <w:spacing w:after="0" w:line="247" w:lineRule="auto"/>
        <w:rPr>
          <w:sz w:val="20"/>
          <w:szCs w:val="20"/>
          <w:color w:val="auto"/>
        </w:rPr>
      </w:pPr>
      <w:r>
        <w:rPr>
          <w:rFonts w:ascii="Arial" w:cs="Arial" w:eastAsia="Arial" w:hAnsi="Arial"/>
          <w:sz w:val="18"/>
          <w:szCs w:val="18"/>
          <w:color w:val="auto"/>
        </w:rPr>
        <w:t>Through our insurance subsidiaries, we issue a broad portfolio of deferred annuities (FIA and fixed rate annuities), indexed universal life insurance (IUL), immediate annuities, funding agreements and PRT solutions. A deferred annuity is a type of contract that accumulates value on a tax deferred basis and typically begins making specified periodic or lump sum payments a certain number of years after the contract has been issued. IUL insurance is a complementary type of contract that accumulates value in a cash value account and provides a payment to designated beneficiaries upon the policyholder’s death. An immediate annuity is a type of contract that begins making specified payments within one annuity period (e.g., one month or one year) and typically makes payments of principal and interest earnings over a period of time.</w:t>
      </w:r>
    </w:p>
    <w:p>
      <w:pPr>
        <w:spacing w:after="0" w:line="64"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Under U.S. GAAP, premium collections for FIAs, fixed rate annuities, immediate annuities and PRT without life contingency, and deposits received for funding agreements are reported in the financial statements as deposit liabilities (i.e., contractholder funds) instead of as sales or revenues. Similarly, cash payments to customers are reported as decreases in the liability for contractholder funds and not as expenses. Sources of revenues for products accounted for as deposit liabilities are net investment income, surrender, cost of insurance and other charges deducted from contractholder funds, and net realized gains (losses) on investments. Components of expenses for products accounted for as deposit liabilities are interest-sensitive and index product benefits (primarily interest credited to account balances or the hedging cost of providing index credits to the policyholder), amortization of VOBA, DAC and DSI, other operating costs and expenses, and income taxes.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firstLine="395"/>
        <w:spacing w:after="0" w:line="281" w:lineRule="auto"/>
        <w:rPr>
          <w:sz w:val="20"/>
          <w:szCs w:val="20"/>
          <w:color w:val="auto"/>
        </w:rPr>
      </w:pPr>
      <w:r>
        <w:rPr>
          <w:rFonts w:ascii="Arial" w:cs="Arial" w:eastAsia="Arial" w:hAnsi="Arial"/>
          <w:sz w:val="16"/>
          <w:szCs w:val="16"/>
          <w:color w:val="auto"/>
        </w:rPr>
        <w:t>F&amp;G hedges certain portions of its exposure to product related equity market risk by entering into derivative transactions. We purchase derivatives consisting predominantly of call options and, to a lesser degree, futures contracts (specifically for FIA contracts) on the equity indices underlying the applicable policy. These derivatives are used to offset the reserve impact of the index credits due to policyholders under the FIA and IUL contracts. The majority of all such call options are one-year options purchased to match the funding requirements underlying the FIA/IUL contracts. We attempt to manage the cost of these purchases through the terms of our FIA/IUL contracts, which permit us to change caps, spread, or participation rates on each policy's annual anniversary, subject to certain guaranteed minimums that must be maintained. The call options and futures contracts are marked to fair value with the change in fair value included as a component of net investment gains (losses). The change in fair value of the call options and futures contracts includes the gains and losses recognized at the expiration of the instruments’ terms or upon early termination and the changes in fair value of open positions.</w:t>
      </w:r>
    </w:p>
    <w:p>
      <w:pPr>
        <w:spacing w:after="0" w:line="40"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Earnings from products accounted for as deposit liabilities are primarily generated from the excess of net investment income earned over the sum of interest credited to policyholders and the cost of hedging our risk on FIA/IUL policies, known as the net investment spread. With respect to FIAs/IULs, the cost of hedging our risk includes the expenses incurred to fund the index credits. Proceeds received upon expiration or early termination of call options purchased to fund annual index credits are recorded as part of the change in fair value of derivatives, and are largely offset by an expense for index credits earned on annuity contractholder fund balances.</w:t>
      </w:r>
    </w:p>
    <w:p>
      <w:pPr>
        <w:spacing w:after="0" w:line="62"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Our profitability depends in large part upon the amount of assets under management (“AUM” — see “</w:t>
      </w:r>
      <w:r>
        <w:rPr>
          <w:rFonts w:ascii="Arial" w:cs="Arial" w:eastAsia="Arial" w:hAnsi="Arial"/>
          <w:sz w:val="16"/>
          <w:szCs w:val="16"/>
          <w:i w:val="1"/>
          <w:iCs w:val="1"/>
          <w:color w:val="auto"/>
        </w:rPr>
        <w:t>Non-GAAP Financial Measures</w:t>
      </w:r>
      <w:r>
        <w:rPr>
          <w:rFonts w:ascii="Arial" w:cs="Arial" w:eastAsia="Arial" w:hAnsi="Arial"/>
          <w:sz w:val="16"/>
          <w:szCs w:val="16"/>
          <w:color w:val="auto"/>
        </w:rPr>
        <w:t>” section), the net investment spreads earned on our average assets under management ("AAUM" — see “</w:t>
      </w:r>
      <w:r>
        <w:rPr>
          <w:rFonts w:ascii="Arial" w:cs="Arial" w:eastAsia="Arial" w:hAnsi="Arial"/>
          <w:sz w:val="16"/>
          <w:szCs w:val="16"/>
          <w:i w:val="1"/>
          <w:iCs w:val="1"/>
          <w:color w:val="auto"/>
        </w:rPr>
        <w:t>Non-GAAP Financial Measures</w:t>
      </w:r>
      <w:r>
        <w:rPr>
          <w:rFonts w:ascii="Arial" w:cs="Arial" w:eastAsia="Arial" w:hAnsi="Arial"/>
          <w:sz w:val="16"/>
          <w:szCs w:val="16"/>
          <w:color w:val="auto"/>
        </w:rPr>
        <w:t>” section), our ability to manage our operating expenses and the costs of acquiring new business (principally commissions to agents and bonuses credited to policyholders). As we grow AUM, earnings generally increase. AUM increases when cash inflows, which include sales, exceed cash outflows. Managing net investment spreads involves the ability to maximize returns on our AUM and minimize risks such as interest rate changes and defaults or impairment of investments. It also includes our ability to manage interest rates credited to policyholders and costs of the options and futures purchased to fund the annual index credits on the FIA/IULs. We analyze returns on AAUM, VOBA, pre- and post-DAC and DSI as well as pre- and post-tax to measure our profitability in terms of growth and improved earnings.</w:t>
      </w:r>
    </w:p>
    <w:p>
      <w:pPr>
        <w:spacing w:after="0" w:line="39"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In June 2021, we established a FABN, pursuant to which FGL Insurance may issue funding agreements to a special purpose statutory trust (the “Trust”) for spread lending purposes. The maximum aggregate principal amount permitted to be outstanding at any one time under the FABN Program is currently $5.0 billion. We also issue funding agreements through FHLB.</w:t>
      </w:r>
    </w:p>
    <w:p>
      <w:pPr>
        <w:spacing w:after="0" w:line="59" w:lineRule="exact"/>
        <w:rPr>
          <w:sz w:val="20"/>
          <w:szCs w:val="20"/>
          <w:color w:val="auto"/>
        </w:rPr>
      </w:pPr>
    </w:p>
    <w:p>
      <w:pPr>
        <w:ind w:right="500" w:firstLine="395"/>
        <w:spacing w:after="0" w:line="362" w:lineRule="auto"/>
        <w:rPr>
          <w:sz w:val="20"/>
          <w:szCs w:val="20"/>
          <w:color w:val="auto"/>
        </w:rPr>
      </w:pPr>
      <w:r>
        <w:rPr>
          <w:rFonts w:ascii="Arial" w:cs="Arial" w:eastAsia="Arial" w:hAnsi="Arial"/>
          <w:sz w:val="15"/>
          <w:szCs w:val="15"/>
          <w:color w:val="auto"/>
        </w:rPr>
        <w:t>In July 2021, we entered the PRT market, pursuant to which FGL Insurance and FGL NY Insurance may issue group annuity contracts to discharge pension plan liabilities from a pension plan sponsor. Life contingent PRT premiums are included in life insurance premiums and other fees below.</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8" w:lineRule="exact"/>
        <w:rPr>
          <w:sz w:val="20"/>
          <w:szCs w:val="20"/>
          <w:color w:val="auto"/>
        </w:rPr>
      </w:pPr>
    </w:p>
    <w:p>
      <w:pPr>
        <w:jc w:val="both"/>
        <w:ind w:firstLine="395"/>
        <w:spacing w:after="0" w:line="279" w:lineRule="auto"/>
        <w:rPr>
          <w:sz w:val="20"/>
          <w:szCs w:val="20"/>
          <w:color w:val="auto"/>
        </w:rPr>
      </w:pPr>
      <w:r>
        <w:rPr>
          <w:rFonts w:ascii="Arial" w:cs="Arial" w:eastAsia="Arial" w:hAnsi="Arial"/>
          <w:sz w:val="16"/>
          <w:szCs w:val="16"/>
          <w:color w:val="auto"/>
        </w:rPr>
        <w:t>In addition to reporting financial results in accordance with GAAP, this document includes non-GAAP financial measures, which the Company believes are useful to help investors better understand its financial performance, competitive position and prospects for the future. Management believes these non-GAAP financial measures may be useful in certain instances to provide additional meaningful comparisons between current results and results in prior operating periods. Our non-GAAP measures may not be comparable to similarly titled measures of other organizations because other organizations may not calculate such non-GAAP measures in the same manner as we do. The presentation of this financial information is not intended to be considered in isolation of or as a substitute for, or superior to, the financial information prepared and presented in accordance with GAAP. By disclosing these non-GAAP financial measures, the Company believes it offers investors a greater understanding of, and an enhanced level of transparency into, the means by which the Company’s management operates the Company. Any non-GAAP measures should be considered in context with the GAAP financial presentation and should not be considered in isolation or as a substitute for GAAP net earnings, net earnings attributable to common shareholders, or any other measures derived in accordance with GAAP as measures of operating performance or liquidity. Reconciliations of these non-GAAP financial measures to the most directly comparable GAAP measures are provided within.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Adjusted Net Earnings Attributable to Common Shareholders</w:t>
      </w:r>
    </w:p>
    <w:p>
      <w:pPr>
        <w:spacing w:after="0" w:line="83"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Adjusted net earnings attributable to common shareholders ("Adjusted net earnings") is a non-GAAP economic measure we use to evaluate financial performance each period. Adjusted net earnings is calculated by adjusting net earnings (loss) from continuing operations attributable to common shareholders to eliminate:</w:t>
      </w:r>
    </w:p>
    <w:p>
      <w:pPr>
        <w:spacing w:after="0" w:line="59" w:lineRule="exact"/>
        <w:rPr>
          <w:sz w:val="20"/>
          <w:szCs w:val="20"/>
          <w:color w:val="auto"/>
        </w:rPr>
      </w:pPr>
    </w:p>
    <w:p>
      <w:pPr>
        <w:jc w:val="both"/>
        <w:ind w:left="320" w:firstLine="1"/>
        <w:spacing w:after="0" w:line="299" w:lineRule="auto"/>
        <w:tabs>
          <w:tab w:leader="none" w:pos="63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Recognized (gains) and losses, net: the impact of net investment gains/losses, including changes in allowance for expected credit losses and other than temporary impairment ("OTTI") losses, recognized in operations; the impact of market volatility on the alternative asset portfolio that differ from management's expectation of returns over the life of these assets; and the effect of changes in fair value of the reinsurance related embedded derivative;</w:t>
      </w:r>
    </w:p>
    <w:p>
      <w:pPr>
        <w:spacing w:after="0" w:line="22" w:lineRule="exact"/>
        <w:rPr>
          <w:rFonts w:ascii="Arial" w:cs="Arial" w:eastAsia="Arial" w:hAnsi="Arial"/>
          <w:sz w:val="16"/>
          <w:szCs w:val="16"/>
          <w:color w:val="auto"/>
        </w:rPr>
      </w:pPr>
    </w:p>
    <w:p>
      <w:pPr>
        <w:ind w:left="320" w:firstLine="1"/>
        <w:spacing w:after="0" w:line="261" w:lineRule="auto"/>
        <w:tabs>
          <w:tab w:leader="none" w:pos="626"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Indexed product related derivatives: the impacts related to changes in the fair value, including both realized and unrealized gains and losses, of index product related derivatives and embedded derivatives, net of hedging cost;</w:t>
      </w:r>
    </w:p>
    <w:p>
      <w:pPr>
        <w:spacing w:after="0" w:line="49" w:lineRule="exact"/>
        <w:rPr>
          <w:rFonts w:ascii="Arial" w:cs="Arial" w:eastAsia="Arial" w:hAnsi="Arial"/>
          <w:sz w:val="18"/>
          <w:szCs w:val="18"/>
          <w:color w:val="auto"/>
        </w:rPr>
      </w:pPr>
    </w:p>
    <w:p>
      <w:pPr>
        <w:ind w:left="320" w:firstLine="1"/>
        <w:spacing w:after="0" w:line="261" w:lineRule="auto"/>
        <w:tabs>
          <w:tab w:leader="none" w:pos="636" w:val="left"/>
        </w:tabs>
        <w:numPr>
          <w:ilvl w:val="0"/>
          <w:numId w:val="12"/>
        </w:numPr>
        <w:rPr>
          <w:rFonts w:ascii="Arial" w:cs="Arial" w:eastAsia="Arial" w:hAnsi="Arial"/>
          <w:sz w:val="18"/>
          <w:szCs w:val="18"/>
          <w:color w:val="auto"/>
        </w:rPr>
      </w:pPr>
      <w:r>
        <w:rPr>
          <w:rFonts w:ascii="Arial" w:cs="Arial" w:eastAsia="Arial" w:hAnsi="Arial"/>
          <w:sz w:val="18"/>
          <w:szCs w:val="18"/>
          <w:color w:val="auto"/>
        </w:rPr>
        <w:t>Purchase price amortization: the impacts related to the amortization of certain intangibles (internally developed software, trademarks and value of distribution asset ("VODA")) recognized as a result of acquisition activities;</w:t>
      </w:r>
    </w:p>
    <w:p>
      <w:pPr>
        <w:spacing w:after="0" w:line="49" w:lineRule="exact"/>
        <w:rPr>
          <w:rFonts w:ascii="Arial" w:cs="Arial" w:eastAsia="Arial" w:hAnsi="Arial"/>
          <w:sz w:val="18"/>
          <w:szCs w:val="18"/>
          <w:color w:val="auto"/>
        </w:rPr>
      </w:pPr>
    </w:p>
    <w:p>
      <w:pPr>
        <w:ind w:left="620" w:hanging="299"/>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Transaction costs: the impacts related to acquisition, integration and merger related items; and</w:t>
      </w:r>
    </w:p>
    <w:p>
      <w:pPr>
        <w:spacing w:after="0" w:line="82" w:lineRule="exact"/>
        <w:rPr>
          <w:rFonts w:ascii="Arial" w:cs="Arial" w:eastAsia="Arial" w:hAnsi="Arial"/>
          <w:sz w:val="18"/>
          <w:szCs w:val="18"/>
          <w:color w:val="auto"/>
        </w:rPr>
      </w:pPr>
    </w:p>
    <w:p>
      <w:pPr>
        <w:jc w:val="both"/>
        <w:ind w:left="320" w:firstLine="1"/>
        <w:spacing w:after="0" w:line="299" w:lineRule="auto"/>
        <w:tabs>
          <w:tab w:leader="none" w:pos="63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Other "non-recurring", "infrequent" or "unusual items": Management excludes certain items determined to be “non-recurring”, “infrequent” or “unusual” from adjusted net earnings when incurred if it is determined these expenses are not a reflection of the core business and when the nature of the item is such that it is not reasonably likely to recur within two years and/or there was not a similar item in the preceding two years.</w:t>
      </w:r>
    </w:p>
    <w:p>
      <w:pPr>
        <w:spacing w:after="0" w:line="23" w:lineRule="exact"/>
        <w:rPr>
          <w:sz w:val="20"/>
          <w:szCs w:val="20"/>
          <w:color w:val="auto"/>
        </w:rPr>
      </w:pPr>
    </w:p>
    <w:p>
      <w:pPr>
        <w:ind w:right="80" w:firstLine="395"/>
        <w:spacing w:after="0" w:line="284" w:lineRule="auto"/>
        <w:rPr>
          <w:sz w:val="20"/>
          <w:szCs w:val="20"/>
          <w:color w:val="auto"/>
        </w:rPr>
      </w:pPr>
      <w:r>
        <w:rPr>
          <w:rFonts w:ascii="Arial" w:cs="Arial" w:eastAsia="Arial" w:hAnsi="Arial"/>
          <w:sz w:val="16"/>
          <w:szCs w:val="16"/>
          <w:color w:val="auto"/>
        </w:rPr>
        <w:t>Adjustments to adjusted net earnings are net of the corresponding impact on amortization of intangibles, as appropriate. The income tax impact related to these adjustments is measured using an effective tax rate, as appropriate by tax jurisdiction. While these adjustments are an integral part of the overall performance of F&amp;G, market conditions and/or the non-operating nature of these items can overshadow the underlying performance of the core business. Accordingly, management considers this to be a useful measure internally and to investors and analysts in analyzing the trends of our operations. Adjusted net earnings should not be used as a substitute for net earnings (loss). However, we believe the adjustments made to net earnings (loss) in order to derive adjusted net earnings provide an understanding of our overall results of operations.</w:t>
      </w:r>
    </w:p>
    <w:p>
      <w:pPr>
        <w:spacing w:after="0" w:line="36"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color w:val="auto"/>
        </w:rPr>
        <w:t>For example, we could have strong operating results in a given period, yet report net income that is materially less, if during such period the fair value of our derivative assets hedging the FIA and IUL index credit obligations decreased due to general equity market conditions but the embedded derivative liability related to the index credit obligation did not decrease in the same proportion as the derivative assets because of non-equity market factors such as interest rate and non-performance credit spread movements. Similarly, we could also have poor operating results in a given period yet show net earnings (loss) that is materially greater, if during such period the fair value of the derivative assets increases but the embedded derivative liability did not increase in the same proportion as the derivative assets. We hedge our index credits with a combination of static and dynamic strategies, which can result in earnings volatility, the effects of which are generally likely to reverse over time. Our management and board of directors review adjusted net earnings and net earnings (loss) as part of their examination of our overall financial results. However, these examples illustrate the significant impact derivative and embedded derivative movements can have on our net earnings (loss). Accordingly, our management performs a review and analysis of these items, as part of their review of our hedging results each period.</w:t>
      </w:r>
    </w:p>
    <w:p>
      <w:pPr>
        <w:spacing w:after="0" w:line="38"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Amounts attributable to the fair value accounting for derivatives hedging the FIA and IUL index credits and the related embedded derivative liability fluctuate from period to period based upon changes in the fair values of call options purchased to fund the annual index credits, changes in the interest rates and non-performance credit spreads used to discount the embedded derivative liability, and the fair value assumptions reflected in the embedded derivative liability. The accounting standards for fair value measurement require the discount rates used in the calculation of the embedded derivative liability to be based on risk-free interest rates adjusted for our non-performance as of the reporting date. The impact of the change in fair values of FIA-related derivatives, embedded derivatives and hedging costs has been removed from net earnings (loss) in calculating adjusted net earnings.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Assets Under Management (“AUM”)</w:t>
      </w:r>
    </w:p>
    <w:p>
      <w:pPr>
        <w:spacing w:after="0" w:line="8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AUM is a non-GAAP measure we use to assess the rate of return on assets available for reinvestment. AUM is calculated as the sum of:</w:t>
      </w:r>
    </w:p>
    <w:p>
      <w:pPr>
        <w:spacing w:after="0" w:line="106" w:lineRule="exact"/>
        <w:rPr>
          <w:sz w:val="20"/>
          <w:szCs w:val="20"/>
          <w:color w:val="auto"/>
        </w:rPr>
      </w:pPr>
    </w:p>
    <w:p>
      <w:pPr>
        <w:ind w:left="540" w:hanging="219"/>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total invested assets at amortized cost, excluding derivatives, net of reinsurance qualifying for risk transfer in accordance with GAAP;</w:t>
      </w:r>
    </w:p>
    <w:p>
      <w:pPr>
        <w:spacing w:after="0" w:line="82" w:lineRule="exact"/>
        <w:rPr>
          <w:rFonts w:ascii="Arial" w:cs="Arial" w:eastAsia="Arial" w:hAnsi="Arial"/>
          <w:sz w:val="18"/>
          <w:szCs w:val="18"/>
          <w:color w:val="auto"/>
        </w:rPr>
      </w:pPr>
    </w:p>
    <w:p>
      <w:pPr>
        <w:ind w:left="580" w:hanging="259"/>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related party loans and investments;</w:t>
      </w:r>
    </w:p>
    <w:p>
      <w:pPr>
        <w:spacing w:after="0" w:line="82" w:lineRule="exact"/>
        <w:rPr>
          <w:rFonts w:ascii="Arial" w:cs="Arial" w:eastAsia="Arial" w:hAnsi="Arial"/>
          <w:sz w:val="18"/>
          <w:szCs w:val="18"/>
          <w:color w:val="auto"/>
        </w:rPr>
      </w:pPr>
    </w:p>
    <w:p>
      <w:pPr>
        <w:ind w:left="620" w:hanging="299"/>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accrued investment income;</w:t>
      </w:r>
    </w:p>
    <w:p>
      <w:pPr>
        <w:spacing w:after="0" w:line="82" w:lineRule="exact"/>
        <w:rPr>
          <w:rFonts w:ascii="Arial" w:cs="Arial" w:eastAsia="Arial" w:hAnsi="Arial"/>
          <w:sz w:val="18"/>
          <w:szCs w:val="18"/>
          <w:color w:val="auto"/>
        </w:rPr>
      </w:pPr>
    </w:p>
    <w:p>
      <w:pPr>
        <w:ind w:left="620" w:hanging="299"/>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net payable/receivable for the purchase/sale of investments, and</w:t>
      </w:r>
    </w:p>
    <w:p>
      <w:pPr>
        <w:spacing w:after="0" w:line="82" w:lineRule="exact"/>
        <w:rPr>
          <w:rFonts w:ascii="Arial" w:cs="Arial" w:eastAsia="Arial" w:hAnsi="Arial"/>
          <w:sz w:val="18"/>
          <w:szCs w:val="18"/>
          <w:color w:val="auto"/>
        </w:rPr>
      </w:pPr>
    </w:p>
    <w:p>
      <w:pPr>
        <w:ind w:left="560" w:hanging="239"/>
        <w:spacing w:after="0"/>
        <w:tabs>
          <w:tab w:leader="none" w:pos="5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cash and cash equivalents, excluding derivative collateral,</w:t>
      </w:r>
    </w:p>
    <w:p>
      <w:pPr>
        <w:spacing w:after="0" w:line="8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at the beginning of the period and the end of each month in the period, divided by the total number of months in the period plus one.</w:t>
      </w:r>
    </w:p>
    <w:p>
      <w:pPr>
        <w:spacing w:after="0" w:line="83"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Management considers this non-GAAP financial measure to be useful internally and to investors and analysts when assessing the rate of return on assets available for reinvestment.</w:t>
      </w:r>
    </w:p>
    <w:p>
      <w:pPr>
        <w:spacing w:after="0" w:line="50"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Average Assets Under Management (“AAUM”)</w:t>
      </w:r>
    </w:p>
    <w:p>
      <w:pPr>
        <w:spacing w:after="0" w:line="83"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AAUM is calculated as AUM at the beginning of the period and the end of each month in the period, divided by the total number of months in the period plus one. Management considers this non-GAAP financial measure to be useful internally and to investors and analysts when assessing rate of return on assets available for reinvestment.</w:t>
      </w:r>
    </w:p>
    <w:p>
      <w:pPr>
        <w:spacing w:after="0" w:line="59"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Yield on AAUM</w:t>
      </w:r>
    </w:p>
    <w:p>
      <w:pPr>
        <w:spacing w:after="0" w:line="83"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Yield on AAUM is calculated by dividing annualized net investment income by AAUM. Management considers this non-GAAP financial measure to be useful internally and to investors and analysts when assessing the level of return earned on AAUM.</w:t>
      </w:r>
    </w:p>
    <w:p>
      <w:pPr>
        <w:spacing w:after="0" w:line="50"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Alternative Investment Yield Adjustment</w:t>
      </w:r>
    </w:p>
    <w:p>
      <w:pPr>
        <w:spacing w:after="0" w:line="83"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Alternative investment yield adjustment is the current period yield impact of market volatility on the alternative investment portfolio that differ from management's expectation of returns over the life of these assets. Management considers this non-GAAP financial measure to be useful internally and to investors and analysts when assessing the level of return earned on AAUM.</w:t>
      </w:r>
    </w:p>
    <w:p>
      <w:pPr>
        <w:spacing w:after="0" w:line="59"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Adjusted Yield on AAUM</w:t>
      </w:r>
    </w:p>
    <w:p>
      <w:pPr>
        <w:spacing w:after="0" w:line="83"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Adjusted Yield on AAUM is calculated by dividing annualized net investment income by AAUM, plus or minus the alternative investment yield adjustment. Management considers this non-GAAP financial measure to be useful internally and to investors and analysts when assessing the level of return earned on AAUM.</w:t>
      </w:r>
    </w:p>
    <w:p>
      <w:pPr>
        <w:spacing w:after="0" w:line="59"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Net Investment Spread</w:t>
      </w:r>
    </w:p>
    <w:p>
      <w:pPr>
        <w:spacing w:after="0" w:line="83"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Net investment spread is the excess of net investment income, adjusted for market volatility on the alternative asset investment portfolio, earned over the sum of interest credited to policyholders and the cost of hedging our risk on indexed product policies. Management considers this non-GAAP financial measure to be useful internally and to investors and analysts when assessing the performance of the Company’s invested assets against the level of investment return provided to policyholders, inclusive of hedging costs.</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Sales</w:t>
      </w:r>
    </w:p>
    <w:p>
      <w:pPr>
        <w:spacing w:after="0" w:line="83"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Annuity, IUL, funding agreement and non-life contingent PRT sales are not derived from any specific GAAP income statement accounts or line items and should not be viewed as a substitute for any financial measure determined in accordance with GAAP. Sales from these products are recorded as deposit liabilities (i.e. contractholder funds) within the Company's unaudited Condensed Consolidated Financial Statements in accordance with GAAP. Life contingent PRT sales are recorded as premiums in revenues within the consolidated financial statements. Management believes that presentation of sales, as measured for management purposes, enhances the understanding of our business and helps depict longer term trends that may not be apparent in the results of operations due to the timing of sales and revenue recognition.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F&amp;G Results of Operations</w:t>
      </w:r>
    </w:p>
    <w:p>
      <w:pPr>
        <w:spacing w:after="0" w:line="8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results of operations of our F&amp;G segment for the three and six months ended June 30, 2022 and June 30, 2021 were as follows (in millions):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920" w:type="dxa"/>
            <w:vAlign w:val="bottom"/>
          </w:tcPr>
          <w:p>
            <w:pPr>
              <w:spacing w:after="0"/>
              <w:rPr>
                <w:sz w:val="16"/>
                <w:szCs w:val="16"/>
                <w:color w:val="auto"/>
              </w:rPr>
            </w:pPr>
          </w:p>
        </w:tc>
        <w:tc>
          <w:tcPr>
            <w:tcW w:w="278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950"/>
              <w:spacing w:after="0"/>
              <w:rPr>
                <w:sz w:val="20"/>
                <w:szCs w:val="20"/>
                <w:color w:val="auto"/>
              </w:rPr>
            </w:pPr>
            <w:r>
              <w:rPr>
                <w:rFonts w:ascii="Arial" w:cs="Arial" w:eastAsia="Arial" w:hAnsi="Arial"/>
                <w:sz w:val="14"/>
                <w:szCs w:val="14"/>
                <w:b w:val="1"/>
                <w:bCs w:val="1"/>
                <w:color w:val="auto"/>
              </w:rPr>
              <w:t>Six months ended</w:t>
            </w:r>
          </w:p>
        </w:tc>
      </w:tr>
      <w:tr>
        <w:trPr>
          <w:trHeight w:val="182"/>
        </w:trPr>
        <w:tc>
          <w:tcPr>
            <w:tcW w:w="49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June 30, 2022</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June 30, 2021</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2022</w:t>
            </w:r>
          </w:p>
        </w:tc>
        <w:tc>
          <w:tcPr>
            <w:tcW w:w="220" w:type="dxa"/>
            <w:vAlign w:val="bottom"/>
          </w:tcPr>
          <w:p>
            <w:pPr>
              <w:spacing w:after="0"/>
              <w:rPr>
                <w:sz w:val="15"/>
                <w:szCs w:val="15"/>
                <w:color w:val="auto"/>
              </w:rPr>
            </w:pPr>
          </w:p>
        </w:tc>
        <w:tc>
          <w:tcPr>
            <w:tcW w:w="1280" w:type="dxa"/>
            <w:vAlign w:val="bottom"/>
          </w:tcPr>
          <w:p>
            <w:pPr>
              <w:jc w:val="right"/>
              <w:ind w:right="270"/>
              <w:spacing w:after="0"/>
              <w:rPr>
                <w:sz w:val="20"/>
                <w:szCs w:val="20"/>
                <w:color w:val="auto"/>
              </w:rPr>
            </w:pPr>
            <w:r>
              <w:rPr>
                <w:rFonts w:ascii="Arial" w:cs="Arial" w:eastAsia="Arial" w:hAnsi="Arial"/>
                <w:sz w:val="14"/>
                <w:szCs w:val="14"/>
                <w:b w:val="1"/>
                <w:bCs w:val="1"/>
                <w:color w:val="auto"/>
              </w:rPr>
              <w:t>June 30, 2021</w:t>
            </w:r>
          </w:p>
        </w:tc>
      </w:tr>
      <w:tr>
        <w:trPr>
          <w:trHeight w:val="165"/>
        </w:trPr>
        <w:tc>
          <w:tcPr>
            <w:tcW w:w="4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14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r>
      <w:tr>
        <w:trPr>
          <w:trHeight w:val="182"/>
        </w:trPr>
        <w:tc>
          <w:tcPr>
            <w:tcW w:w="4920" w:type="dxa"/>
            <w:vAlign w:val="bottom"/>
          </w:tcPr>
          <w:p>
            <w:pPr>
              <w:ind w:left="240"/>
              <w:spacing w:after="0"/>
              <w:rPr>
                <w:sz w:val="20"/>
                <w:szCs w:val="20"/>
                <w:color w:val="auto"/>
              </w:rPr>
            </w:pPr>
            <w:r>
              <w:rPr>
                <w:rFonts w:ascii="Arial" w:cs="Arial" w:eastAsia="Arial" w:hAnsi="Arial"/>
                <w:sz w:val="14"/>
                <w:szCs w:val="14"/>
                <w:color w:val="auto"/>
              </w:rPr>
              <w:t>Life insurance premiums and other fees (a)</w:t>
            </w:r>
          </w:p>
        </w:tc>
        <w:tc>
          <w:tcPr>
            <w:tcW w:w="1140" w:type="dxa"/>
            <w:vAlign w:val="bottom"/>
          </w:tcPr>
          <w:p>
            <w:pPr>
              <w:jc w:val="right"/>
              <w:ind w:right="990"/>
              <w:spacing w:after="0"/>
              <w:rPr>
                <w:sz w:val="20"/>
                <w:szCs w:val="20"/>
                <w:color w:val="auto"/>
              </w:rPr>
            </w:pPr>
            <w:r>
              <w:rPr>
                <w:rFonts w:ascii="Arial" w:cs="Arial" w:eastAsia="Arial" w:hAnsi="Arial"/>
                <w:sz w:val="14"/>
                <w:szCs w:val="14"/>
                <w:color w:val="auto"/>
                <w:w w:val="76"/>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15"/>
                <w:szCs w:val="15"/>
                <w:color w:val="auto"/>
              </w:rPr>
            </w:pPr>
          </w:p>
        </w:tc>
        <w:tc>
          <w:tcPr>
            <w:tcW w:w="1180" w:type="dxa"/>
            <w:vAlign w:val="bottom"/>
          </w:tcPr>
          <w:p>
            <w:pPr>
              <w:jc w:val="right"/>
              <w:ind w:right="1030"/>
              <w:spacing w:after="0"/>
              <w:rPr>
                <w:sz w:val="20"/>
                <w:szCs w:val="20"/>
                <w:color w:val="auto"/>
              </w:rPr>
            </w:pPr>
            <w:r>
              <w:rPr>
                <w:rFonts w:ascii="Arial" w:cs="Arial" w:eastAsia="Arial" w:hAnsi="Arial"/>
                <w:sz w:val="14"/>
                <w:szCs w:val="14"/>
                <w:color w:val="auto"/>
                <w:w w:val="76"/>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62</w:t>
            </w:r>
          </w:p>
        </w:tc>
        <w:tc>
          <w:tcPr>
            <w:tcW w:w="120" w:type="dxa"/>
            <w:vAlign w:val="bottom"/>
          </w:tcPr>
          <w:p>
            <w:pPr>
              <w:spacing w:after="0"/>
              <w:rPr>
                <w:sz w:val="15"/>
                <w:szCs w:val="15"/>
                <w:color w:val="auto"/>
              </w:rPr>
            </w:pPr>
          </w:p>
        </w:tc>
        <w:tc>
          <w:tcPr>
            <w:tcW w:w="2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662</w:t>
            </w:r>
          </w:p>
        </w:tc>
        <w:tc>
          <w:tcPr>
            <w:tcW w:w="120" w:type="dxa"/>
            <w:vAlign w:val="bottom"/>
          </w:tcPr>
          <w:p>
            <w:pPr>
              <w:spacing w:after="0"/>
              <w:rPr>
                <w:sz w:val="15"/>
                <w:szCs w:val="15"/>
                <w:color w:val="auto"/>
              </w:rPr>
            </w:pPr>
          </w:p>
        </w:tc>
        <w:tc>
          <w:tcPr>
            <w:tcW w:w="2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126</w:t>
            </w:r>
          </w:p>
        </w:tc>
      </w:tr>
      <w:tr>
        <w:trPr>
          <w:trHeight w:val="187"/>
        </w:trPr>
        <w:tc>
          <w:tcPr>
            <w:tcW w:w="49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Interest and investment income</w:t>
            </w:r>
          </w:p>
        </w:tc>
        <w:tc>
          <w:tcPr>
            <w:tcW w:w="114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w:t>
            </w: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487</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860</w:t>
            </w:r>
          </w:p>
        </w:tc>
      </w:tr>
      <w:tr>
        <w:trPr>
          <w:trHeight w:val="182"/>
        </w:trPr>
        <w:tc>
          <w:tcPr>
            <w:tcW w:w="492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Recognized gains and losses, net</w:t>
            </w:r>
          </w:p>
        </w:tc>
        <w:tc>
          <w:tcPr>
            <w:tcW w:w="11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1"/>
              </w:rPr>
              <w:t>(426)</w:t>
            </w:r>
          </w:p>
        </w:tc>
        <w:tc>
          <w:tcPr>
            <w:tcW w:w="12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253</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(723)</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355</w:t>
            </w:r>
          </w:p>
        </w:tc>
      </w:tr>
      <w:tr>
        <w:trPr>
          <w:trHeight w:val="180"/>
        </w:trPr>
        <w:tc>
          <w:tcPr>
            <w:tcW w:w="4920" w:type="dxa"/>
            <w:vAlign w:val="bottom"/>
            <w:shd w:val="clear" w:color="auto" w:fill="CCEEFF"/>
          </w:tcPr>
          <w:p>
            <w:pPr>
              <w:ind w:left="340"/>
              <w:spacing w:after="0"/>
              <w:rPr>
                <w:sz w:val="20"/>
                <w:szCs w:val="20"/>
                <w:color w:val="auto"/>
              </w:rPr>
            </w:pPr>
            <w:r>
              <w:rPr>
                <w:rFonts w:ascii="Arial" w:cs="Arial" w:eastAsia="Arial" w:hAnsi="Arial"/>
                <w:sz w:val="14"/>
                <w:szCs w:val="14"/>
                <w:b w:val="1"/>
                <w:bCs w:val="1"/>
                <w:color w:val="auto"/>
              </w:rPr>
              <w:t>Total revenues</w:t>
            </w:r>
          </w:p>
        </w:tc>
        <w:tc>
          <w:tcPr>
            <w:tcW w:w="114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802</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815</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1,341</w:t>
            </w:r>
          </w:p>
        </w:tc>
      </w:tr>
      <w:tr>
        <w:trPr>
          <w:trHeight w:val="184"/>
        </w:trPr>
        <w:tc>
          <w:tcPr>
            <w:tcW w:w="492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5"/>
        </w:trPr>
        <w:tc>
          <w:tcPr>
            <w:tcW w:w="49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Benefits and other changes in policy reserves</w:t>
            </w:r>
          </w:p>
        </w:tc>
        <w:tc>
          <w:tcPr>
            <w:tcW w:w="114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(418)</w:t>
            </w: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575</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549</w:t>
            </w:r>
          </w:p>
        </w:tc>
      </w:tr>
      <w:tr>
        <w:trPr>
          <w:trHeight w:val="182"/>
        </w:trPr>
        <w:tc>
          <w:tcPr>
            <w:tcW w:w="4920" w:type="dxa"/>
            <w:vAlign w:val="bottom"/>
          </w:tcPr>
          <w:p>
            <w:pPr>
              <w:ind w:left="240"/>
              <w:spacing w:after="0"/>
              <w:rPr>
                <w:sz w:val="20"/>
                <w:szCs w:val="20"/>
                <w:color w:val="auto"/>
              </w:rPr>
            </w:pPr>
            <w:r>
              <w:rPr>
                <w:rFonts w:ascii="Arial" w:cs="Arial" w:eastAsia="Arial" w:hAnsi="Arial"/>
                <w:sz w:val="14"/>
                <w:szCs w:val="14"/>
                <w:color w:val="auto"/>
              </w:rPr>
              <w:t>Personnel costs</w:t>
            </w:r>
          </w:p>
        </w:tc>
        <w:tc>
          <w:tcPr>
            <w:tcW w:w="11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64</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61</w:t>
            </w:r>
          </w:p>
        </w:tc>
      </w:tr>
      <w:tr>
        <w:trPr>
          <w:trHeight w:val="187"/>
        </w:trPr>
        <w:tc>
          <w:tcPr>
            <w:tcW w:w="49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Other operating expenses</w:t>
            </w:r>
          </w:p>
        </w:tc>
        <w:tc>
          <w:tcPr>
            <w:tcW w:w="114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r>
      <w:tr>
        <w:trPr>
          <w:trHeight w:val="182"/>
        </w:trPr>
        <w:tc>
          <w:tcPr>
            <w:tcW w:w="4920" w:type="dxa"/>
            <w:vAlign w:val="bottom"/>
          </w:tcPr>
          <w:p>
            <w:pPr>
              <w:ind w:left="240"/>
              <w:spacing w:after="0"/>
              <w:rPr>
                <w:sz w:val="20"/>
                <w:szCs w:val="20"/>
                <w:color w:val="auto"/>
              </w:rPr>
            </w:pPr>
            <w:r>
              <w:rPr>
                <w:rFonts w:ascii="Arial" w:cs="Arial" w:eastAsia="Arial" w:hAnsi="Arial"/>
                <w:sz w:val="14"/>
                <w:szCs w:val="14"/>
                <w:color w:val="auto"/>
              </w:rPr>
              <w:t>Depreciation and amortization</w:t>
            </w:r>
          </w:p>
        </w:tc>
        <w:tc>
          <w:tcPr>
            <w:tcW w:w="11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121</w:t>
            </w: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264</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209</w:t>
            </w:r>
          </w:p>
        </w:tc>
      </w:tr>
      <w:tr>
        <w:trPr>
          <w:trHeight w:val="187"/>
        </w:trPr>
        <w:tc>
          <w:tcPr>
            <w:tcW w:w="49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Interest expense</w:t>
            </w:r>
          </w:p>
        </w:tc>
        <w:tc>
          <w:tcPr>
            <w:tcW w:w="114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r>
      <w:tr>
        <w:trPr>
          <w:trHeight w:val="175"/>
        </w:trPr>
        <w:tc>
          <w:tcPr>
            <w:tcW w:w="4920" w:type="dxa"/>
            <w:vAlign w:val="bottom"/>
            <w:tcBorders>
              <w:bottom w:val="single" w:sz="8" w:color="CCEEFF"/>
            </w:tcBorders>
          </w:tcPr>
          <w:p>
            <w:pPr>
              <w:ind w:left="380"/>
              <w:spacing w:after="0"/>
              <w:rPr>
                <w:sz w:val="20"/>
                <w:szCs w:val="20"/>
                <w:color w:val="auto"/>
              </w:rPr>
            </w:pPr>
            <w:r>
              <w:rPr>
                <w:rFonts w:ascii="Arial" w:cs="Arial" w:eastAsia="Arial" w:hAnsi="Arial"/>
                <w:sz w:val="14"/>
                <w:szCs w:val="14"/>
                <w:b w:val="1"/>
                <w:bCs w:val="1"/>
                <w:color w:val="auto"/>
              </w:rPr>
              <w:t>Total expenses</w:t>
            </w:r>
          </w:p>
        </w:tc>
        <w:tc>
          <w:tcPr>
            <w:tcW w:w="11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1"/>
              </w:rPr>
              <w:t>(223)</w:t>
            </w:r>
          </w:p>
        </w:tc>
        <w:tc>
          <w:tcPr>
            <w:tcW w:w="12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705</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888</w:t>
            </w:r>
          </w:p>
        </w:tc>
      </w:tr>
      <w:tr>
        <w:trPr>
          <w:trHeight w:val="180"/>
        </w:trPr>
        <w:tc>
          <w:tcPr>
            <w:tcW w:w="49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Earnings before income taxes</w:t>
            </w:r>
          </w:p>
        </w:tc>
        <w:tc>
          <w:tcPr>
            <w:tcW w:w="114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290</w:t>
            </w:r>
          </w:p>
        </w:tc>
        <w:tc>
          <w:tcPr>
            <w:tcW w:w="120" w:type="dxa"/>
            <w:vAlign w:val="bottom"/>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631</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453</w:t>
            </w:r>
          </w:p>
        </w:tc>
      </w:tr>
      <w:tr>
        <w:trPr>
          <w:trHeight w:val="175"/>
        </w:trPr>
        <w:tc>
          <w:tcPr>
            <w:tcW w:w="492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Income tax (expense) benefit</w:t>
            </w:r>
          </w:p>
        </w:tc>
        <w:tc>
          <w:tcPr>
            <w:tcW w:w="11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w:t>
            </w:r>
          </w:p>
        </w:tc>
        <w:tc>
          <w:tcPr>
            <w:tcW w:w="12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w:t>
            </w:r>
          </w:p>
        </w:tc>
      </w:tr>
      <w:tr>
        <w:trPr>
          <w:trHeight w:val="180"/>
        </w:trPr>
        <w:tc>
          <w:tcPr>
            <w:tcW w:w="49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earnings from continuing operations</w:t>
            </w:r>
          </w:p>
        </w:tc>
        <w:tc>
          <w:tcPr>
            <w:tcW w:w="1140" w:type="dxa"/>
            <w:vAlign w:val="bottom"/>
            <w:shd w:val="clear" w:color="auto" w:fill="CCEEFF"/>
          </w:tcPr>
          <w:p>
            <w:pPr>
              <w:jc w:val="right"/>
              <w:ind w:right="990"/>
              <w:spacing w:after="0"/>
              <w:rPr>
                <w:sz w:val="20"/>
                <w:szCs w:val="20"/>
                <w:color w:val="auto"/>
              </w:rPr>
            </w:pPr>
            <w:r>
              <w:rPr>
                <w:rFonts w:ascii="Arial" w:cs="Arial" w:eastAsia="Arial" w:hAnsi="Arial"/>
                <w:sz w:val="14"/>
                <w:szCs w:val="14"/>
                <w:color w:val="auto"/>
                <w:w w:val="76"/>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w:t>
            </w: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1030"/>
              <w:spacing w:after="0"/>
              <w:rPr>
                <w:sz w:val="20"/>
                <w:szCs w:val="20"/>
                <w:color w:val="auto"/>
              </w:rPr>
            </w:pPr>
            <w:r>
              <w:rPr>
                <w:rFonts w:ascii="Arial" w:cs="Arial" w:eastAsia="Arial" w:hAnsi="Arial"/>
                <w:sz w:val="14"/>
                <w:szCs w:val="14"/>
                <w:color w:val="auto"/>
                <w:w w:val="76"/>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w:t>
            </w:r>
          </w:p>
        </w:tc>
      </w:tr>
      <w:tr>
        <w:trPr>
          <w:trHeight w:val="182"/>
        </w:trPr>
        <w:tc>
          <w:tcPr>
            <w:tcW w:w="4920" w:type="dxa"/>
            <w:vAlign w:val="bottom"/>
          </w:tcPr>
          <w:p>
            <w:pPr>
              <w:ind w:left="240"/>
              <w:spacing w:after="0"/>
              <w:rPr>
                <w:sz w:val="20"/>
                <w:szCs w:val="20"/>
                <w:color w:val="auto"/>
              </w:rPr>
            </w:pPr>
            <w:r>
              <w:rPr>
                <w:rFonts w:ascii="Arial" w:cs="Arial" w:eastAsia="Arial" w:hAnsi="Arial"/>
                <w:sz w:val="14"/>
                <w:szCs w:val="14"/>
                <w:color w:val="auto"/>
              </w:rPr>
              <w:t>Earnings (loss) from discontinued operations, net of tax</w:t>
            </w:r>
          </w:p>
        </w:tc>
        <w:tc>
          <w:tcPr>
            <w:tcW w:w="1140" w:type="dxa"/>
            <w:vAlign w:val="bottom"/>
          </w:tcPr>
          <w:p>
            <w:pPr>
              <w:spacing w:after="0"/>
              <w:rPr>
                <w:sz w:val="15"/>
                <w:szCs w:val="15"/>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8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186"/>
        </w:trPr>
        <w:tc>
          <w:tcPr>
            <w:tcW w:w="4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earnings</w:t>
            </w:r>
          </w:p>
        </w:tc>
        <w:tc>
          <w:tcPr>
            <w:tcW w:w="1140" w:type="dxa"/>
            <w:vAlign w:val="bottom"/>
            <w:tcBorders>
              <w:top w:val="single" w:sz="8" w:color="auto"/>
              <w:bottom w:val="single" w:sz="8" w:color="auto"/>
            </w:tcBorders>
            <w:shd w:val="clear" w:color="auto" w:fill="CCEEFF"/>
          </w:tcPr>
          <w:p>
            <w:pPr>
              <w:jc w:val="right"/>
              <w:ind w:right="990"/>
              <w:spacing w:after="0"/>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230</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auto"/>
            </w:tcBorders>
            <w:shd w:val="clear" w:color="auto" w:fill="CCEEFF"/>
          </w:tcPr>
          <w:p>
            <w:pPr>
              <w:jc w:val="right"/>
              <w:ind w:right="1030"/>
              <w:spacing w:after="0"/>
              <w:rPr>
                <w:sz w:val="20"/>
                <w:szCs w:val="20"/>
                <w:color w:val="auto"/>
              </w:rPr>
            </w:pPr>
            <w:r>
              <w:rPr>
                <w:rFonts w:ascii="Arial" w:cs="Arial" w:eastAsia="Arial" w:hAnsi="Arial"/>
                <w:sz w:val="14"/>
                <w:szCs w:val="14"/>
                <w:color w:val="auto"/>
                <w:w w:val="76"/>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371</w:t>
            </w:r>
          </w:p>
        </w:tc>
      </w:tr>
    </w:tbl>
    <w:p>
      <w:pPr>
        <w:ind w:left="20"/>
        <w:spacing w:after="0"/>
        <w:rPr>
          <w:sz w:val="20"/>
          <w:szCs w:val="20"/>
          <w:color w:val="auto"/>
        </w:rPr>
      </w:pPr>
      <w:r>
        <w:rPr>
          <w:rFonts w:ascii="Arial" w:cs="Arial" w:eastAsia="Arial" w:hAnsi="Arial"/>
          <w:sz w:val="14"/>
          <w:szCs w:val="14"/>
          <w:color w:val="auto"/>
        </w:rPr>
        <w:t>(a) Included within Escrow, title-related and other fees in Condensed Consolidated Statements of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3119755</wp:posOffset>
            </wp:positionH>
            <wp:positionV relativeFrom="paragraph">
              <wp:posOffset>-93345</wp:posOffset>
            </wp:positionV>
            <wp:extent cx="401891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018915" cy="8255"/>
                    </a:xfrm>
                    <a:prstGeom prst="rect">
                      <a:avLst/>
                    </a:prstGeom>
                    <a:noFill/>
                  </pic:spPr>
                </pic:pic>
              </a:graphicData>
            </a:graphic>
          </wp:anchor>
        </w:drawing>
      </w:r>
    </w:p>
    <w:p>
      <w:pPr>
        <w:spacing w:after="0" w:line="20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The following table summarizes sales by product type of our F&amp;G segment (in millions) (see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xml:space="preserve"> section):</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9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870"/>
              <w:spacing w:after="0"/>
              <w:rPr>
                <w:sz w:val="20"/>
                <w:szCs w:val="20"/>
                <w:color w:val="auto"/>
              </w:rPr>
            </w:pPr>
            <w:r>
              <w:rPr>
                <w:rFonts w:ascii="Arial" w:cs="Arial" w:eastAsia="Arial" w:hAnsi="Arial"/>
                <w:sz w:val="14"/>
                <w:szCs w:val="14"/>
                <w:b w:val="1"/>
                <w:bCs w:val="1"/>
                <w:color w:val="auto"/>
              </w:rPr>
              <w:t>Six months ended</w:t>
            </w:r>
          </w:p>
        </w:tc>
      </w:tr>
      <w:tr>
        <w:trPr>
          <w:trHeight w:val="181"/>
        </w:trPr>
        <w:tc>
          <w:tcPr>
            <w:tcW w:w="4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2022</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June 30, 2021</w:t>
            </w: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2022</w:t>
            </w:r>
          </w:p>
        </w:tc>
        <w:tc>
          <w:tcPr>
            <w:tcW w:w="180" w:type="dxa"/>
            <w:vAlign w:val="bottom"/>
          </w:tcPr>
          <w:p>
            <w:pPr>
              <w:spacing w:after="0"/>
              <w:rPr>
                <w:sz w:val="15"/>
                <w:szCs w:val="15"/>
                <w:color w:val="auto"/>
              </w:rPr>
            </w:pPr>
          </w:p>
        </w:tc>
        <w:tc>
          <w:tcPr>
            <w:tcW w:w="1220" w:type="dxa"/>
            <w:vAlign w:val="bottom"/>
          </w:tcPr>
          <w:p>
            <w:pPr>
              <w:jc w:val="right"/>
              <w:ind w:right="230"/>
              <w:spacing w:after="0"/>
              <w:rPr>
                <w:sz w:val="20"/>
                <w:szCs w:val="20"/>
                <w:color w:val="auto"/>
              </w:rPr>
            </w:pPr>
            <w:r>
              <w:rPr>
                <w:rFonts w:ascii="Arial" w:cs="Arial" w:eastAsia="Arial" w:hAnsi="Arial"/>
                <w:sz w:val="14"/>
                <w:szCs w:val="14"/>
                <w:b w:val="1"/>
                <w:bCs w:val="1"/>
                <w:color w:val="auto"/>
                <w:w w:val="98"/>
              </w:rPr>
              <w:t>June 30, 2021</w:t>
            </w:r>
          </w:p>
        </w:tc>
      </w:tr>
      <w:tr>
        <w:trPr>
          <w:trHeight w:val="176"/>
        </w:trPr>
        <w:tc>
          <w:tcPr>
            <w:tcW w:w="4980" w:type="dxa"/>
            <w:vAlign w:val="bottom"/>
          </w:tcPr>
          <w:p>
            <w:pPr>
              <w:ind w:left="20"/>
              <w:spacing w:after="0"/>
              <w:rPr>
                <w:sz w:val="20"/>
                <w:szCs w:val="20"/>
                <w:color w:val="auto"/>
              </w:rPr>
            </w:pPr>
            <w:r>
              <w:rPr>
                <w:rFonts w:ascii="Arial" w:cs="Arial" w:eastAsia="Arial" w:hAnsi="Arial"/>
                <w:sz w:val="14"/>
                <w:szCs w:val="14"/>
                <w:color w:val="auto"/>
              </w:rPr>
              <w:t>Fixed indexed annuities (FIA)</w:t>
            </w:r>
          </w:p>
        </w:tc>
        <w:tc>
          <w:tcPr>
            <w:tcW w:w="22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1,114</w:t>
            </w:r>
          </w:p>
        </w:tc>
        <w:tc>
          <w:tcPr>
            <w:tcW w:w="100" w:type="dxa"/>
            <w:vAlign w:val="bottom"/>
          </w:tcPr>
          <w:p>
            <w:pPr>
              <w:spacing w:after="0"/>
              <w:rPr>
                <w:sz w:val="15"/>
                <w:szCs w:val="15"/>
                <w:color w:val="auto"/>
              </w:rPr>
            </w:pPr>
          </w:p>
        </w:tc>
        <w:tc>
          <w:tcPr>
            <w:tcW w:w="1180" w:type="dxa"/>
            <w:vAlign w:val="bottom"/>
            <w:tcBorders>
              <w:top w:val="single" w:sz="8" w:color="auto"/>
            </w:tcBorders>
          </w:tcPr>
          <w:p>
            <w:pPr>
              <w:jc w:val="right"/>
              <w:ind w:right="1030"/>
              <w:spacing w:after="0"/>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85"/>
              </w:rPr>
              <w:t>1,135</w:t>
            </w:r>
          </w:p>
        </w:tc>
        <w:tc>
          <w:tcPr>
            <w:tcW w:w="180" w:type="dxa"/>
            <w:vAlign w:val="bottom"/>
          </w:tcPr>
          <w:p>
            <w:pPr>
              <w:spacing w:after="0"/>
              <w:rPr>
                <w:sz w:val="15"/>
                <w:szCs w:val="15"/>
                <w:color w:val="auto"/>
              </w:rPr>
            </w:pPr>
          </w:p>
        </w:tc>
        <w:tc>
          <w:tcPr>
            <w:tcW w:w="20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2,076</w:t>
            </w:r>
          </w:p>
        </w:tc>
        <w:tc>
          <w:tcPr>
            <w:tcW w:w="120" w:type="dxa"/>
            <w:vAlign w:val="bottom"/>
          </w:tcPr>
          <w:p>
            <w:pPr>
              <w:spacing w:after="0"/>
              <w:rPr>
                <w:sz w:val="15"/>
                <w:szCs w:val="15"/>
                <w:color w:val="auto"/>
              </w:rPr>
            </w:pPr>
          </w:p>
        </w:tc>
        <w:tc>
          <w:tcPr>
            <w:tcW w:w="18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2,182</w:t>
            </w:r>
          </w:p>
        </w:tc>
      </w:tr>
      <w:tr>
        <w:trPr>
          <w:trHeight w:val="187"/>
        </w:trPr>
        <w:tc>
          <w:tcPr>
            <w:tcW w:w="4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Fixed rate annuities (MYGA)</w:t>
            </w:r>
          </w:p>
        </w:tc>
        <w:tc>
          <w:tcPr>
            <w:tcW w:w="22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1,087</w:t>
            </w:r>
          </w:p>
        </w:tc>
        <w:tc>
          <w:tcPr>
            <w:tcW w:w="100" w:type="dxa"/>
            <w:vAlign w:val="bottom"/>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512</w:t>
            </w:r>
          </w:p>
        </w:tc>
        <w:tc>
          <w:tcPr>
            <w:tcW w:w="1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1,560</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979</w:t>
            </w:r>
          </w:p>
        </w:tc>
      </w:tr>
      <w:tr>
        <w:trPr>
          <w:trHeight w:val="175"/>
        </w:trPr>
        <w:tc>
          <w:tcPr>
            <w:tcW w:w="4980" w:type="dxa"/>
            <w:vAlign w:val="bottom"/>
          </w:tcPr>
          <w:p>
            <w:pPr>
              <w:ind w:left="20"/>
              <w:spacing w:after="0"/>
              <w:rPr>
                <w:sz w:val="20"/>
                <w:szCs w:val="20"/>
                <w:color w:val="auto"/>
              </w:rPr>
            </w:pPr>
            <w:r>
              <w:rPr>
                <w:rFonts w:ascii="Arial" w:cs="Arial" w:eastAsia="Arial" w:hAnsi="Arial"/>
                <w:sz w:val="14"/>
                <w:szCs w:val="14"/>
                <w:color w:val="auto"/>
              </w:rPr>
              <w:t>Total annuity</w:t>
            </w: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2,201</w:t>
            </w: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w w:val="85"/>
              </w:rPr>
              <w:t>1,647</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3,636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3,161</w:t>
            </w:r>
          </w:p>
        </w:tc>
      </w:tr>
      <w:tr>
        <w:trPr>
          <w:trHeight w:val="187"/>
        </w:trPr>
        <w:tc>
          <w:tcPr>
            <w:tcW w:w="4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Indexed universal life (IUL)</w:t>
            </w: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r>
      <w:tr>
        <w:trPr>
          <w:trHeight w:val="182"/>
        </w:trPr>
        <w:tc>
          <w:tcPr>
            <w:tcW w:w="4980" w:type="dxa"/>
            <w:vAlign w:val="bottom"/>
          </w:tcPr>
          <w:p>
            <w:pPr>
              <w:ind w:left="20"/>
              <w:spacing w:after="0"/>
              <w:rPr>
                <w:sz w:val="20"/>
                <w:szCs w:val="20"/>
                <w:color w:val="auto"/>
              </w:rPr>
            </w:pPr>
            <w:r>
              <w:rPr>
                <w:rFonts w:ascii="Arial" w:cs="Arial" w:eastAsia="Arial" w:hAnsi="Arial"/>
                <w:sz w:val="14"/>
                <w:szCs w:val="14"/>
                <w:color w:val="auto"/>
              </w:rPr>
              <w:t>Funding agreements (FABN/FHLB)</w:t>
            </w: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843</w:t>
            </w: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w w:val="85"/>
              </w:rPr>
              <w:t>1,000</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1,443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1,125</w:t>
            </w:r>
          </w:p>
        </w:tc>
      </w:tr>
      <w:tr>
        <w:trPr>
          <w:trHeight w:val="187"/>
        </w:trPr>
        <w:tc>
          <w:tcPr>
            <w:tcW w:w="4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Pension risk transfer (PRT)</w:t>
            </w:r>
          </w:p>
        </w:tc>
        <w:tc>
          <w:tcPr>
            <w:tcW w:w="2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527</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5"/>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Gross Sales</w:t>
            </w:r>
          </w:p>
        </w:tc>
        <w:tc>
          <w:tcPr>
            <w:tcW w:w="2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3,073</w:t>
            </w:r>
          </w:p>
        </w:tc>
        <w:tc>
          <w:tcPr>
            <w:tcW w:w="100" w:type="dxa"/>
            <w:vAlign w:val="bottom"/>
            <w:tcBorders>
              <w:bottom w:val="single" w:sz="8" w:color="CCEEFF"/>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1030"/>
              <w:spacing w:after="0"/>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5"/>
              </w:rPr>
              <w:t>2,667</w:t>
            </w:r>
          </w:p>
        </w:tc>
        <w:tc>
          <w:tcPr>
            <w:tcW w:w="18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5,662</w:t>
            </w:r>
          </w:p>
        </w:tc>
        <w:tc>
          <w:tcPr>
            <w:tcW w:w="12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4,321</w:t>
            </w:r>
          </w:p>
        </w:tc>
      </w:tr>
      <w:tr>
        <w:trPr>
          <w:trHeight w:val="177"/>
        </w:trPr>
        <w:tc>
          <w:tcPr>
            <w:tcW w:w="4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Sales attributable to flow reinsurance to third parties</w:t>
            </w:r>
          </w:p>
        </w:tc>
        <w:tc>
          <w:tcPr>
            <w:tcW w:w="22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(544)</w:t>
            </w:r>
          </w:p>
        </w:tc>
        <w:tc>
          <w:tcPr>
            <w:tcW w:w="100" w:type="dxa"/>
            <w:vAlign w:val="bottom"/>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w:t>
            </w:r>
          </w:p>
        </w:tc>
        <w:tc>
          <w:tcPr>
            <w:tcW w:w="1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(780)</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(489)</w:t>
            </w:r>
          </w:p>
        </w:tc>
      </w:tr>
      <w:tr>
        <w:trPr>
          <w:trHeight w:val="180"/>
        </w:trPr>
        <w:tc>
          <w:tcPr>
            <w:tcW w:w="4980" w:type="dxa"/>
            <w:vAlign w:val="bottom"/>
          </w:tcPr>
          <w:p>
            <w:pPr>
              <w:ind w:left="20"/>
              <w:spacing w:after="0"/>
              <w:rPr>
                <w:sz w:val="20"/>
                <w:szCs w:val="20"/>
                <w:color w:val="auto"/>
              </w:rPr>
            </w:pPr>
            <w:r>
              <w:rPr>
                <w:rFonts w:ascii="Arial" w:cs="Arial" w:eastAsia="Arial" w:hAnsi="Arial"/>
                <w:sz w:val="14"/>
                <w:szCs w:val="14"/>
                <w:b w:val="1"/>
                <w:bCs w:val="1"/>
                <w:color w:val="auto"/>
              </w:rPr>
              <w:t>Total Net Sales</w:t>
            </w:r>
          </w:p>
        </w:tc>
        <w:tc>
          <w:tcPr>
            <w:tcW w:w="22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2,529</w:t>
            </w:r>
          </w:p>
        </w:tc>
        <w:tc>
          <w:tcPr>
            <w:tcW w:w="100" w:type="dxa"/>
            <w:vAlign w:val="bottom"/>
          </w:tcPr>
          <w:p>
            <w:pPr>
              <w:spacing w:after="0"/>
              <w:rPr>
                <w:sz w:val="15"/>
                <w:szCs w:val="15"/>
                <w:color w:val="auto"/>
              </w:rPr>
            </w:pPr>
          </w:p>
        </w:tc>
        <w:tc>
          <w:tcPr>
            <w:tcW w:w="1180" w:type="dxa"/>
            <w:vAlign w:val="bottom"/>
            <w:tcBorders>
              <w:bottom w:val="single" w:sz="8" w:color="auto"/>
            </w:tcBorders>
          </w:tcPr>
          <w:p>
            <w:pPr>
              <w:jc w:val="right"/>
              <w:ind w:right="1030"/>
              <w:spacing w:after="0"/>
              <w:rPr>
                <w:sz w:val="20"/>
                <w:szCs w:val="20"/>
                <w:color w:val="auto"/>
              </w:rPr>
            </w:pPr>
            <w:r>
              <w:rPr>
                <w:rFonts w:ascii="Arial" w:cs="Arial" w:eastAsia="Arial" w:hAnsi="Arial"/>
                <w:sz w:val="14"/>
                <w:szCs w:val="14"/>
                <w:color w:val="auto"/>
                <w:w w:val="76"/>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5"/>
              </w:rPr>
              <w:t>2,412</w:t>
            </w:r>
          </w:p>
        </w:tc>
        <w:tc>
          <w:tcPr>
            <w:tcW w:w="180" w:type="dxa"/>
            <w:vAlign w:val="bottom"/>
          </w:tcPr>
          <w:p>
            <w:pPr>
              <w:spacing w:after="0"/>
              <w:rPr>
                <w:sz w:val="15"/>
                <w:szCs w:val="15"/>
                <w:color w:val="auto"/>
              </w:rPr>
            </w:pPr>
          </w:p>
        </w:tc>
        <w:tc>
          <w:tcPr>
            <w:tcW w:w="2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4,882</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3,832</w:t>
            </w:r>
          </w:p>
        </w:tc>
      </w:tr>
      <w:tr>
        <w:trPr>
          <w:trHeight w:val="20"/>
        </w:trPr>
        <w:tc>
          <w:tcPr>
            <w:tcW w:w="4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8" w:lineRule="exact"/>
        <w:rPr>
          <w:sz w:val="20"/>
          <w:szCs w:val="20"/>
          <w:color w:val="auto"/>
        </w:rPr>
      </w:pPr>
    </w:p>
    <w:p>
      <w:pPr>
        <w:ind w:left="640" w:hanging="319"/>
        <w:spacing w:after="0" w:line="261" w:lineRule="auto"/>
        <w:tabs>
          <w:tab w:leader="none" w:pos="636"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FIA and MYGA sales increased during the three and six months ended June 30, 2022 compared to the three and six months ended June 30, 2021, and reflect pricing actions taken to align to the macro environment.</w:t>
      </w:r>
    </w:p>
    <w:p>
      <w:pPr>
        <w:spacing w:after="0" w:line="76" w:lineRule="exact"/>
        <w:rPr>
          <w:rFonts w:ascii="Arial" w:cs="Arial" w:eastAsia="Arial" w:hAnsi="Arial"/>
          <w:sz w:val="18"/>
          <w:szCs w:val="18"/>
          <w:color w:val="auto"/>
        </w:rPr>
      </w:pPr>
    </w:p>
    <w:p>
      <w:pPr>
        <w:jc w:val="both"/>
        <w:ind w:left="640" w:hanging="319"/>
        <w:spacing w:after="0" w:line="252" w:lineRule="auto"/>
        <w:tabs>
          <w:tab w:leader="none" w:pos="636"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Funding agreements, reflecting new FABN and FHLB agreements during the three and six months ended June 30, 2022, were lower and higher compared to the three and six months ended June 30, 2021, respectively, reflect F&amp;G's expansion into institutional markets during 2021 and are subject to fluctuation period to period.</w:t>
      </w:r>
    </w:p>
    <w:p>
      <w:pPr>
        <w:spacing w:after="0" w:line="84" w:lineRule="exact"/>
        <w:rPr>
          <w:rFonts w:ascii="Arial" w:cs="Arial" w:eastAsia="Arial" w:hAnsi="Arial"/>
          <w:sz w:val="18"/>
          <w:szCs w:val="18"/>
          <w:color w:val="auto"/>
        </w:rPr>
      </w:pPr>
    </w:p>
    <w:p>
      <w:pPr>
        <w:ind w:left="640" w:hanging="319"/>
        <w:spacing w:after="0" w:line="261" w:lineRule="auto"/>
        <w:tabs>
          <w:tab w:leader="none" w:pos="636"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PRT sales during the three and six months ended June 30, 2022 of $0 million and $527 million, respectively, reflect entrance into the PRT market in the second half of 2021, and are also subject to fluctuation period to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Life insurance premiums and other fees</w:t>
      </w:r>
    </w:p>
    <w:p>
      <w:pPr>
        <w:spacing w:after="0" w:line="246"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Life insurance premiums and other fees primarily reflect premiums on life-contingent PRTs and traditional life insurance products, which are recognized as revenue when due from the policyholder, as well as policy rider fees primarily on FIA policies, the cost of insurance on IUL policies and surrender charges assessed against policy withdrawals in excess of the policyholder's allowable penalty-free amounts (up to 10% of the prior year's value, subject to certain limitations). The following table summarizes the Life insurance premiums and other fees, included within Escrow, title-related and other fees on the Condensed Consolidated Statements of Earnings (in millions), for the three and six months ended June 30, 2022 and June 30, 2021: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980" w:type="dxa"/>
            <w:vAlign w:val="bottom"/>
          </w:tcPr>
          <w:p>
            <w:pPr>
              <w:spacing w:after="0"/>
              <w:rPr>
                <w:sz w:val="16"/>
                <w:szCs w:val="16"/>
                <w:color w:val="auto"/>
              </w:rPr>
            </w:pPr>
          </w:p>
        </w:tc>
        <w:tc>
          <w:tcPr>
            <w:tcW w:w="2800" w:type="dxa"/>
            <w:vAlign w:val="bottom"/>
            <w:tcBorders>
              <w:bottom w:val="single" w:sz="8" w:color="auto"/>
            </w:tcBorders>
            <w:gridSpan w:val="4"/>
          </w:tcPr>
          <w:p>
            <w:pPr>
              <w:ind w:left="92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950"/>
              <w:spacing w:after="0"/>
              <w:rPr>
                <w:sz w:val="20"/>
                <w:szCs w:val="20"/>
                <w:color w:val="auto"/>
              </w:rPr>
            </w:pPr>
            <w:r>
              <w:rPr>
                <w:rFonts w:ascii="Arial" w:cs="Arial" w:eastAsia="Arial" w:hAnsi="Arial"/>
                <w:sz w:val="14"/>
                <w:szCs w:val="14"/>
                <w:b w:val="1"/>
                <w:bCs w:val="1"/>
                <w:color w:val="auto"/>
              </w:rPr>
              <w:t>Six months ended</w:t>
            </w:r>
          </w:p>
        </w:tc>
      </w:tr>
      <w:tr>
        <w:trPr>
          <w:trHeight w:val="182"/>
        </w:trPr>
        <w:tc>
          <w:tcPr>
            <w:tcW w:w="4980" w:type="dxa"/>
            <w:vAlign w:val="bottom"/>
          </w:tcPr>
          <w:p>
            <w:pPr>
              <w:spacing w:after="0"/>
              <w:rPr>
                <w:sz w:val="15"/>
                <w:szCs w:val="15"/>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June 30, 2022</w:t>
            </w:r>
          </w:p>
        </w:tc>
        <w:tc>
          <w:tcPr>
            <w:tcW w:w="2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w w:val="94"/>
              </w:rPr>
              <w:t>June 30, 2021</w:t>
            </w:r>
          </w:p>
        </w:tc>
        <w:tc>
          <w:tcPr>
            <w:tcW w:w="2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rPr>
              <w:t>June 30, 2022</w:t>
            </w: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b w:val="1"/>
                <w:bCs w:val="1"/>
                <w:color w:val="auto"/>
              </w:rPr>
              <w:t>June 30, 2021</w:t>
            </w:r>
          </w:p>
        </w:tc>
      </w:tr>
      <w:tr>
        <w:trPr>
          <w:trHeight w:val="201"/>
        </w:trPr>
        <w:tc>
          <w:tcPr>
            <w:tcW w:w="4980" w:type="dxa"/>
            <w:vAlign w:val="bottom"/>
          </w:tcPr>
          <w:p>
            <w:pPr>
              <w:ind w:left="20"/>
              <w:spacing w:after="0"/>
              <w:rPr>
                <w:sz w:val="20"/>
                <w:szCs w:val="20"/>
                <w:color w:val="auto"/>
              </w:rPr>
            </w:pPr>
            <w:r>
              <w:rPr>
                <w:rFonts w:ascii="Arial" w:cs="Arial" w:eastAsia="Arial" w:hAnsi="Arial"/>
                <w:sz w:val="14"/>
                <w:szCs w:val="14"/>
                <w:color w:val="auto"/>
              </w:rPr>
              <w:t>Life-contingent pension risk transfer premiums</w:t>
            </w:r>
          </w:p>
        </w:tc>
        <w:tc>
          <w:tcPr>
            <w:tcW w:w="1220" w:type="dxa"/>
            <w:vAlign w:val="bottom"/>
          </w:tcPr>
          <w:p>
            <w:pPr>
              <w:jc w:val="right"/>
              <w:ind w:right="1070"/>
              <w:spacing w:after="0"/>
              <w:rPr>
                <w:sz w:val="20"/>
                <w:szCs w:val="20"/>
                <w:color w:val="auto"/>
              </w:rPr>
            </w:pPr>
            <w:r>
              <w:rPr>
                <w:rFonts w:ascii="Arial" w:cs="Arial" w:eastAsia="Arial" w:hAnsi="Arial"/>
                <w:sz w:val="14"/>
                <w:szCs w:val="14"/>
                <w:color w:val="auto"/>
                <w:w w:val="76"/>
              </w:rPr>
              <w:t>$</w:t>
            </w:r>
          </w:p>
        </w:tc>
        <w:tc>
          <w:tcPr>
            <w:tcW w:w="26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1220" w:type="dxa"/>
            <w:vAlign w:val="bottom"/>
          </w:tcPr>
          <w:p>
            <w:pPr>
              <w:ind w:left="20"/>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50"/>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ind w:right="10"/>
              <w:spacing w:after="0"/>
              <w:rPr>
                <w:sz w:val="20"/>
                <w:szCs w:val="20"/>
                <w:color w:val="auto"/>
              </w:rPr>
            </w:pPr>
            <w:r>
              <w:rPr>
                <w:rFonts w:ascii="Arial" w:cs="Arial" w:eastAsia="Arial" w:hAnsi="Arial"/>
                <w:sz w:val="14"/>
                <w:szCs w:val="14"/>
                <w:color w:val="auto"/>
              </w:rPr>
              <w:t>520</w:t>
            </w:r>
          </w:p>
        </w:tc>
        <w:tc>
          <w:tcPr>
            <w:tcW w:w="80" w:type="dxa"/>
            <w:vAlign w:val="bottom"/>
          </w:tcPr>
          <w:p>
            <w:pPr>
              <w:spacing w:after="0"/>
              <w:rPr>
                <w:sz w:val="17"/>
                <w:szCs w:val="17"/>
                <w:color w:val="auto"/>
              </w:rPr>
            </w:pPr>
          </w:p>
        </w:tc>
        <w:tc>
          <w:tcPr>
            <w:tcW w:w="2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4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Traditional life insurance premiums</w:t>
            </w:r>
          </w:p>
        </w:tc>
        <w:tc>
          <w:tcPr>
            <w:tcW w:w="1220" w:type="dxa"/>
            <w:vAlign w:val="bottom"/>
            <w:shd w:val="clear" w:color="auto" w:fill="CCEEFF"/>
          </w:tcPr>
          <w:p>
            <w:pPr>
              <w:spacing w:after="0"/>
              <w:rPr>
                <w:sz w:val="16"/>
                <w:szCs w:val="16"/>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r>
      <w:tr>
        <w:trPr>
          <w:trHeight w:val="182"/>
        </w:trPr>
        <w:tc>
          <w:tcPr>
            <w:tcW w:w="4980" w:type="dxa"/>
            <w:vAlign w:val="bottom"/>
          </w:tcPr>
          <w:p>
            <w:pPr>
              <w:ind w:left="20"/>
              <w:spacing w:after="0"/>
              <w:rPr>
                <w:sz w:val="20"/>
                <w:szCs w:val="20"/>
                <w:color w:val="auto"/>
              </w:rPr>
            </w:pPr>
            <w:r>
              <w:rPr>
                <w:rFonts w:ascii="Arial" w:cs="Arial" w:eastAsia="Arial" w:hAnsi="Arial"/>
                <w:sz w:val="14"/>
                <w:szCs w:val="14"/>
                <w:color w:val="auto"/>
              </w:rPr>
              <w:t>Life-contingent immediate annuity premiums</w:t>
            </w:r>
          </w:p>
        </w:tc>
        <w:tc>
          <w:tcPr>
            <w:tcW w:w="122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jc w:val="right"/>
              <w:ind w:right="10"/>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13"/>
        </w:trPr>
        <w:tc>
          <w:tcPr>
            <w:tcW w:w="4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Surrender charges</w:t>
            </w: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r>
      <w:tr>
        <w:trPr>
          <w:trHeight w:val="182"/>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Policyholder fees and other income</w:t>
            </w:r>
          </w:p>
        </w:tc>
        <w:tc>
          <w:tcPr>
            <w:tcW w:w="12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10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100</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w:t>
            </w:r>
          </w:p>
        </w:tc>
      </w:tr>
      <w:tr>
        <w:trPr>
          <w:trHeight w:val="205"/>
        </w:trPr>
        <w:tc>
          <w:tcPr>
            <w:tcW w:w="4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b w:val="1"/>
                <w:bCs w:val="1"/>
                <w:color w:val="auto"/>
              </w:rPr>
              <w:t>Life insurance premiums and other fees</w:t>
            </w:r>
          </w:p>
        </w:tc>
        <w:tc>
          <w:tcPr>
            <w:tcW w:w="1220" w:type="dxa"/>
            <w:vAlign w:val="bottom"/>
            <w:tcBorders>
              <w:bottom w:val="single" w:sz="8" w:color="auto"/>
            </w:tcBorders>
            <w:shd w:val="clear" w:color="auto" w:fill="CCEEFF"/>
          </w:tcPr>
          <w:p>
            <w:pPr>
              <w:jc w:val="right"/>
              <w:ind w:right="1070"/>
              <w:spacing w:after="0"/>
              <w:rPr>
                <w:sz w:val="20"/>
                <w:szCs w:val="20"/>
                <w:color w:val="auto"/>
              </w:rPr>
            </w:pPr>
            <w:r>
              <w:rPr>
                <w:rFonts w:ascii="Arial" w:cs="Arial" w:eastAsia="Arial" w:hAnsi="Arial"/>
                <w:sz w:val="14"/>
                <w:szCs w:val="14"/>
                <w:color w:val="auto"/>
                <w:w w:val="76"/>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662</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jc w:val="both"/>
        <w:ind w:left="640" w:hanging="319"/>
        <w:spacing w:after="0" w:line="299" w:lineRule="auto"/>
        <w:tabs>
          <w:tab w:leader="none" w:pos="636" w:val="left"/>
        </w:tabs>
        <w:numPr>
          <w:ilvl w:val="0"/>
          <w:numId w:val="15"/>
        </w:numPr>
        <w:rPr>
          <w:rFonts w:ascii="Arial" w:cs="Arial" w:eastAsia="Arial" w:hAnsi="Arial"/>
          <w:sz w:val="16"/>
          <w:szCs w:val="16"/>
          <w:color w:val="auto"/>
        </w:rPr>
      </w:pPr>
      <w:r>
        <w:rPr>
          <w:rFonts w:ascii="Arial" w:cs="Arial" w:eastAsia="Arial" w:hAnsi="Arial"/>
          <w:sz w:val="16"/>
          <w:szCs w:val="16"/>
          <w:color w:val="auto"/>
        </w:rPr>
        <w:t>Life insurance premiums and other fees for the three months ended June 30, 2022 were in line with the three months ended June 30, 2021. Life insurance premiums and other fees for the six months ended June 30, 2022 increased compared to the six months ended June 30, 2021 reflecting entrance into the PRT market in the second half of 2021. As noted above, PRT premiums are subject to fluctuation period to period.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investment income</w:t>
      </w:r>
    </w:p>
    <w:p>
      <w:pPr>
        <w:spacing w:after="0" w:line="16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Below is a summary of interest and investment income (in millions):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300" w:type="dxa"/>
            <w:vAlign w:val="bottom"/>
          </w:tcPr>
          <w:p>
            <w:pPr>
              <w:spacing w:after="0"/>
              <w:rPr>
                <w:sz w:val="16"/>
                <w:szCs w:val="16"/>
                <w:color w:val="auto"/>
              </w:rPr>
            </w:pPr>
          </w:p>
        </w:tc>
        <w:tc>
          <w:tcPr>
            <w:tcW w:w="260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870"/>
              <w:spacing w:after="0"/>
              <w:rPr>
                <w:sz w:val="20"/>
                <w:szCs w:val="20"/>
                <w:color w:val="auto"/>
              </w:rPr>
            </w:pPr>
            <w:r>
              <w:rPr>
                <w:rFonts w:ascii="Arial" w:cs="Arial" w:eastAsia="Arial" w:hAnsi="Arial"/>
                <w:sz w:val="14"/>
                <w:szCs w:val="14"/>
                <w:b w:val="1"/>
                <w:bCs w:val="1"/>
                <w:color w:val="auto"/>
              </w:rPr>
              <w:t>Six months ended</w:t>
            </w:r>
          </w:p>
        </w:tc>
      </w:tr>
      <w:tr>
        <w:trPr>
          <w:trHeight w:val="182"/>
        </w:trPr>
        <w:tc>
          <w:tcPr>
            <w:tcW w:w="53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June 30, 2022</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June 30, 2021</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2022</w:t>
            </w:r>
          </w:p>
        </w:tc>
        <w:tc>
          <w:tcPr>
            <w:tcW w:w="180" w:type="dxa"/>
            <w:vAlign w:val="bottom"/>
          </w:tcPr>
          <w:p>
            <w:pPr>
              <w:spacing w:after="0"/>
              <w:rPr>
                <w:sz w:val="15"/>
                <w:szCs w:val="15"/>
                <w:color w:val="auto"/>
              </w:rPr>
            </w:pPr>
          </w:p>
        </w:tc>
        <w:tc>
          <w:tcPr>
            <w:tcW w:w="1220" w:type="dxa"/>
            <w:vAlign w:val="bottom"/>
          </w:tcPr>
          <w:p>
            <w:pPr>
              <w:jc w:val="right"/>
              <w:ind w:right="230"/>
              <w:spacing w:after="0"/>
              <w:rPr>
                <w:sz w:val="20"/>
                <w:szCs w:val="20"/>
                <w:color w:val="auto"/>
              </w:rPr>
            </w:pPr>
            <w:r>
              <w:rPr>
                <w:rFonts w:ascii="Arial" w:cs="Arial" w:eastAsia="Arial" w:hAnsi="Arial"/>
                <w:sz w:val="14"/>
                <w:szCs w:val="14"/>
                <w:b w:val="1"/>
                <w:bCs w:val="1"/>
                <w:color w:val="auto"/>
                <w:w w:val="98"/>
              </w:rPr>
              <w:t>June 30, 2021</w:t>
            </w:r>
          </w:p>
        </w:tc>
      </w:tr>
      <w:tr>
        <w:trPr>
          <w:trHeight w:val="178"/>
        </w:trPr>
        <w:tc>
          <w:tcPr>
            <w:tcW w:w="5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Fixed maturity securities, available-for-sale</w:t>
            </w:r>
          </w:p>
        </w:tc>
        <w:tc>
          <w:tcPr>
            <w:tcW w:w="1100" w:type="dxa"/>
            <w:vAlign w:val="bottom"/>
            <w:tcBorders>
              <w:top w:val="single" w:sz="8" w:color="auto"/>
            </w:tcBorders>
            <w:shd w:val="clear" w:color="auto" w:fill="CCEEFF"/>
          </w:tcPr>
          <w:p>
            <w:pPr>
              <w:jc w:val="right"/>
              <w:ind w:right="950"/>
              <w:spacing w:after="0"/>
              <w:rPr>
                <w:sz w:val="20"/>
                <w:szCs w:val="20"/>
                <w:color w:val="auto"/>
              </w:rPr>
            </w:pPr>
            <w:r>
              <w:rPr>
                <w:rFonts w:ascii="Arial" w:cs="Arial" w:eastAsia="Arial" w:hAnsi="Arial"/>
                <w:sz w:val="14"/>
                <w:szCs w:val="14"/>
                <w:color w:val="auto"/>
                <w:w w:val="76"/>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5"/>
              </w:rPr>
              <w:t>336</w:t>
            </w:r>
          </w:p>
        </w:tc>
        <w:tc>
          <w:tcPr>
            <w:tcW w:w="10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ind w:right="970"/>
              <w:spacing w:after="0"/>
              <w:rPr>
                <w:sz w:val="20"/>
                <w:szCs w:val="20"/>
                <w:color w:val="auto"/>
              </w:rPr>
            </w:pPr>
            <w:r>
              <w:rPr>
                <w:rFonts w:ascii="Arial" w:cs="Arial" w:eastAsia="Arial" w:hAnsi="Arial"/>
                <w:sz w:val="14"/>
                <w:szCs w:val="14"/>
                <w:color w:val="auto"/>
                <w:w w:val="76"/>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5"/>
              </w:rPr>
              <w:t>311</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655</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603</w:t>
            </w:r>
          </w:p>
        </w:tc>
      </w:tr>
      <w:tr>
        <w:trPr>
          <w:trHeight w:val="182"/>
        </w:trPr>
        <w:tc>
          <w:tcPr>
            <w:tcW w:w="5300" w:type="dxa"/>
            <w:vAlign w:val="bottom"/>
          </w:tcPr>
          <w:p>
            <w:pPr>
              <w:ind w:left="20"/>
              <w:spacing w:after="0"/>
              <w:rPr>
                <w:sz w:val="20"/>
                <w:szCs w:val="20"/>
                <w:color w:val="auto"/>
              </w:rPr>
            </w:pPr>
            <w:r>
              <w:rPr>
                <w:rFonts w:ascii="Arial" w:cs="Arial" w:eastAsia="Arial" w:hAnsi="Arial"/>
                <w:sz w:val="14"/>
                <w:szCs w:val="14"/>
                <w:color w:val="auto"/>
              </w:rPr>
              <w:t>Equity securities</w:t>
            </w:r>
          </w:p>
        </w:tc>
        <w:tc>
          <w:tcPr>
            <w:tcW w:w="11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187"/>
        </w:trPr>
        <w:tc>
          <w:tcPr>
            <w:tcW w:w="5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Mortgage loans</w:t>
            </w:r>
          </w:p>
        </w:tc>
        <w:tc>
          <w:tcPr>
            <w:tcW w:w="110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r>
      <w:tr>
        <w:trPr>
          <w:trHeight w:val="182"/>
        </w:trPr>
        <w:tc>
          <w:tcPr>
            <w:tcW w:w="5300" w:type="dxa"/>
            <w:vAlign w:val="bottom"/>
          </w:tcPr>
          <w:p>
            <w:pPr>
              <w:ind w:left="20"/>
              <w:spacing w:after="0"/>
              <w:rPr>
                <w:sz w:val="20"/>
                <w:szCs w:val="20"/>
                <w:color w:val="auto"/>
              </w:rPr>
            </w:pPr>
            <w:r>
              <w:rPr>
                <w:rFonts w:ascii="Arial" w:cs="Arial" w:eastAsia="Arial" w:hAnsi="Arial"/>
                <w:sz w:val="14"/>
                <w:szCs w:val="14"/>
                <w:color w:val="auto"/>
              </w:rPr>
              <w:t>Limited partnerships</w:t>
            </w:r>
          </w:p>
        </w:tc>
        <w:tc>
          <w:tcPr>
            <w:tcW w:w="11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w w:val="85"/>
              </w:rPr>
              <w:t>164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171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245</w:t>
            </w:r>
          </w:p>
        </w:tc>
      </w:tr>
      <w:tr>
        <w:trPr>
          <w:trHeight w:val="187"/>
        </w:trPr>
        <w:tc>
          <w:tcPr>
            <w:tcW w:w="5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investments</w:t>
            </w:r>
          </w:p>
        </w:tc>
        <w:tc>
          <w:tcPr>
            <w:tcW w:w="110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r>
      <w:tr>
        <w:trPr>
          <w:trHeight w:val="175"/>
        </w:trPr>
        <w:tc>
          <w:tcPr>
            <w:tcW w:w="5300" w:type="dxa"/>
            <w:vAlign w:val="bottom"/>
          </w:tcPr>
          <w:p>
            <w:pPr>
              <w:ind w:left="220"/>
              <w:spacing w:after="0"/>
              <w:rPr>
                <w:sz w:val="20"/>
                <w:szCs w:val="20"/>
                <w:color w:val="auto"/>
              </w:rPr>
            </w:pPr>
            <w:r>
              <w:rPr>
                <w:rFonts w:ascii="Arial" w:cs="Arial" w:eastAsia="Arial" w:hAnsi="Arial"/>
                <w:sz w:val="14"/>
                <w:szCs w:val="14"/>
                <w:color w:val="auto"/>
              </w:rPr>
              <w:t>Gross investment income</w:t>
            </w:r>
          </w:p>
        </w:tc>
        <w:tc>
          <w:tcPr>
            <w:tcW w:w="11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w w:val="85"/>
              </w:rPr>
              <w:t>472</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w w:val="85"/>
              </w:rPr>
              <w:t>528</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968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939</w:t>
            </w:r>
          </w:p>
        </w:tc>
      </w:tr>
      <w:tr>
        <w:trPr>
          <w:trHeight w:val="184"/>
        </w:trPr>
        <w:tc>
          <w:tcPr>
            <w:tcW w:w="5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 expense</w:t>
            </w:r>
          </w:p>
        </w:tc>
        <w:tc>
          <w:tcPr>
            <w:tcW w:w="110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(47)</w:t>
            </w:r>
          </w:p>
        </w:tc>
        <w:tc>
          <w:tcPr>
            <w:tcW w:w="100" w:type="dxa"/>
            <w:vAlign w:val="bottom"/>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(41)</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w:t>
            </w:r>
          </w:p>
        </w:tc>
      </w:tr>
      <w:tr>
        <w:trPr>
          <w:trHeight w:val="180"/>
        </w:trPr>
        <w:tc>
          <w:tcPr>
            <w:tcW w:w="5300" w:type="dxa"/>
            <w:vAlign w:val="bottom"/>
          </w:tcPr>
          <w:p>
            <w:pPr>
              <w:ind w:left="220"/>
              <w:spacing w:after="0"/>
              <w:rPr>
                <w:sz w:val="20"/>
                <w:szCs w:val="20"/>
                <w:color w:val="auto"/>
              </w:rPr>
            </w:pPr>
            <w:r>
              <w:rPr>
                <w:rFonts w:ascii="Arial" w:cs="Arial" w:eastAsia="Arial" w:hAnsi="Arial"/>
                <w:sz w:val="14"/>
                <w:szCs w:val="14"/>
                <w:b w:val="1"/>
                <w:bCs w:val="1"/>
                <w:color w:val="auto"/>
              </w:rPr>
              <w:t>Interest and investment income</w:t>
            </w:r>
          </w:p>
        </w:tc>
        <w:tc>
          <w:tcPr>
            <w:tcW w:w="1100" w:type="dxa"/>
            <w:vAlign w:val="bottom"/>
            <w:tcBorders>
              <w:bottom w:val="single" w:sz="8" w:color="auto"/>
            </w:tcBorders>
          </w:tcPr>
          <w:p>
            <w:pPr>
              <w:jc w:val="right"/>
              <w:ind w:right="950"/>
              <w:spacing w:after="0"/>
              <w:rPr>
                <w:sz w:val="20"/>
                <w:szCs w:val="20"/>
                <w:color w:val="auto"/>
              </w:rPr>
            </w:pPr>
            <w:r>
              <w:rPr>
                <w:rFonts w:ascii="Arial" w:cs="Arial" w:eastAsia="Arial" w:hAnsi="Arial"/>
                <w:sz w:val="14"/>
                <w:szCs w:val="14"/>
                <w:color w:val="auto"/>
                <w:w w:val="76"/>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5"/>
              </w:rPr>
              <w:t>425</w:t>
            </w:r>
          </w:p>
        </w:tc>
        <w:tc>
          <w:tcPr>
            <w:tcW w:w="100" w:type="dxa"/>
            <w:vAlign w:val="bottom"/>
          </w:tcPr>
          <w:p>
            <w:pPr>
              <w:spacing w:after="0"/>
              <w:rPr>
                <w:sz w:val="15"/>
                <w:szCs w:val="15"/>
                <w:color w:val="auto"/>
              </w:rPr>
            </w:pPr>
          </w:p>
        </w:tc>
        <w:tc>
          <w:tcPr>
            <w:tcW w:w="1120" w:type="dxa"/>
            <w:vAlign w:val="bottom"/>
            <w:tcBorders>
              <w:bottom w:val="single" w:sz="8" w:color="auto"/>
            </w:tcBorders>
          </w:tcPr>
          <w:p>
            <w:pPr>
              <w:jc w:val="right"/>
              <w:ind w:right="970"/>
              <w:spacing w:after="0"/>
              <w:rPr>
                <w:sz w:val="20"/>
                <w:szCs w:val="20"/>
                <w:color w:val="auto"/>
              </w:rPr>
            </w:pPr>
            <w:r>
              <w:rPr>
                <w:rFonts w:ascii="Arial" w:cs="Arial" w:eastAsia="Arial" w:hAnsi="Arial"/>
                <w:sz w:val="14"/>
                <w:szCs w:val="14"/>
                <w:color w:val="auto"/>
                <w:w w:val="76"/>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5"/>
              </w:rPr>
              <w:t>487</w:t>
            </w:r>
          </w:p>
        </w:tc>
        <w:tc>
          <w:tcPr>
            <w:tcW w:w="120" w:type="dxa"/>
            <w:vAlign w:val="bottom"/>
          </w:tcPr>
          <w:p>
            <w:pPr>
              <w:spacing w:after="0"/>
              <w:rPr>
                <w:sz w:val="15"/>
                <w:szCs w:val="15"/>
                <w:color w:val="auto"/>
              </w:rPr>
            </w:pPr>
          </w:p>
        </w:tc>
        <w:tc>
          <w:tcPr>
            <w:tcW w:w="2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876</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860</w:t>
            </w:r>
          </w:p>
        </w:tc>
      </w:tr>
      <w:tr>
        <w:trPr>
          <w:trHeight w:val="20"/>
        </w:trPr>
        <w:tc>
          <w:tcPr>
            <w:tcW w:w="53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0"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 xml:space="preserve">Our AAUM, yield on AAUM, alternative investment yield adjustment and adjusted yield on AAUM are summarized as follows (annualized) (dollars in millions) (see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xml:space="preserve"> section):</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20" w:type="dxa"/>
            <w:vAlign w:val="bottom"/>
            <w:gridSpan w:val="5"/>
          </w:tcPr>
          <w:p>
            <w:pPr>
              <w:ind w:left="7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2820" w:type="dxa"/>
            <w:vAlign w:val="bottom"/>
            <w:gridSpan w:val="4"/>
          </w:tcPr>
          <w:p>
            <w:pPr>
              <w:jc w:val="right"/>
              <w:ind w:right="910"/>
              <w:spacing w:after="0"/>
              <w:rPr>
                <w:sz w:val="20"/>
                <w:szCs w:val="20"/>
                <w:color w:val="auto"/>
              </w:rPr>
            </w:pPr>
            <w:r>
              <w:rPr>
                <w:rFonts w:ascii="Arial" w:cs="Arial" w:eastAsia="Arial" w:hAnsi="Arial"/>
                <w:sz w:val="14"/>
                <w:szCs w:val="14"/>
                <w:b w:val="1"/>
                <w:bCs w:val="1"/>
                <w:color w:val="auto"/>
              </w:rPr>
              <w:t>Six months ended</w:t>
            </w:r>
          </w:p>
        </w:tc>
      </w:tr>
      <w:tr>
        <w:trPr>
          <w:trHeight w:val="182"/>
        </w:trPr>
        <w:tc>
          <w:tcPr>
            <w:tcW w:w="50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June 30, 2022</w:t>
            </w:r>
          </w:p>
        </w:tc>
        <w:tc>
          <w:tcPr>
            <w:tcW w:w="2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ind w:right="270"/>
              <w:spacing w:after="0"/>
              <w:rPr>
                <w:sz w:val="20"/>
                <w:szCs w:val="20"/>
                <w:color w:val="auto"/>
              </w:rPr>
            </w:pPr>
            <w:r>
              <w:rPr>
                <w:rFonts w:ascii="Arial" w:cs="Arial" w:eastAsia="Arial" w:hAnsi="Arial"/>
                <w:sz w:val="14"/>
                <w:szCs w:val="14"/>
                <w:b w:val="1"/>
                <w:bCs w:val="1"/>
                <w:color w:val="auto"/>
              </w:rPr>
              <w:t>June 30, 2021</w:t>
            </w: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June 30, 2022</w:t>
            </w:r>
          </w:p>
        </w:tc>
        <w:tc>
          <w:tcPr>
            <w:tcW w:w="2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ind w:right="250"/>
              <w:spacing w:after="0"/>
              <w:rPr>
                <w:sz w:val="20"/>
                <w:szCs w:val="20"/>
                <w:color w:val="auto"/>
              </w:rPr>
            </w:pPr>
            <w:r>
              <w:rPr>
                <w:rFonts w:ascii="Arial" w:cs="Arial" w:eastAsia="Arial" w:hAnsi="Arial"/>
                <w:sz w:val="14"/>
                <w:szCs w:val="14"/>
                <w:b w:val="1"/>
                <w:bCs w:val="1"/>
                <w:color w:val="auto"/>
              </w:rPr>
              <w:t>June 30, 2021</w:t>
            </w:r>
          </w:p>
        </w:tc>
      </w:tr>
      <w:tr>
        <w:trPr>
          <w:trHeight w:val="178"/>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AAUM</w:t>
            </w: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39,306</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30,423</w:t>
            </w: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38,351</w:t>
            </w: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29,722</w:t>
            </w:r>
          </w:p>
        </w:tc>
      </w:tr>
      <w:tr>
        <w:trPr>
          <w:trHeight w:val="182"/>
        </w:trPr>
        <w:tc>
          <w:tcPr>
            <w:tcW w:w="5080" w:type="dxa"/>
            <w:vAlign w:val="bottom"/>
          </w:tcPr>
          <w:p>
            <w:pPr>
              <w:ind w:left="20"/>
              <w:spacing w:after="0"/>
              <w:rPr>
                <w:sz w:val="20"/>
                <w:szCs w:val="20"/>
                <w:color w:val="auto"/>
              </w:rPr>
            </w:pPr>
            <w:r>
              <w:rPr>
                <w:rFonts w:ascii="Arial" w:cs="Arial" w:eastAsia="Arial" w:hAnsi="Arial"/>
                <w:sz w:val="14"/>
                <w:szCs w:val="14"/>
                <w:color w:val="auto"/>
              </w:rPr>
              <w:t>Yield on AAUM (at amortized cost)</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4.32 %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6.40 %</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4.57 %</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5.79 %</w:t>
            </w:r>
          </w:p>
        </w:tc>
      </w:tr>
      <w:tr>
        <w:trPr>
          <w:trHeight w:val="184"/>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Alternative investment yield adjustment</w:t>
            </w:r>
          </w:p>
        </w:tc>
        <w:tc>
          <w:tcPr>
            <w:tcW w:w="20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0.39 %</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0.18 %</w:t>
            </w: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w:t>
            </w:r>
          </w:p>
        </w:tc>
      </w:tr>
      <w:tr>
        <w:trPr>
          <w:trHeight w:val="180"/>
        </w:trPr>
        <w:tc>
          <w:tcPr>
            <w:tcW w:w="5080" w:type="dxa"/>
            <w:vAlign w:val="bottom"/>
          </w:tcPr>
          <w:p>
            <w:pPr>
              <w:ind w:left="20"/>
              <w:spacing w:after="0"/>
              <w:rPr>
                <w:sz w:val="20"/>
                <w:szCs w:val="20"/>
                <w:color w:val="auto"/>
              </w:rPr>
            </w:pPr>
            <w:r>
              <w:rPr>
                <w:rFonts w:ascii="Arial" w:cs="Arial" w:eastAsia="Arial" w:hAnsi="Arial"/>
                <w:sz w:val="14"/>
                <w:szCs w:val="14"/>
                <w:color w:val="auto"/>
              </w:rPr>
              <w:t>Adjusted yield on AAUM</w:t>
            </w: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4.71 %</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4.97 %</w:t>
            </w: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4.75 %</w:t>
            </w: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4.78 %</w:t>
            </w:r>
          </w:p>
        </w:tc>
      </w:tr>
      <w:tr>
        <w:trPr>
          <w:trHeight w:val="20"/>
        </w:trPr>
        <w:tc>
          <w:tcPr>
            <w:tcW w:w="5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40" w:hanging="319"/>
        <w:spacing w:after="0" w:line="261" w:lineRule="auto"/>
        <w:tabs>
          <w:tab w:leader="none" w:pos="636" w:val="left"/>
        </w:tabs>
        <w:numPr>
          <w:ilvl w:val="0"/>
          <w:numId w:val="16"/>
        </w:numPr>
        <w:rPr>
          <w:rFonts w:ascii="Arial" w:cs="Arial" w:eastAsia="Arial" w:hAnsi="Arial"/>
          <w:sz w:val="18"/>
          <w:szCs w:val="18"/>
          <w:color w:val="auto"/>
        </w:rPr>
      </w:pPr>
      <w:r>
        <w:rPr>
          <w:rFonts w:ascii="Arial" w:cs="Arial" w:eastAsia="Arial" w:hAnsi="Arial"/>
          <w:sz w:val="18"/>
          <w:szCs w:val="18"/>
          <w:color w:val="auto"/>
        </w:rPr>
        <w:t>AAUM was higher for the three and six months ended June 30, 2022 compared to the three months ended June 30, 2021, reflecting net new business asset flows, offset by net reinsurance and other activity.</w:t>
      </w:r>
    </w:p>
    <w:p>
      <w:pPr>
        <w:spacing w:after="0" w:line="89" w:lineRule="exact"/>
        <w:rPr>
          <w:rFonts w:ascii="Arial" w:cs="Arial" w:eastAsia="Arial" w:hAnsi="Arial"/>
          <w:sz w:val="18"/>
          <w:szCs w:val="18"/>
          <w:color w:val="auto"/>
        </w:rPr>
      </w:pPr>
    </w:p>
    <w:p>
      <w:pPr>
        <w:jc w:val="both"/>
        <w:ind w:left="640" w:hanging="319"/>
        <w:spacing w:after="0" w:line="252" w:lineRule="auto"/>
        <w:tabs>
          <w:tab w:leader="none" w:pos="636"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Interest and investment income was lower for the three months ended June 30, 2022 compared to the three months ended June 30, 2021 primarily due to $174 million lower returns on alternative investments and $30 million of all other rate impacts, partially offset by $142 million from invested asset growth.</w:t>
      </w:r>
    </w:p>
    <w:p>
      <w:pPr>
        <w:spacing w:after="0" w:line="98" w:lineRule="exact"/>
        <w:rPr>
          <w:rFonts w:ascii="Arial" w:cs="Arial" w:eastAsia="Arial" w:hAnsi="Arial"/>
          <w:sz w:val="18"/>
          <w:szCs w:val="18"/>
          <w:color w:val="auto"/>
        </w:rPr>
      </w:pPr>
    </w:p>
    <w:p>
      <w:pPr>
        <w:ind w:left="640" w:hanging="319"/>
        <w:spacing w:after="0" w:line="324" w:lineRule="auto"/>
        <w:tabs>
          <w:tab w:leader="none" w:pos="636"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Interest and investment income was higher for the six months ended June 30, 2022 compared to the six months ended June 30, 2021 primarily due to $251 million invested asset growth, partially offset by $197 million lower returns on alternative investments and $38 million of all other rate impacts.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Recognized gains and losses, net</w:t>
      </w:r>
    </w:p>
    <w:p>
      <w:pPr>
        <w:spacing w:after="0" w:line="16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Below is a summary of the major components included in recognized gains and losses, net (in millions):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3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5"/>
          </w:tcPr>
          <w:p>
            <w:pPr>
              <w:ind w:left="64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87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2"/>
        </w:trPr>
        <w:tc>
          <w:tcPr>
            <w:tcW w:w="5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2022</w:t>
            </w:r>
          </w:p>
        </w:tc>
        <w:tc>
          <w:tcPr>
            <w:tcW w:w="200" w:type="dxa"/>
            <w:vAlign w:val="bottom"/>
          </w:tcPr>
          <w:p>
            <w:pPr>
              <w:spacing w:after="0"/>
              <w:rPr>
                <w:sz w:val="15"/>
                <w:szCs w:val="15"/>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2021</w:t>
            </w:r>
          </w:p>
        </w:tc>
        <w:tc>
          <w:tcPr>
            <w:tcW w:w="200" w:type="dxa"/>
            <w:vAlign w:val="bottom"/>
          </w:tcPr>
          <w:p>
            <w:pPr>
              <w:spacing w:after="0"/>
              <w:rPr>
                <w:sz w:val="15"/>
                <w:szCs w:val="15"/>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2022</w:t>
            </w:r>
          </w:p>
        </w:tc>
        <w:tc>
          <w:tcPr>
            <w:tcW w:w="180" w:type="dxa"/>
            <w:vAlign w:val="bottom"/>
          </w:tcPr>
          <w:p>
            <w:pPr>
              <w:spacing w:after="0"/>
              <w:rPr>
                <w:sz w:val="15"/>
                <w:szCs w:val="15"/>
                <w:color w:val="auto"/>
              </w:rPr>
            </w:pPr>
          </w:p>
        </w:tc>
        <w:tc>
          <w:tcPr>
            <w:tcW w:w="1220" w:type="dxa"/>
            <w:vAlign w:val="bottom"/>
          </w:tcPr>
          <w:p>
            <w:pPr>
              <w:jc w:val="right"/>
              <w:ind w:right="230"/>
              <w:spacing w:after="0"/>
              <w:rPr>
                <w:sz w:val="20"/>
                <w:szCs w:val="20"/>
                <w:color w:val="auto"/>
              </w:rPr>
            </w:pPr>
            <w:r>
              <w:rPr>
                <w:rFonts w:ascii="Arial" w:cs="Arial" w:eastAsia="Arial" w:hAnsi="Arial"/>
                <w:sz w:val="14"/>
                <w:szCs w:val="14"/>
                <w:b w:val="1"/>
                <w:bCs w:val="1"/>
                <w:color w:val="auto"/>
                <w:w w:val="98"/>
              </w:rPr>
              <w:t>June 30, 2021</w:t>
            </w:r>
          </w:p>
        </w:tc>
        <w:tc>
          <w:tcPr>
            <w:tcW w:w="0" w:type="dxa"/>
            <w:vAlign w:val="bottom"/>
          </w:tcPr>
          <w:p>
            <w:pPr>
              <w:spacing w:after="0"/>
              <w:rPr>
                <w:sz w:val="1"/>
                <w:szCs w:val="1"/>
                <w:color w:val="auto"/>
              </w:rPr>
            </w:pPr>
          </w:p>
        </w:tc>
      </w:tr>
      <w:tr>
        <w:trPr>
          <w:trHeight w:val="112"/>
        </w:trPr>
        <w:tc>
          <w:tcPr>
            <w:tcW w:w="5300" w:type="dxa"/>
            <w:vAlign w:val="bottom"/>
            <w:tcBorders>
              <w:top w:val="single" w:sz="8" w:color="CCEEFF"/>
            </w:tcBorders>
            <w:shd w:val="clear" w:color="auto" w:fill="CCEEFF"/>
          </w:tcPr>
          <w:p>
            <w:pPr>
              <w:ind w:left="20"/>
              <w:spacing w:after="0" w:line="113" w:lineRule="exact"/>
              <w:rPr>
                <w:sz w:val="20"/>
                <w:szCs w:val="20"/>
                <w:color w:val="auto"/>
              </w:rPr>
            </w:pPr>
            <w:r>
              <w:rPr>
                <w:rFonts w:ascii="Arial" w:cs="Arial" w:eastAsia="Arial" w:hAnsi="Arial"/>
                <w:sz w:val="13"/>
                <w:szCs w:val="13"/>
                <w:color w:val="auto"/>
              </w:rPr>
              <w:t>Net realized and unrealized (losses) gains on fixed maturity available-for-sale securities,</w:t>
            </w:r>
          </w:p>
        </w:tc>
        <w:tc>
          <w:tcPr>
            <w:tcW w:w="18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10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vMerge w:val="restart"/>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(269)</w:t>
            </w:r>
          </w:p>
        </w:tc>
        <w:tc>
          <w:tcPr>
            <w:tcW w:w="12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84"/>
        </w:trPr>
        <w:tc>
          <w:tcPr>
            <w:tcW w:w="5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securities and other invested assets</w:t>
            </w:r>
          </w:p>
        </w:tc>
        <w:tc>
          <w:tcPr>
            <w:tcW w:w="180" w:type="dxa"/>
            <w:vAlign w:val="bottom"/>
            <w:vMerge w:val="continue"/>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300" w:type="dxa"/>
            <w:vAlign w:val="bottom"/>
          </w:tcPr>
          <w:p>
            <w:pPr>
              <w:ind w:left="20"/>
              <w:spacing w:after="0"/>
              <w:rPr>
                <w:sz w:val="20"/>
                <w:szCs w:val="20"/>
                <w:color w:val="auto"/>
              </w:rPr>
            </w:pPr>
            <w:r>
              <w:rPr>
                <w:rFonts w:ascii="Arial" w:cs="Arial" w:eastAsia="Arial" w:hAnsi="Arial"/>
                <w:sz w:val="14"/>
                <w:szCs w:val="14"/>
                <w:color w:val="auto"/>
              </w:rPr>
              <w:t>Change in allowance for expected credit losses</w:t>
            </w:r>
          </w:p>
        </w:tc>
        <w:tc>
          <w:tcPr>
            <w:tcW w:w="1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7"/>
        </w:trPr>
        <w:tc>
          <w:tcPr>
            <w:tcW w:w="5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realized and unrealized (losses) gains on certain derivatives instruments</w:t>
            </w: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w:t>
            </w:r>
          </w:p>
        </w:tc>
        <w:tc>
          <w:tcPr>
            <w:tcW w:w="0" w:type="dxa"/>
            <w:vAlign w:val="bottom"/>
          </w:tcPr>
          <w:p>
            <w:pPr>
              <w:spacing w:after="0"/>
              <w:rPr>
                <w:sz w:val="1"/>
                <w:szCs w:val="1"/>
                <w:color w:val="auto"/>
              </w:rPr>
            </w:pPr>
          </w:p>
        </w:tc>
      </w:tr>
      <w:tr>
        <w:trPr>
          <w:trHeight w:val="182"/>
        </w:trPr>
        <w:tc>
          <w:tcPr>
            <w:tcW w:w="5300" w:type="dxa"/>
            <w:vAlign w:val="bottom"/>
          </w:tcPr>
          <w:p>
            <w:pPr>
              <w:ind w:left="20"/>
              <w:spacing w:after="0"/>
              <w:rPr>
                <w:sz w:val="20"/>
                <w:szCs w:val="20"/>
                <w:color w:val="auto"/>
              </w:rPr>
            </w:pPr>
            <w:r>
              <w:rPr>
                <w:rFonts w:ascii="Arial" w:cs="Arial" w:eastAsia="Arial" w:hAnsi="Arial"/>
                <w:sz w:val="14"/>
                <w:szCs w:val="14"/>
                <w:color w:val="auto"/>
              </w:rPr>
              <w:t>Change in fair value of reinsurance related embedded derivatives</w:t>
            </w:r>
          </w:p>
        </w:tc>
        <w:tc>
          <w:tcPr>
            <w:tcW w:w="1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263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5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fair value of other derivatives and embedded derivatives</w:t>
            </w:r>
          </w:p>
        </w:tc>
        <w:tc>
          <w:tcPr>
            <w:tcW w:w="1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0"/>
        </w:trPr>
        <w:tc>
          <w:tcPr>
            <w:tcW w:w="5300" w:type="dxa"/>
            <w:vAlign w:val="bottom"/>
          </w:tcPr>
          <w:p>
            <w:pPr>
              <w:ind w:left="240"/>
              <w:spacing w:after="0"/>
              <w:rPr>
                <w:sz w:val="20"/>
                <w:szCs w:val="20"/>
                <w:color w:val="auto"/>
              </w:rPr>
            </w:pPr>
            <w:r>
              <w:rPr>
                <w:rFonts w:ascii="Arial" w:cs="Arial" w:eastAsia="Arial" w:hAnsi="Arial"/>
                <w:sz w:val="14"/>
                <w:szCs w:val="14"/>
                <w:b w:val="1"/>
                <w:bCs w:val="1"/>
                <w:color w:val="auto"/>
              </w:rPr>
              <w:t>Recognized gains and losses, net</w:t>
            </w:r>
          </w:p>
        </w:tc>
        <w:tc>
          <w:tcPr>
            <w:tcW w:w="1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(426)</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253</w:t>
            </w:r>
          </w:p>
        </w:tc>
        <w:tc>
          <w:tcPr>
            <w:tcW w:w="120" w:type="dxa"/>
            <w:vAlign w:val="bottom"/>
          </w:tcPr>
          <w:p>
            <w:pPr>
              <w:spacing w:after="0"/>
              <w:rPr>
                <w:sz w:val="15"/>
                <w:szCs w:val="15"/>
                <w:color w:val="auto"/>
              </w:rPr>
            </w:pPr>
          </w:p>
        </w:tc>
        <w:tc>
          <w:tcPr>
            <w:tcW w:w="2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(723)</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355</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jc w:val="both"/>
        <w:ind w:left="640" w:hanging="319"/>
        <w:spacing w:after="0" w:line="252" w:lineRule="auto"/>
        <w:tabs>
          <w:tab w:leader="none" w:pos="636" w:val="left"/>
        </w:tabs>
        <w:numPr>
          <w:ilvl w:val="0"/>
          <w:numId w:val="17"/>
        </w:numPr>
        <w:rPr>
          <w:rFonts w:ascii="Arial" w:cs="Arial" w:eastAsia="Arial" w:hAnsi="Arial"/>
          <w:sz w:val="18"/>
          <w:szCs w:val="18"/>
          <w:i w:val="1"/>
          <w:iCs w:val="1"/>
          <w:color w:val="auto"/>
        </w:rPr>
      </w:pPr>
      <w:r>
        <w:rPr>
          <w:rFonts w:ascii="Arial" w:cs="Arial" w:eastAsia="Arial" w:hAnsi="Arial"/>
          <w:sz w:val="18"/>
          <w:szCs w:val="18"/>
          <w:color w:val="auto"/>
        </w:rPr>
        <w:t>For the three and six months ended June 30, 2022, net realized and unrealized gains (losses) on fixed maturity available-for-sale securities, equity securities and other invested assets is primarily the result of mark-to-market losses on our equity securities and realized losses on fixed maturity available-for-sale securities.</w:t>
      </w:r>
    </w:p>
    <w:p>
      <w:pPr>
        <w:spacing w:after="0" w:line="19" w:lineRule="exact"/>
        <w:rPr>
          <w:rFonts w:ascii="Arial" w:cs="Arial" w:eastAsia="Arial" w:hAnsi="Arial"/>
          <w:sz w:val="18"/>
          <w:szCs w:val="18"/>
          <w:i w:val="1"/>
          <w:iCs w:val="1"/>
          <w:color w:val="auto"/>
        </w:rPr>
      </w:pPr>
    </w:p>
    <w:p>
      <w:pPr>
        <w:ind w:left="640" w:hanging="319"/>
        <w:spacing w:after="0" w:line="291" w:lineRule="auto"/>
        <w:tabs>
          <w:tab w:leader="none" w:pos="636" w:val="left"/>
        </w:tabs>
        <w:numPr>
          <w:ilvl w:val="0"/>
          <w:numId w:val="17"/>
        </w:numPr>
        <w:rPr>
          <w:rFonts w:ascii="Arial" w:cs="Arial" w:eastAsia="Arial" w:hAnsi="Arial"/>
          <w:sz w:val="16"/>
          <w:szCs w:val="16"/>
          <w:i w:val="1"/>
          <w:iCs w:val="1"/>
          <w:color w:val="auto"/>
        </w:rPr>
      </w:pPr>
      <w:r>
        <w:rPr>
          <w:rFonts w:ascii="Arial" w:cs="Arial" w:eastAsia="Arial" w:hAnsi="Arial"/>
          <w:sz w:val="16"/>
          <w:szCs w:val="16"/>
          <w:color w:val="auto"/>
        </w:rPr>
        <w:t>For the three and six months ended June 30, 2021, net realized and unrealized gains (losses) on fixed maturity available-for-sale securities, equity securities and other invested assets is primarily the result of realized gains on fixed maturity available-for-sale securities.</w:t>
      </w:r>
    </w:p>
    <w:p>
      <w:pPr>
        <w:spacing w:after="0" w:line="1" w:lineRule="exact"/>
        <w:rPr>
          <w:rFonts w:ascii="Arial" w:cs="Arial" w:eastAsia="Arial" w:hAnsi="Arial"/>
          <w:sz w:val="16"/>
          <w:szCs w:val="16"/>
          <w:i w:val="1"/>
          <w:iCs w:val="1"/>
          <w:color w:val="auto"/>
        </w:rPr>
      </w:pPr>
    </w:p>
    <w:p>
      <w:pPr>
        <w:jc w:val="both"/>
        <w:ind w:left="640" w:hanging="319"/>
        <w:spacing w:after="0" w:line="252" w:lineRule="auto"/>
        <w:tabs>
          <w:tab w:leader="none" w:pos="636"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 all periods, net realized and unrealized gains (losses) on certain derivative instruments primarily relate to the net realized and unrealized gains (losses) on options and futures used to hedge FIA and IUL products, including gains on option and futures expiration. See the table below for primary drivers of gains (losses) on certain derivatives.</w:t>
      </w:r>
    </w:p>
    <w:p>
      <w:pPr>
        <w:spacing w:after="0" w:line="19" w:lineRule="exact"/>
        <w:rPr>
          <w:rFonts w:ascii="Arial" w:cs="Arial" w:eastAsia="Arial" w:hAnsi="Arial"/>
          <w:sz w:val="18"/>
          <w:szCs w:val="18"/>
          <w:color w:val="auto"/>
        </w:rPr>
      </w:pPr>
    </w:p>
    <w:p>
      <w:pPr>
        <w:ind w:left="640" w:hanging="319"/>
        <w:spacing w:after="0" w:line="261" w:lineRule="auto"/>
        <w:tabs>
          <w:tab w:leader="none" w:pos="636"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fair value of reinsurance related embedded derivative is based on the change in fair value of the underlying assets held in the funds withheld ("FWH") portfolio.</w:t>
      </w:r>
    </w:p>
    <w:p>
      <w:pPr>
        <w:spacing w:after="0" w:line="89" w:lineRule="exact"/>
        <w:rPr>
          <w:sz w:val="20"/>
          <w:szCs w:val="20"/>
          <w:color w:val="auto"/>
        </w:rPr>
      </w:pPr>
    </w:p>
    <w:p>
      <w:pPr>
        <w:ind w:right="20" w:firstLine="395"/>
        <w:spacing w:after="0" w:line="324" w:lineRule="auto"/>
        <w:rPr>
          <w:sz w:val="20"/>
          <w:szCs w:val="20"/>
          <w:color w:val="auto"/>
        </w:rPr>
      </w:pPr>
      <w:r>
        <w:rPr>
          <w:rFonts w:ascii="Arial" w:cs="Arial" w:eastAsia="Arial" w:hAnsi="Arial"/>
          <w:sz w:val="16"/>
          <w:szCs w:val="16"/>
          <w:color w:val="auto"/>
        </w:rPr>
        <w:t>We utilize a combination of static (call options) and dynamic (long futures contracts) instruments in our hedging strategy. A substantial portion of the call options and futures contracts are based upon the S&amp;P 500 Index with the remainder based upon other equity, bond and gold market indices.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firstLine="395"/>
        <w:spacing w:after="0" w:line="261" w:lineRule="auto"/>
        <w:rPr>
          <w:sz w:val="20"/>
          <w:szCs w:val="20"/>
          <w:color w:val="auto"/>
        </w:rPr>
      </w:pPr>
      <w:r>
        <w:rPr>
          <w:rFonts w:ascii="Arial" w:cs="Arial" w:eastAsia="Arial" w:hAnsi="Arial"/>
          <w:sz w:val="18"/>
          <w:szCs w:val="18"/>
          <w:color w:val="auto"/>
        </w:rPr>
        <w:t>The components of the realized and unrealized gains (losses) on certain derivative instruments hedging our indexed annuity and universal life products are summarized in the table below (dollars in millions):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9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5"/>
          </w:tcPr>
          <w:p>
            <w:pPr>
              <w:ind w:left="76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930"/>
              <w:spacing w:after="0"/>
              <w:rPr>
                <w:sz w:val="20"/>
                <w:szCs w:val="20"/>
                <w:color w:val="auto"/>
              </w:rPr>
            </w:pPr>
            <w:r>
              <w:rPr>
                <w:rFonts w:ascii="Arial" w:cs="Arial" w:eastAsia="Arial" w:hAnsi="Arial"/>
                <w:sz w:val="14"/>
                <w:szCs w:val="14"/>
                <w:b w:val="1"/>
                <w:bCs w:val="1"/>
                <w:color w:val="auto"/>
              </w:rPr>
              <w:t>Six months ended</w:t>
            </w:r>
          </w:p>
        </w:tc>
      </w:tr>
      <w:tr>
        <w:trPr>
          <w:trHeight w:val="182"/>
        </w:trPr>
        <w:tc>
          <w:tcPr>
            <w:tcW w:w="4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2022</w:t>
            </w:r>
          </w:p>
        </w:tc>
        <w:tc>
          <w:tcPr>
            <w:tcW w:w="220" w:type="dxa"/>
            <w:vAlign w:val="bottom"/>
          </w:tcPr>
          <w:p>
            <w:pPr>
              <w:spacing w:after="0"/>
              <w:rPr>
                <w:sz w:val="15"/>
                <w:szCs w:val="15"/>
                <w:color w:val="auto"/>
              </w:rPr>
            </w:pP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2021</w:t>
            </w:r>
          </w:p>
        </w:tc>
        <w:tc>
          <w:tcPr>
            <w:tcW w:w="220" w:type="dxa"/>
            <w:vAlign w:val="bottom"/>
          </w:tcPr>
          <w:p>
            <w:pPr>
              <w:spacing w:after="0"/>
              <w:rPr>
                <w:sz w:val="15"/>
                <w:szCs w:val="15"/>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2022</w:t>
            </w:r>
          </w:p>
        </w:tc>
        <w:tc>
          <w:tcPr>
            <w:tcW w:w="200" w:type="dxa"/>
            <w:vAlign w:val="bottom"/>
          </w:tcPr>
          <w:p>
            <w:pPr>
              <w:spacing w:after="0"/>
              <w:rPr>
                <w:sz w:val="15"/>
                <w:szCs w:val="15"/>
                <w:color w:val="auto"/>
              </w:rPr>
            </w:pPr>
          </w:p>
        </w:tc>
        <w:tc>
          <w:tcPr>
            <w:tcW w:w="1260" w:type="dxa"/>
            <w:vAlign w:val="bottom"/>
          </w:tcPr>
          <w:p>
            <w:pPr>
              <w:jc w:val="right"/>
              <w:ind w:right="250"/>
              <w:spacing w:after="0"/>
              <w:rPr>
                <w:sz w:val="20"/>
                <w:szCs w:val="20"/>
                <w:color w:val="auto"/>
              </w:rPr>
            </w:pPr>
            <w:r>
              <w:rPr>
                <w:rFonts w:ascii="Arial" w:cs="Arial" w:eastAsia="Arial" w:hAnsi="Arial"/>
                <w:sz w:val="14"/>
                <w:szCs w:val="14"/>
                <w:b w:val="1"/>
                <w:bCs w:val="1"/>
                <w:color w:val="auto"/>
              </w:rPr>
              <w:t>June 30, 2021</w:t>
            </w:r>
          </w:p>
        </w:tc>
      </w:tr>
      <w:tr>
        <w:trPr>
          <w:trHeight w:val="165"/>
        </w:trPr>
        <w:tc>
          <w:tcPr>
            <w:tcW w:w="4900" w:type="dxa"/>
            <w:vAlign w:val="bottom"/>
            <w:tcBorders>
              <w:top w:val="single" w:sz="8" w:color="CCEEFF"/>
            </w:tcBorders>
            <w:shd w:val="clear" w:color="auto" w:fill="CCEEFF"/>
          </w:tcPr>
          <w:p>
            <w:pPr>
              <w:ind w:left="20"/>
              <w:spacing w:after="0" w:line="159" w:lineRule="exact"/>
              <w:rPr>
                <w:sz w:val="20"/>
                <w:szCs w:val="20"/>
                <w:color w:val="auto"/>
              </w:rPr>
            </w:pPr>
            <w:r>
              <w:rPr>
                <w:rFonts w:ascii="Arial" w:cs="Arial" w:eastAsia="Arial" w:hAnsi="Arial"/>
                <w:sz w:val="14"/>
                <w:szCs w:val="14"/>
                <w:color w:val="auto"/>
              </w:rPr>
              <w:t>Call Options:</w:t>
            </w:r>
          </w:p>
        </w:tc>
        <w:tc>
          <w:tcPr>
            <w:tcW w:w="220" w:type="dxa"/>
            <w:vAlign w:val="bottom"/>
            <w:tcBorders>
              <w:top w:val="single" w:sz="8" w:color="auto"/>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r>
      <w:tr>
        <w:trPr>
          <w:trHeight w:val="182"/>
        </w:trPr>
        <w:tc>
          <w:tcPr>
            <w:tcW w:w="4900" w:type="dxa"/>
            <w:vAlign w:val="bottom"/>
          </w:tcPr>
          <w:p>
            <w:pPr>
              <w:ind w:left="220"/>
              <w:spacing w:after="0"/>
              <w:rPr>
                <w:sz w:val="20"/>
                <w:szCs w:val="20"/>
                <w:color w:val="auto"/>
              </w:rPr>
            </w:pPr>
            <w:r>
              <w:rPr>
                <w:rFonts w:ascii="Arial" w:cs="Arial" w:eastAsia="Arial" w:hAnsi="Arial"/>
                <w:sz w:val="14"/>
                <w:szCs w:val="14"/>
                <w:color w:val="auto"/>
              </w:rPr>
              <w:t>(Losses) gains on option expiration</w:t>
            </w:r>
          </w:p>
        </w:tc>
        <w:tc>
          <w:tcPr>
            <w:tcW w:w="220" w:type="dxa"/>
            <w:vAlign w:val="bottom"/>
          </w:tcPr>
          <w:p>
            <w:pPr>
              <w:jc w:val="right"/>
              <w:ind w:right="70"/>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ind w:right="70"/>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5"/>
                <w:szCs w:val="15"/>
                <w:color w:val="auto"/>
              </w:rPr>
            </w:pPr>
          </w:p>
        </w:tc>
        <w:tc>
          <w:tcPr>
            <w:tcW w:w="220" w:type="dxa"/>
            <w:vAlign w:val="bottom"/>
          </w:tcPr>
          <w:p>
            <w:pPr>
              <w:jc w:val="right"/>
              <w:ind w:right="70"/>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ind w:right="110"/>
              <w:spacing w:after="0"/>
              <w:rPr>
                <w:sz w:val="20"/>
                <w:szCs w:val="20"/>
                <w:color w:val="auto"/>
              </w:rPr>
            </w:pPr>
            <w:r>
              <w:rPr>
                <w:rFonts w:ascii="Arial" w:cs="Arial" w:eastAsia="Arial" w:hAnsi="Arial"/>
                <w:sz w:val="14"/>
                <w:szCs w:val="14"/>
                <w:color w:val="auto"/>
              </w:rPr>
              <w:t>114</w:t>
            </w:r>
          </w:p>
        </w:tc>
        <w:tc>
          <w:tcPr>
            <w:tcW w:w="100" w:type="dxa"/>
            <w:vAlign w:val="bottom"/>
          </w:tcPr>
          <w:p>
            <w:pPr>
              <w:spacing w:after="0"/>
              <w:rPr>
                <w:sz w:val="15"/>
                <w:szCs w:val="15"/>
                <w:color w:val="auto"/>
              </w:rPr>
            </w:pPr>
          </w:p>
        </w:tc>
        <w:tc>
          <w:tcPr>
            <w:tcW w:w="2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10"/>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5"/>
                <w:szCs w:val="15"/>
                <w:color w:val="auto"/>
              </w:rPr>
            </w:pPr>
          </w:p>
        </w:tc>
        <w:tc>
          <w:tcPr>
            <w:tcW w:w="200" w:type="dxa"/>
            <w:vAlign w:val="bottom"/>
          </w:tcPr>
          <w:p>
            <w:pPr>
              <w:jc w:val="right"/>
              <w:ind w:right="50"/>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ind w:right="110"/>
              <w:spacing w:after="0"/>
              <w:rPr>
                <w:sz w:val="20"/>
                <w:szCs w:val="20"/>
                <w:color w:val="auto"/>
              </w:rPr>
            </w:pPr>
            <w:r>
              <w:rPr>
                <w:rFonts w:ascii="Arial" w:cs="Arial" w:eastAsia="Arial" w:hAnsi="Arial"/>
                <w:sz w:val="14"/>
                <w:szCs w:val="14"/>
                <w:color w:val="auto"/>
              </w:rPr>
              <w:t>169</w:t>
            </w:r>
          </w:p>
        </w:tc>
      </w:tr>
      <w:tr>
        <w:trPr>
          <w:trHeight w:val="187"/>
        </w:trPr>
        <w:tc>
          <w:tcPr>
            <w:tcW w:w="4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Change in unrealized (losses) gains</w:t>
            </w:r>
          </w:p>
        </w:tc>
        <w:tc>
          <w:tcPr>
            <w:tcW w:w="22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(354)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143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(713)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110</w:t>
            </w:r>
          </w:p>
        </w:tc>
      </w:tr>
      <w:tr>
        <w:trPr>
          <w:trHeight w:val="182"/>
        </w:trPr>
        <w:tc>
          <w:tcPr>
            <w:tcW w:w="4900" w:type="dxa"/>
            <w:vAlign w:val="bottom"/>
          </w:tcPr>
          <w:p>
            <w:pPr>
              <w:ind w:left="20"/>
              <w:spacing w:after="0"/>
              <w:rPr>
                <w:sz w:val="20"/>
                <w:szCs w:val="20"/>
                <w:color w:val="auto"/>
              </w:rPr>
            </w:pPr>
            <w:r>
              <w:rPr>
                <w:rFonts w:ascii="Arial" w:cs="Arial" w:eastAsia="Arial" w:hAnsi="Arial"/>
                <w:sz w:val="14"/>
                <w:szCs w:val="14"/>
                <w:color w:val="auto"/>
              </w:rPr>
              <w:t>Futures contracts:</w:t>
            </w: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7"/>
        </w:trPr>
        <w:tc>
          <w:tcPr>
            <w:tcW w:w="4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(Losses) gains on futures contracts expiration</w:t>
            </w:r>
          </w:p>
        </w:tc>
        <w:tc>
          <w:tcPr>
            <w:tcW w:w="22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8</w:t>
            </w:r>
          </w:p>
        </w:tc>
      </w:tr>
      <w:tr>
        <w:trPr>
          <w:trHeight w:val="182"/>
        </w:trPr>
        <w:tc>
          <w:tcPr>
            <w:tcW w:w="4900" w:type="dxa"/>
            <w:vAlign w:val="bottom"/>
          </w:tcPr>
          <w:p>
            <w:pPr>
              <w:ind w:left="220"/>
              <w:spacing w:after="0"/>
              <w:rPr>
                <w:sz w:val="20"/>
                <w:szCs w:val="20"/>
                <w:color w:val="auto"/>
              </w:rPr>
            </w:pPr>
            <w:r>
              <w:rPr>
                <w:rFonts w:ascii="Arial" w:cs="Arial" w:eastAsia="Arial" w:hAnsi="Arial"/>
                <w:sz w:val="14"/>
                <w:szCs w:val="14"/>
                <w:color w:val="auto"/>
              </w:rPr>
              <w:t>Change in unrealized gains (losses)</w:t>
            </w:r>
          </w:p>
        </w:tc>
        <w:tc>
          <w:tcPr>
            <w:tcW w:w="220" w:type="dxa"/>
            <w:vAlign w:val="bottom"/>
          </w:tcPr>
          <w:p>
            <w:pPr>
              <w:spacing w:after="0"/>
              <w:rPr>
                <w:sz w:val="15"/>
                <w:szCs w:val="15"/>
                <w:color w:val="auto"/>
              </w:rPr>
            </w:pPr>
          </w:p>
        </w:tc>
        <w:tc>
          <w:tcPr>
            <w:tcW w:w="1320" w:type="dxa"/>
            <w:vAlign w:val="bottom"/>
          </w:tcPr>
          <w:p>
            <w:pPr>
              <w:jc w:val="right"/>
              <w:ind w:right="70"/>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ind w:right="90"/>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ind w:right="70"/>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right"/>
              <w:ind w:right="70"/>
              <w:spacing w:after="0"/>
              <w:rPr>
                <w:sz w:val="20"/>
                <w:szCs w:val="20"/>
                <w:color w:val="auto"/>
              </w:rPr>
            </w:pPr>
            <w:r>
              <w:rPr>
                <w:rFonts w:ascii="Arial" w:cs="Arial" w:eastAsia="Arial" w:hAnsi="Arial"/>
                <w:sz w:val="14"/>
                <w:szCs w:val="14"/>
                <w:color w:val="auto"/>
              </w:rPr>
              <w:t>(4)</w:t>
            </w:r>
          </w:p>
        </w:tc>
      </w:tr>
      <w:tr>
        <w:trPr>
          <w:trHeight w:val="187"/>
        </w:trPr>
        <w:tc>
          <w:tcPr>
            <w:tcW w:w="4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forward:</w:t>
            </w:r>
          </w:p>
        </w:tc>
        <w:tc>
          <w:tcPr>
            <w:tcW w:w="2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182"/>
        </w:trPr>
        <w:tc>
          <w:tcPr>
            <w:tcW w:w="4900" w:type="dxa"/>
            <w:vAlign w:val="bottom"/>
          </w:tcPr>
          <w:p>
            <w:pPr>
              <w:ind w:left="220"/>
              <w:spacing w:after="0"/>
              <w:rPr>
                <w:sz w:val="20"/>
                <w:szCs w:val="20"/>
                <w:color w:val="auto"/>
              </w:rPr>
            </w:pPr>
            <w:r>
              <w:rPr>
                <w:rFonts w:ascii="Arial" w:cs="Arial" w:eastAsia="Arial" w:hAnsi="Arial"/>
                <w:sz w:val="14"/>
                <w:szCs w:val="14"/>
                <w:color w:val="auto"/>
              </w:rPr>
              <w:t>Gains on foreign currency forward</w:t>
            </w:r>
          </w:p>
        </w:tc>
        <w:tc>
          <w:tcPr>
            <w:tcW w:w="220" w:type="dxa"/>
            <w:vAlign w:val="bottom"/>
          </w:tcPr>
          <w:p>
            <w:pPr>
              <w:spacing w:after="0"/>
              <w:rPr>
                <w:sz w:val="15"/>
                <w:szCs w:val="15"/>
                <w:color w:val="auto"/>
              </w:rPr>
            </w:pPr>
          </w:p>
        </w:tc>
        <w:tc>
          <w:tcPr>
            <w:tcW w:w="1320" w:type="dxa"/>
            <w:vAlign w:val="bottom"/>
          </w:tcPr>
          <w:p>
            <w:pPr>
              <w:jc w:val="right"/>
              <w:ind w:right="110"/>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60" w:type="dxa"/>
            <w:vAlign w:val="bottom"/>
          </w:tcPr>
          <w:p>
            <w:pPr>
              <w:jc w:val="right"/>
              <w:ind w:right="110"/>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right"/>
              <w:ind w:right="110"/>
              <w:spacing w:after="0"/>
              <w:rPr>
                <w:sz w:val="20"/>
                <w:szCs w:val="20"/>
                <w:color w:val="auto"/>
              </w:rPr>
            </w:pPr>
            <w:r>
              <w:rPr>
                <w:rFonts w:ascii="Arial" w:cs="Arial" w:eastAsia="Arial" w:hAnsi="Arial"/>
                <w:sz w:val="14"/>
                <w:szCs w:val="14"/>
                <w:color w:val="auto"/>
              </w:rPr>
              <w:t>4</w:t>
            </w:r>
          </w:p>
        </w:tc>
      </w:tr>
      <w:tr>
        <w:trPr>
          <w:trHeight w:val="205"/>
        </w:trPr>
        <w:tc>
          <w:tcPr>
            <w:tcW w:w="4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net change in fair value</w:t>
            </w:r>
          </w:p>
        </w:tc>
        <w:tc>
          <w:tcPr>
            <w:tcW w:w="22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(394)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262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(702)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287</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157"/>
        </w:trPr>
        <w:tc>
          <w:tcPr>
            <w:tcW w:w="4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84"/>
        </w:trPr>
        <w:tc>
          <w:tcPr>
            <w:tcW w:w="4900" w:type="dxa"/>
            <w:vAlign w:val="bottom"/>
            <w:shd w:val="clear" w:color="auto" w:fill="CCEEFF"/>
          </w:tcPr>
          <w:p>
            <w:pPr>
              <w:ind w:left="240"/>
              <w:spacing w:after="0"/>
              <w:rPr>
                <w:sz w:val="20"/>
                <w:szCs w:val="20"/>
                <w:color w:val="auto"/>
              </w:rPr>
            </w:pPr>
            <w:r>
              <w:rPr>
                <w:rFonts w:ascii="Arial" w:cs="Arial" w:eastAsia="Arial" w:hAnsi="Arial"/>
                <w:sz w:val="14"/>
                <w:szCs w:val="14"/>
                <w:b w:val="1"/>
                <w:bCs w:val="1"/>
                <w:color w:val="auto"/>
              </w:rPr>
              <w:t>Annual Point-to-Point Change in S&amp;P 500 Index during the periods</w:t>
            </w:r>
          </w:p>
        </w:tc>
        <w:tc>
          <w:tcPr>
            <w:tcW w:w="2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8 %</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14 %</w:t>
            </w:r>
          </w:p>
        </w:tc>
      </w:tr>
    </w:tbl>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640" w:hanging="319"/>
        <w:spacing w:after="0" w:line="279" w:lineRule="auto"/>
        <w:tabs>
          <w:tab w:leader="none" w:pos="636"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Realized gains and losses on certain derivative instruments are directly correlated to the performance of the indices upon which the call options and futures contracts are based and the value of the derivatives at the time of expiration compared to the value at the time of purchase. Gains (losses) on option expiration reflect the movement during each period on options settled during the respective period.</w:t>
      </w:r>
    </w:p>
    <w:p>
      <w:pPr>
        <w:spacing w:after="0" w:line="1" w:lineRule="exact"/>
        <w:rPr>
          <w:rFonts w:ascii="Arial" w:cs="Arial" w:eastAsia="Arial" w:hAnsi="Arial"/>
          <w:sz w:val="16"/>
          <w:szCs w:val="16"/>
          <w:color w:val="auto"/>
        </w:rPr>
      </w:pPr>
    </w:p>
    <w:p>
      <w:pPr>
        <w:ind w:left="640" w:right="480" w:hanging="319"/>
        <w:spacing w:after="0" w:line="244" w:lineRule="auto"/>
        <w:tabs>
          <w:tab w:leader="none" w:pos="636"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change in unrealized gains (losses) due to fair value of call options is primarily driven by the underlying performance of the S&amp;P 500 Index during each respective period relative to the S&amp;P 500 Index on the policyholder buy dates.</w:t>
      </w:r>
    </w:p>
    <w:p>
      <w:pPr>
        <w:ind w:left="640" w:right="680" w:hanging="319"/>
        <w:spacing w:after="0" w:line="248" w:lineRule="auto"/>
        <w:tabs>
          <w:tab w:leader="none" w:pos="636"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net change in fair value of the call options and futures contracts was primarily driven by movements in the S&amp;P 500 Index relative to the policyholder buy dates.</w:t>
      </w:r>
    </w:p>
    <w:p>
      <w:pPr>
        <w:spacing w:after="0" w:line="13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average index credits to policyholders are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920" w:type="dxa"/>
            <w:vAlign w:val="bottom"/>
          </w:tcPr>
          <w:p>
            <w:pPr>
              <w:spacing w:after="0"/>
              <w:rPr>
                <w:sz w:val="16"/>
                <w:szCs w:val="16"/>
                <w:color w:val="auto"/>
              </w:rPr>
            </w:pPr>
          </w:p>
        </w:tc>
        <w:tc>
          <w:tcPr>
            <w:tcW w:w="2820" w:type="dxa"/>
            <w:vAlign w:val="bottom"/>
            <w:tcBorders>
              <w:bottom w:val="single" w:sz="8" w:color="auto"/>
            </w:tcBorders>
            <w:gridSpan w:val="4"/>
          </w:tcPr>
          <w:p>
            <w:pPr>
              <w:ind w:left="96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40" w:type="dxa"/>
            <w:vAlign w:val="bottom"/>
            <w:tcBorders>
              <w:bottom w:val="single" w:sz="8" w:color="auto"/>
            </w:tcBorders>
            <w:gridSpan w:val="3"/>
          </w:tcPr>
          <w:p>
            <w:pPr>
              <w:jc w:val="right"/>
              <w:ind w:right="910"/>
              <w:spacing w:after="0"/>
              <w:rPr>
                <w:sz w:val="20"/>
                <w:szCs w:val="20"/>
                <w:color w:val="auto"/>
              </w:rPr>
            </w:pPr>
            <w:r>
              <w:rPr>
                <w:rFonts w:ascii="Arial" w:cs="Arial" w:eastAsia="Arial" w:hAnsi="Arial"/>
                <w:sz w:val="14"/>
                <w:szCs w:val="14"/>
                <w:b w:val="1"/>
                <w:bCs w:val="1"/>
                <w:color w:val="auto"/>
              </w:rPr>
              <w:t>Six months ended</w:t>
            </w:r>
          </w:p>
        </w:tc>
      </w:tr>
      <w:tr>
        <w:trPr>
          <w:trHeight w:val="182"/>
        </w:trPr>
        <w:tc>
          <w:tcPr>
            <w:tcW w:w="4920" w:type="dxa"/>
            <w:vAlign w:val="bottom"/>
          </w:tcPr>
          <w:p>
            <w:pPr>
              <w:spacing w:after="0"/>
              <w:rPr>
                <w:sz w:val="15"/>
                <w:szCs w:val="15"/>
                <w:color w:val="auto"/>
              </w:rPr>
            </w:pPr>
          </w:p>
        </w:tc>
        <w:tc>
          <w:tcPr>
            <w:tcW w:w="1200" w:type="dxa"/>
            <w:vAlign w:val="bottom"/>
          </w:tcPr>
          <w:p>
            <w:pPr>
              <w:ind w:left="360"/>
              <w:spacing w:after="0"/>
              <w:rPr>
                <w:sz w:val="20"/>
                <w:szCs w:val="20"/>
                <w:color w:val="auto"/>
              </w:rPr>
            </w:pPr>
            <w:r>
              <w:rPr>
                <w:rFonts w:ascii="Arial" w:cs="Arial" w:eastAsia="Arial" w:hAnsi="Arial"/>
                <w:sz w:val="14"/>
                <w:szCs w:val="14"/>
                <w:b w:val="1"/>
                <w:bCs w:val="1"/>
                <w:color w:val="auto"/>
                <w:w w:val="90"/>
              </w:rPr>
              <w:t>June 30, 2022</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ind w:left="360"/>
              <w:spacing w:after="0"/>
              <w:rPr>
                <w:sz w:val="20"/>
                <w:szCs w:val="20"/>
                <w:color w:val="auto"/>
              </w:rPr>
            </w:pPr>
            <w:r>
              <w:rPr>
                <w:rFonts w:ascii="Arial" w:cs="Arial" w:eastAsia="Arial" w:hAnsi="Arial"/>
                <w:sz w:val="14"/>
                <w:szCs w:val="14"/>
                <w:b w:val="1"/>
                <w:bCs w:val="1"/>
                <w:color w:val="auto"/>
                <w:w w:val="90"/>
              </w:rPr>
              <w:t>June 30, 2021</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2"/>
          </w:tcPr>
          <w:p>
            <w:pPr>
              <w:ind w:left="320"/>
              <w:spacing w:after="0"/>
              <w:rPr>
                <w:sz w:val="20"/>
                <w:szCs w:val="20"/>
                <w:color w:val="auto"/>
              </w:rPr>
            </w:pPr>
            <w:r>
              <w:rPr>
                <w:rFonts w:ascii="Arial" w:cs="Arial" w:eastAsia="Arial" w:hAnsi="Arial"/>
                <w:sz w:val="14"/>
                <w:szCs w:val="14"/>
                <w:b w:val="1"/>
                <w:bCs w:val="1"/>
                <w:color w:val="auto"/>
              </w:rPr>
              <w:t>June 30, 2022</w:t>
            </w:r>
          </w:p>
        </w:tc>
        <w:tc>
          <w:tcPr>
            <w:tcW w:w="1460" w:type="dxa"/>
            <w:vAlign w:val="bottom"/>
          </w:tcPr>
          <w:p>
            <w:pPr>
              <w:jc w:val="right"/>
              <w:ind w:right="250"/>
              <w:spacing w:after="0"/>
              <w:rPr>
                <w:sz w:val="20"/>
                <w:szCs w:val="20"/>
                <w:color w:val="auto"/>
              </w:rPr>
            </w:pPr>
            <w:r>
              <w:rPr>
                <w:rFonts w:ascii="Arial" w:cs="Arial" w:eastAsia="Arial" w:hAnsi="Arial"/>
                <w:sz w:val="14"/>
                <w:szCs w:val="14"/>
                <w:b w:val="1"/>
                <w:bCs w:val="1"/>
                <w:color w:val="auto"/>
              </w:rPr>
              <w:t>June 30, 2021</w:t>
            </w:r>
          </w:p>
        </w:tc>
      </w:tr>
      <w:tr>
        <w:trPr>
          <w:trHeight w:val="178"/>
        </w:trPr>
        <w:tc>
          <w:tcPr>
            <w:tcW w:w="4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Average Crediting Rate</w:t>
            </w:r>
          </w:p>
        </w:tc>
        <w:tc>
          <w:tcPr>
            <w:tcW w:w="120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8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6 %</w:t>
            </w:r>
          </w:p>
        </w:tc>
        <w:tc>
          <w:tcPr>
            <w:tcW w:w="12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12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5 %</w:t>
            </w:r>
          </w:p>
        </w:tc>
      </w:tr>
      <w:tr>
        <w:trPr>
          <w:trHeight w:val="182"/>
        </w:trPr>
        <w:tc>
          <w:tcPr>
            <w:tcW w:w="6120" w:type="dxa"/>
            <w:vAlign w:val="bottom"/>
            <w:gridSpan w:val="2"/>
          </w:tcPr>
          <w:p>
            <w:pPr>
              <w:ind w:left="20"/>
              <w:spacing w:after="0"/>
              <w:rPr>
                <w:sz w:val="20"/>
                <w:szCs w:val="20"/>
                <w:color w:val="auto"/>
              </w:rPr>
            </w:pPr>
            <w:r>
              <w:rPr>
                <w:rFonts w:ascii="Arial" w:cs="Arial" w:eastAsia="Arial" w:hAnsi="Arial"/>
                <w:sz w:val="14"/>
                <w:szCs w:val="14"/>
                <w:color w:val="auto"/>
              </w:rPr>
              <w:t>S&amp;P 500 Index:</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7"/>
        </w:trPr>
        <w:tc>
          <w:tcPr>
            <w:tcW w:w="61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Point-to-point strategy</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5 %</w:t>
            </w: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5 %</w:t>
            </w:r>
          </w:p>
        </w:tc>
      </w:tr>
      <w:tr>
        <w:trPr>
          <w:trHeight w:val="182"/>
        </w:trPr>
        <w:tc>
          <w:tcPr>
            <w:tcW w:w="6120" w:type="dxa"/>
            <w:vAlign w:val="bottom"/>
            <w:gridSpan w:val="2"/>
          </w:tcPr>
          <w:p>
            <w:pPr>
              <w:ind w:left="220"/>
              <w:spacing w:after="0"/>
              <w:rPr>
                <w:sz w:val="20"/>
                <w:szCs w:val="20"/>
                <w:color w:val="auto"/>
              </w:rPr>
            </w:pPr>
            <w:r>
              <w:rPr>
                <w:rFonts w:ascii="Arial" w:cs="Arial" w:eastAsia="Arial" w:hAnsi="Arial"/>
                <w:sz w:val="14"/>
                <w:szCs w:val="14"/>
                <w:color w:val="auto"/>
              </w:rPr>
              <w:t>Monthly average strategy</w:t>
            </w:r>
          </w:p>
        </w:tc>
        <w:tc>
          <w:tcPr>
            <w:tcW w:w="340" w:type="dxa"/>
            <w:vAlign w:val="bottom"/>
          </w:tcPr>
          <w:p>
            <w:pPr>
              <w:jc w:val="right"/>
              <w:spacing w:after="0"/>
              <w:rPr>
                <w:sz w:val="20"/>
                <w:szCs w:val="20"/>
                <w:color w:val="auto"/>
              </w:rPr>
            </w:pPr>
            <w:r>
              <w:rPr>
                <w:rFonts w:ascii="Arial" w:cs="Arial" w:eastAsia="Arial" w:hAnsi="Arial"/>
                <w:sz w:val="14"/>
                <w:szCs w:val="14"/>
                <w:color w:val="auto"/>
              </w:rPr>
              <w:t>3 %</w:t>
            </w: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3 %</w:t>
            </w: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3 %</w:t>
            </w: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2 %</w:t>
            </w:r>
          </w:p>
        </w:tc>
      </w:tr>
      <w:tr>
        <w:trPr>
          <w:trHeight w:val="187"/>
        </w:trPr>
        <w:tc>
          <w:tcPr>
            <w:tcW w:w="61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Monthly point-to-point strategy</w:t>
            </w:r>
          </w:p>
        </w:tc>
        <w:tc>
          <w:tcPr>
            <w:tcW w:w="1620" w:type="dxa"/>
            <w:vAlign w:val="bottom"/>
            <w:gridSpan w:val="3"/>
            <w:shd w:val="clear" w:color="auto" w:fill="CCEEFF"/>
          </w:tcPr>
          <w:p>
            <w:pPr>
              <w:jc w:val="right"/>
              <w:ind w:right="1230"/>
              <w:spacing w:after="0"/>
              <w:rPr>
                <w:sz w:val="20"/>
                <w:szCs w:val="20"/>
                <w:color w:val="auto"/>
              </w:rPr>
            </w:pPr>
            <w:r>
              <w:rPr>
                <w:rFonts w:ascii="Arial" w:cs="Arial" w:eastAsia="Arial" w:hAnsi="Arial"/>
                <w:sz w:val="14"/>
                <w:szCs w:val="14"/>
                <w:color w:val="auto"/>
                <w:w w:val="98"/>
              </w:rPr>
              <w:t>— %</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8 %</w:t>
            </w: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5 %</w:t>
            </w:r>
          </w:p>
        </w:tc>
      </w:tr>
      <w:tr>
        <w:trPr>
          <w:trHeight w:val="179"/>
        </w:trPr>
        <w:tc>
          <w:tcPr>
            <w:tcW w:w="6120" w:type="dxa"/>
            <w:vAlign w:val="bottom"/>
            <w:gridSpan w:val="2"/>
          </w:tcPr>
          <w:p>
            <w:pPr>
              <w:ind w:left="220"/>
              <w:spacing w:after="0"/>
              <w:rPr>
                <w:sz w:val="20"/>
                <w:szCs w:val="20"/>
                <w:color w:val="auto"/>
              </w:rPr>
            </w:pPr>
            <w:r>
              <w:rPr>
                <w:rFonts w:ascii="Arial" w:cs="Arial" w:eastAsia="Arial" w:hAnsi="Arial"/>
                <w:sz w:val="14"/>
                <w:szCs w:val="14"/>
                <w:color w:val="auto"/>
              </w:rPr>
              <w:t>3 year high water mark</w:t>
            </w:r>
          </w:p>
        </w:tc>
        <w:tc>
          <w:tcPr>
            <w:tcW w:w="340" w:type="dxa"/>
            <w:vAlign w:val="bottom"/>
          </w:tcPr>
          <w:p>
            <w:pPr>
              <w:jc w:val="right"/>
              <w:spacing w:after="0"/>
              <w:rPr>
                <w:sz w:val="20"/>
                <w:szCs w:val="20"/>
                <w:color w:val="auto"/>
              </w:rPr>
            </w:pPr>
            <w:r>
              <w:rPr>
                <w:rFonts w:ascii="Arial" w:cs="Arial" w:eastAsia="Arial" w:hAnsi="Arial"/>
                <w:sz w:val="14"/>
                <w:szCs w:val="14"/>
                <w:color w:val="auto"/>
              </w:rPr>
              <w:t>9 %</w:t>
            </w: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w w:val="93"/>
              </w:rPr>
              <w:t>14 %</w:t>
            </w: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12 %</w:t>
            </w: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12 %</w:t>
            </w:r>
          </w:p>
        </w:tc>
      </w:tr>
    </w:tbl>
    <w:p>
      <w:pPr>
        <w:spacing w:after="0" w:line="243" w:lineRule="exact"/>
        <w:rPr>
          <w:sz w:val="20"/>
          <w:szCs w:val="20"/>
          <w:color w:val="auto"/>
        </w:rPr>
      </w:pPr>
    </w:p>
    <w:p>
      <w:pPr>
        <w:jc w:val="both"/>
        <w:ind w:left="640" w:hanging="319"/>
        <w:spacing w:after="0" w:line="252" w:lineRule="auto"/>
        <w:tabs>
          <w:tab w:leader="none" w:pos="636"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Actual amounts credited to contractholder fund balances may differ from the index appreciation due to contractual features in the FIA contracts and certain IUL contracts (caps, spreads and participation rates), which allow F&amp;G to manage the cost of the options purchased to fund the annual index credits.</w:t>
      </w:r>
    </w:p>
    <w:p>
      <w:pPr>
        <w:spacing w:after="0" w:line="98" w:lineRule="exact"/>
        <w:rPr>
          <w:rFonts w:ascii="Arial" w:cs="Arial" w:eastAsia="Arial" w:hAnsi="Arial"/>
          <w:sz w:val="18"/>
          <w:szCs w:val="18"/>
          <w:color w:val="auto"/>
        </w:rPr>
      </w:pPr>
    </w:p>
    <w:p>
      <w:pPr>
        <w:ind w:left="640" w:hanging="319"/>
        <w:spacing w:after="0" w:line="261" w:lineRule="auto"/>
        <w:tabs>
          <w:tab w:leader="none" w:pos="636"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credits for the periods presented were based on comparing the S&amp;P 500 Index on each issue date in the period to the same issue date in the respective prior year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Benefits and expenses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Benefits and other changes in policy reserves</w:t>
      </w:r>
    </w:p>
    <w:p>
      <w:pPr>
        <w:spacing w:after="0" w:line="12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Below is a summary of the major components included in Benefits and other changes in policy reserves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940" w:type="dxa"/>
            <w:vAlign w:val="bottom"/>
          </w:tcPr>
          <w:p>
            <w:pPr>
              <w:spacing w:after="0"/>
              <w:rPr>
                <w:sz w:val="16"/>
                <w:szCs w:val="16"/>
                <w:color w:val="auto"/>
              </w:rPr>
            </w:pPr>
          </w:p>
        </w:tc>
        <w:tc>
          <w:tcPr>
            <w:tcW w:w="294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870"/>
              <w:spacing w:after="0"/>
              <w:rPr>
                <w:sz w:val="20"/>
                <w:szCs w:val="20"/>
                <w:color w:val="auto"/>
              </w:rPr>
            </w:pPr>
            <w:r>
              <w:rPr>
                <w:rFonts w:ascii="Arial" w:cs="Arial" w:eastAsia="Arial" w:hAnsi="Arial"/>
                <w:sz w:val="14"/>
                <w:szCs w:val="14"/>
                <w:b w:val="1"/>
                <w:bCs w:val="1"/>
                <w:color w:val="auto"/>
              </w:rPr>
              <w:t>Six months ended</w:t>
            </w:r>
          </w:p>
        </w:tc>
      </w:tr>
      <w:tr>
        <w:trPr>
          <w:trHeight w:val="182"/>
        </w:trPr>
        <w:tc>
          <w:tcPr>
            <w:tcW w:w="49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June 30, 2022</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June 30, 2021</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2022</w:t>
            </w:r>
          </w:p>
        </w:tc>
        <w:tc>
          <w:tcPr>
            <w:tcW w:w="180" w:type="dxa"/>
            <w:vAlign w:val="bottom"/>
          </w:tcPr>
          <w:p>
            <w:pPr>
              <w:spacing w:after="0"/>
              <w:rPr>
                <w:sz w:val="15"/>
                <w:szCs w:val="15"/>
                <w:color w:val="auto"/>
              </w:rPr>
            </w:pPr>
          </w:p>
        </w:tc>
        <w:tc>
          <w:tcPr>
            <w:tcW w:w="1220" w:type="dxa"/>
            <w:vAlign w:val="bottom"/>
          </w:tcPr>
          <w:p>
            <w:pPr>
              <w:jc w:val="right"/>
              <w:ind w:right="230"/>
              <w:spacing w:after="0"/>
              <w:rPr>
                <w:sz w:val="20"/>
                <w:szCs w:val="20"/>
                <w:color w:val="auto"/>
              </w:rPr>
            </w:pPr>
            <w:r>
              <w:rPr>
                <w:rFonts w:ascii="Arial" w:cs="Arial" w:eastAsia="Arial" w:hAnsi="Arial"/>
                <w:sz w:val="14"/>
                <w:szCs w:val="14"/>
                <w:b w:val="1"/>
                <w:bCs w:val="1"/>
                <w:color w:val="auto"/>
                <w:w w:val="98"/>
              </w:rPr>
              <w:t>June 30, 2021</w:t>
            </w:r>
          </w:p>
        </w:tc>
      </w:tr>
      <w:tr>
        <w:trPr>
          <w:trHeight w:val="178"/>
        </w:trPr>
        <w:tc>
          <w:tcPr>
            <w:tcW w:w="4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PRT agreements</w:t>
            </w:r>
          </w:p>
        </w:tc>
        <w:tc>
          <w:tcPr>
            <w:tcW w:w="1260" w:type="dxa"/>
            <w:vAlign w:val="bottom"/>
            <w:tcBorders>
              <w:top w:val="single" w:sz="8" w:color="auto"/>
            </w:tcBorders>
            <w:shd w:val="clear" w:color="auto" w:fill="CCEEFF"/>
          </w:tcPr>
          <w:p>
            <w:pPr>
              <w:jc w:val="right"/>
              <w:ind w:right="1110"/>
              <w:spacing w:after="0"/>
              <w:rPr>
                <w:sz w:val="20"/>
                <w:szCs w:val="20"/>
                <w:color w:val="auto"/>
              </w:rPr>
            </w:pPr>
            <w:r>
              <w:rPr>
                <w:rFonts w:ascii="Arial" w:cs="Arial" w:eastAsia="Arial" w:hAnsi="Arial"/>
                <w:sz w:val="14"/>
                <w:szCs w:val="14"/>
                <w:color w:val="auto"/>
                <w:w w:val="76"/>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jc w:val="right"/>
              <w:ind w:right="1070"/>
              <w:spacing w:after="0"/>
              <w:rPr>
                <w:sz w:val="20"/>
                <w:szCs w:val="20"/>
                <w:color w:val="auto"/>
              </w:rPr>
            </w:pPr>
            <w:r>
              <w:rPr>
                <w:rFonts w:ascii="Arial" w:cs="Arial" w:eastAsia="Arial" w:hAnsi="Arial"/>
                <w:sz w:val="14"/>
                <w:szCs w:val="14"/>
                <w:color w:val="auto"/>
                <w:w w:val="76"/>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521</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4940" w:type="dxa"/>
            <w:vAlign w:val="bottom"/>
          </w:tcPr>
          <w:p>
            <w:pPr>
              <w:ind w:left="20"/>
              <w:spacing w:after="0"/>
              <w:rPr>
                <w:sz w:val="20"/>
                <w:szCs w:val="20"/>
                <w:color w:val="auto"/>
              </w:rPr>
            </w:pPr>
            <w:r>
              <w:rPr>
                <w:rFonts w:ascii="Arial" w:cs="Arial" w:eastAsia="Arial" w:hAnsi="Arial"/>
                <w:sz w:val="14"/>
                <w:szCs w:val="14"/>
                <w:color w:val="auto"/>
              </w:rPr>
              <w:t>FIA/IUL market related liability movements</w:t>
            </w:r>
          </w:p>
        </w:tc>
        <w:tc>
          <w:tcPr>
            <w:tcW w:w="12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w w:val="97"/>
              </w:rPr>
              <w:t>(555)</w:t>
            </w: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w w:val="94"/>
              </w:rPr>
              <w:t>209</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(1,114)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(64)</w:t>
            </w:r>
          </w:p>
        </w:tc>
      </w:tr>
      <w:tr>
        <w:trPr>
          <w:trHeight w:val="187"/>
        </w:trPr>
        <w:tc>
          <w:tcPr>
            <w:tcW w:w="4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Index credits, interest credited &amp; bonuses</w:t>
            </w:r>
          </w:p>
        </w:tc>
        <w:tc>
          <w:tcPr>
            <w:tcW w:w="126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245</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w:t>
            </w:r>
          </w:p>
        </w:tc>
      </w:tr>
      <w:tr>
        <w:trPr>
          <w:trHeight w:val="182"/>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Annuity payments and other</w:t>
            </w:r>
          </w:p>
        </w:tc>
        <w:tc>
          <w:tcPr>
            <w:tcW w:w="12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121</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w:t>
            </w:r>
          </w:p>
        </w:tc>
      </w:tr>
      <w:tr>
        <w:trPr>
          <w:trHeight w:val="205"/>
        </w:trPr>
        <w:tc>
          <w:tcPr>
            <w:tcW w:w="4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b w:val="1"/>
                <w:bCs w:val="1"/>
                <w:color w:val="auto"/>
              </w:rPr>
              <w:t>Total benefits and other changes in policy reserves</w:t>
            </w:r>
          </w:p>
        </w:tc>
        <w:tc>
          <w:tcPr>
            <w:tcW w:w="1260" w:type="dxa"/>
            <w:vAlign w:val="bottom"/>
            <w:tcBorders>
              <w:bottom w:val="single" w:sz="8" w:color="auto"/>
            </w:tcBorders>
            <w:shd w:val="clear" w:color="auto" w:fill="CCEEFF"/>
          </w:tcPr>
          <w:p>
            <w:pPr>
              <w:jc w:val="right"/>
              <w:ind w:right="1110"/>
              <w:spacing w:after="0"/>
              <w:rPr>
                <w:sz w:val="20"/>
                <w:szCs w:val="20"/>
                <w:color w:val="auto"/>
              </w:rPr>
            </w:pPr>
            <w:r>
              <w:rPr>
                <w:rFonts w:ascii="Arial" w:cs="Arial" w:eastAsia="Arial" w:hAnsi="Arial"/>
                <w:sz w:val="14"/>
                <w:szCs w:val="14"/>
                <w:color w:val="auto"/>
                <w:w w:val="76"/>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(418)</w:t>
            </w:r>
          </w:p>
        </w:tc>
        <w:tc>
          <w:tcPr>
            <w:tcW w:w="1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1070"/>
              <w:spacing w:after="0"/>
              <w:rPr>
                <w:sz w:val="20"/>
                <w:szCs w:val="20"/>
                <w:color w:val="auto"/>
              </w:rPr>
            </w:pPr>
            <w:r>
              <w:rPr>
                <w:rFonts w:ascii="Arial" w:cs="Arial" w:eastAsia="Arial" w:hAnsi="Arial"/>
                <w:sz w:val="14"/>
                <w:szCs w:val="14"/>
                <w:color w:val="auto"/>
                <w:w w:val="76"/>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575</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549</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left="640" w:hanging="319"/>
        <w:spacing w:after="0" w:line="282" w:lineRule="auto"/>
        <w:tabs>
          <w:tab w:leader="none" w:pos="636"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FIA/IUL market related liability movements during the three and six months ended June 30, 2022 and June 30, 2021, respectively, are mainly driven by changes in the equity markets, non-performance spreads, and risk free rates during the periods. The change in risk free rates and non-performance spreads (decreased) increased the FIA market related liability by ($253) million and $70 million during the three months ended June 30, 2022 and June 30, 2021, respectively. The change in risk free rates and non-performance spreads (decreased) the FIA market related liability by ($559) million and ($131) million during the six months ended June 30, 2022 and June 30, 2021, respectively. The remaining changes in market value of the market related liability movements for all periods was driven by equity market impacts. See table in the net investment gains/losses discussion above for summary and discussion of net unrealized gains (losses) on certain derivative instruments.</w:t>
      </w:r>
    </w:p>
    <w:p>
      <w:pPr>
        <w:spacing w:after="0" w:line="78" w:lineRule="exact"/>
        <w:rPr>
          <w:rFonts w:ascii="Arial" w:cs="Arial" w:eastAsia="Arial" w:hAnsi="Arial"/>
          <w:sz w:val="16"/>
          <w:szCs w:val="16"/>
          <w:color w:val="auto"/>
        </w:rPr>
      </w:pPr>
    </w:p>
    <w:p>
      <w:pPr>
        <w:jc w:val="both"/>
        <w:ind w:left="640" w:hanging="319"/>
        <w:spacing w:after="0" w:line="252" w:lineRule="auto"/>
        <w:tabs>
          <w:tab w:leader="none" w:pos="636" w:val="left"/>
        </w:tabs>
        <w:numPr>
          <w:ilvl w:val="0"/>
          <w:numId w:val="20"/>
        </w:numPr>
        <w:rPr>
          <w:rFonts w:ascii="Arial" w:cs="Arial" w:eastAsia="Arial" w:hAnsi="Arial"/>
          <w:sz w:val="18"/>
          <w:szCs w:val="18"/>
          <w:i w:val="1"/>
          <w:iCs w:val="1"/>
          <w:color w:val="auto"/>
        </w:rPr>
      </w:pPr>
      <w:r>
        <w:rPr>
          <w:rFonts w:ascii="Arial" w:cs="Arial" w:eastAsia="Arial" w:hAnsi="Arial"/>
          <w:sz w:val="18"/>
          <w:szCs w:val="18"/>
          <w:color w:val="auto"/>
        </w:rPr>
        <w:t>Index credits, interest credited &amp; bonuses for the three and six months ended June 30, 2022 were lower compared to the three and six months ended June 30, 2021 and primarily reflected lower index credits on FIA policies as a result of market movement during the respective periods. Refer to average policyholder index discussion above for details on drivers.</w:t>
      </w:r>
    </w:p>
    <w:p>
      <w:pPr>
        <w:spacing w:after="0" w:line="111" w:lineRule="exact"/>
        <w:rPr>
          <w:rFonts w:ascii="Arial" w:cs="Arial" w:eastAsia="Arial" w:hAnsi="Arial"/>
          <w:sz w:val="18"/>
          <w:szCs w:val="18"/>
          <w:i w:val="1"/>
          <w:iCs w:val="1"/>
          <w:color w:val="auto"/>
        </w:rPr>
      </w:pPr>
    </w:p>
    <w:p>
      <w:pPr>
        <w:ind w:left="640" w:hanging="319"/>
        <w:spacing w:after="0" w:line="324" w:lineRule="auto"/>
        <w:tabs>
          <w:tab w:leader="none" w:pos="636" w:val="left"/>
        </w:tabs>
        <w:numPr>
          <w:ilvl w:val="0"/>
          <w:numId w:val="20"/>
        </w:numPr>
        <w:rPr>
          <w:rFonts w:ascii="Arial" w:cs="Arial" w:eastAsia="Arial" w:hAnsi="Arial"/>
          <w:sz w:val="16"/>
          <w:szCs w:val="16"/>
          <w:i w:val="1"/>
          <w:iCs w:val="1"/>
          <w:color w:val="auto"/>
        </w:rPr>
      </w:pPr>
      <w:r>
        <w:rPr>
          <w:rFonts w:ascii="Arial" w:cs="Arial" w:eastAsia="Arial" w:hAnsi="Arial"/>
          <w:sz w:val="16"/>
          <w:szCs w:val="16"/>
          <w:color w:val="auto"/>
        </w:rPr>
        <w:t>PRT agreements for the three and six months ended June 30, 2022 compared to the three and 6 months ended June 30, 2021 reflect PRT activity for the periods and F&amp;G's entrance into the PRT market in the second half of 2021. PRT agreements are subject to fluctuation period to period.</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intangibles</w:t>
      </w:r>
    </w:p>
    <w:p>
      <w:pPr>
        <w:spacing w:after="0" w:line="12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Below is a summary of the major components included in depreciation and amortization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960" w:type="dxa"/>
            <w:vAlign w:val="bottom"/>
          </w:tcPr>
          <w:p>
            <w:pPr>
              <w:spacing w:after="0"/>
              <w:rPr>
                <w:sz w:val="16"/>
                <w:szCs w:val="16"/>
                <w:color w:val="auto"/>
              </w:rPr>
            </w:pPr>
          </w:p>
        </w:tc>
        <w:tc>
          <w:tcPr>
            <w:tcW w:w="290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6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4"/>
                <w:szCs w:val="14"/>
                <w:b w:val="1"/>
                <w:bCs w:val="1"/>
                <w:color w:val="auto"/>
              </w:rPr>
              <w:t>Six months ended</w:t>
            </w:r>
          </w:p>
        </w:tc>
        <w:tc>
          <w:tcPr>
            <w:tcW w:w="280" w:type="dxa"/>
            <w:vAlign w:val="bottom"/>
            <w:tcBorders>
              <w:bottom w:val="single" w:sz="8" w:color="auto"/>
            </w:tcBorders>
          </w:tcPr>
          <w:p>
            <w:pPr>
              <w:spacing w:after="0"/>
              <w:rPr>
                <w:sz w:val="16"/>
                <w:szCs w:val="16"/>
                <w:color w:val="auto"/>
              </w:rPr>
            </w:pPr>
          </w:p>
        </w:tc>
      </w:tr>
      <w:tr>
        <w:trPr>
          <w:trHeight w:val="182"/>
        </w:trPr>
        <w:tc>
          <w:tcPr>
            <w:tcW w:w="496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2022</w:t>
            </w: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2021</w:t>
            </w:r>
          </w:p>
        </w:tc>
        <w:tc>
          <w:tcPr>
            <w:tcW w:w="3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2022</w:t>
            </w:r>
          </w:p>
        </w:tc>
        <w:tc>
          <w:tcPr>
            <w:tcW w:w="2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2021</w:t>
            </w:r>
          </w:p>
        </w:tc>
        <w:tc>
          <w:tcPr>
            <w:tcW w:w="280" w:type="dxa"/>
            <w:vAlign w:val="bottom"/>
            <w:tcBorders>
              <w:bottom w:val="single" w:sz="8" w:color="auto"/>
            </w:tcBorders>
          </w:tcPr>
          <w:p>
            <w:pPr>
              <w:spacing w:after="0"/>
              <w:rPr>
                <w:sz w:val="15"/>
                <w:szCs w:val="15"/>
                <w:color w:val="auto"/>
              </w:rPr>
            </w:pPr>
          </w:p>
        </w:tc>
      </w:tr>
      <w:tr>
        <w:trPr>
          <w:trHeight w:val="178"/>
        </w:trPr>
        <w:tc>
          <w:tcPr>
            <w:tcW w:w="4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 of DAC, VOBA, and DSI</w:t>
            </w:r>
          </w:p>
        </w:tc>
        <w:tc>
          <w:tcPr>
            <w:tcW w:w="1240" w:type="dxa"/>
            <w:vAlign w:val="bottom"/>
            <w:shd w:val="clear" w:color="auto" w:fill="CCEEFF"/>
          </w:tcPr>
          <w:p>
            <w:pPr>
              <w:jc w:val="right"/>
              <w:ind w:right="1090"/>
              <w:spacing w:after="0"/>
              <w:rPr>
                <w:sz w:val="20"/>
                <w:szCs w:val="20"/>
                <w:color w:val="auto"/>
              </w:rPr>
            </w:pPr>
            <w:r>
              <w:rPr>
                <w:rFonts w:ascii="Arial" w:cs="Arial" w:eastAsia="Arial" w:hAnsi="Arial"/>
                <w:sz w:val="14"/>
                <w:szCs w:val="14"/>
                <w:color w:val="auto"/>
                <w:w w:val="76"/>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1090"/>
              <w:spacing w:after="0"/>
              <w:rPr>
                <w:sz w:val="20"/>
                <w:szCs w:val="20"/>
                <w:color w:val="auto"/>
              </w:rPr>
            </w:pPr>
            <w:r>
              <w:rPr>
                <w:rFonts w:ascii="Arial" w:cs="Arial" w:eastAsia="Arial" w:hAnsi="Arial"/>
                <w:sz w:val="14"/>
                <w:szCs w:val="14"/>
                <w:color w:val="auto"/>
                <w:w w:val="76"/>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97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282</w:t>
            </w: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970"/>
              <w:spacing w:after="0"/>
              <w:rPr>
                <w:sz w:val="20"/>
                <w:szCs w:val="20"/>
                <w:color w:val="auto"/>
              </w:rPr>
            </w:pPr>
            <w:r>
              <w:rPr>
                <w:rFonts w:ascii="Arial" w:cs="Arial" w:eastAsia="Arial" w:hAnsi="Arial"/>
                <w:sz w:val="14"/>
                <w:szCs w:val="14"/>
                <w:color w:val="auto"/>
                <w:w w:val="76"/>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232</w:t>
            </w:r>
          </w:p>
        </w:tc>
      </w:tr>
      <w:tr>
        <w:trPr>
          <w:trHeight w:val="182"/>
        </w:trPr>
        <w:tc>
          <w:tcPr>
            <w:tcW w:w="4960" w:type="dxa"/>
            <w:vAlign w:val="bottom"/>
          </w:tcPr>
          <w:p>
            <w:pPr>
              <w:ind w:left="20"/>
              <w:spacing w:after="0"/>
              <w:rPr>
                <w:sz w:val="20"/>
                <w:szCs w:val="20"/>
                <w:color w:val="auto"/>
              </w:rPr>
            </w:pPr>
            <w:r>
              <w:rPr>
                <w:rFonts w:ascii="Arial" w:cs="Arial" w:eastAsia="Arial" w:hAnsi="Arial"/>
                <w:sz w:val="14"/>
                <w:szCs w:val="14"/>
                <w:color w:val="auto"/>
              </w:rPr>
              <w:t>Interest</w:t>
            </w:r>
          </w:p>
        </w:tc>
        <w:tc>
          <w:tcPr>
            <w:tcW w:w="12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w w:val="96"/>
              </w:rPr>
              <w:t>(26)</w:t>
            </w: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w w:val="96"/>
              </w:rPr>
              <w:t>(20)</w:t>
            </w:r>
          </w:p>
        </w:tc>
      </w:tr>
      <w:tr>
        <w:trPr>
          <w:trHeight w:val="187"/>
        </w:trPr>
        <w:tc>
          <w:tcPr>
            <w:tcW w:w="4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Unlocking</w:t>
            </w:r>
          </w:p>
        </w:tc>
        <w:tc>
          <w:tcPr>
            <w:tcW w:w="124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(17)</w:t>
            </w:r>
          </w:p>
        </w:tc>
      </w:tr>
      <w:tr>
        <w:trPr>
          <w:trHeight w:val="182"/>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Amortization of other intangible assets and other depreciation</w:t>
            </w:r>
          </w:p>
        </w:tc>
        <w:tc>
          <w:tcPr>
            <w:tcW w:w="12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2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2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r>
      <w:tr>
        <w:trPr>
          <w:trHeight w:val="205"/>
        </w:trPr>
        <w:tc>
          <w:tcPr>
            <w:tcW w:w="4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b w:val="1"/>
                <w:bCs w:val="1"/>
                <w:color w:val="auto"/>
              </w:rPr>
              <w:t>Total depreciation and amortization</w:t>
            </w:r>
          </w:p>
        </w:tc>
        <w:tc>
          <w:tcPr>
            <w:tcW w:w="1240" w:type="dxa"/>
            <w:vAlign w:val="bottom"/>
            <w:tcBorders>
              <w:bottom w:val="single" w:sz="8" w:color="auto"/>
            </w:tcBorders>
            <w:shd w:val="clear" w:color="auto" w:fill="CCEEFF"/>
          </w:tcPr>
          <w:p>
            <w:pPr>
              <w:jc w:val="right"/>
              <w:ind w:right="1090"/>
              <w:spacing w:after="0"/>
              <w:rPr>
                <w:sz w:val="20"/>
                <w:szCs w:val="20"/>
                <w:color w:val="auto"/>
              </w:rPr>
            </w:pPr>
            <w:r>
              <w:rPr>
                <w:rFonts w:ascii="Arial" w:cs="Arial" w:eastAsia="Arial" w:hAnsi="Arial"/>
                <w:sz w:val="14"/>
                <w:szCs w:val="14"/>
                <w:color w:val="auto"/>
                <w:w w:val="76"/>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1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1090"/>
              <w:spacing w:after="0"/>
              <w:rPr>
                <w:sz w:val="20"/>
                <w:szCs w:val="20"/>
                <w:color w:val="auto"/>
              </w:rPr>
            </w:pPr>
            <w:r>
              <w:rPr>
                <w:rFonts w:ascii="Arial" w:cs="Arial" w:eastAsia="Arial" w:hAnsi="Arial"/>
                <w:sz w:val="14"/>
                <w:szCs w:val="14"/>
                <w:color w:val="auto"/>
                <w:w w:val="76"/>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97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5"/>
              </w:rPr>
              <w:t>264</w:t>
            </w: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970"/>
              <w:spacing w:after="0"/>
              <w:rPr>
                <w:sz w:val="20"/>
                <w:szCs w:val="20"/>
                <w:color w:val="auto"/>
              </w:rPr>
            </w:pPr>
            <w:r>
              <w:rPr>
                <w:rFonts w:ascii="Arial" w:cs="Arial" w:eastAsia="Arial" w:hAnsi="Arial"/>
                <w:sz w:val="14"/>
                <w:szCs w:val="14"/>
                <w:color w:val="auto"/>
                <w:w w:val="76"/>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5"/>
              </w:rPr>
              <w:t>209</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r>
    </w:tbl>
    <w:p>
      <w:pPr>
        <w:spacing w:after="0" w:line="382" w:lineRule="exact"/>
        <w:rPr>
          <w:sz w:val="20"/>
          <w:szCs w:val="20"/>
          <w:color w:val="auto"/>
        </w:rPr>
      </w:pPr>
    </w:p>
    <w:p>
      <w:pPr>
        <w:ind w:left="640" w:hanging="319"/>
        <w:spacing w:after="0" w:line="261" w:lineRule="auto"/>
        <w:tabs>
          <w:tab w:leader="none" w:pos="636" w:val="left"/>
        </w:tabs>
        <w:numPr>
          <w:ilvl w:val="0"/>
          <w:numId w:val="21"/>
        </w:numPr>
        <w:rPr>
          <w:rFonts w:ascii="Arial" w:cs="Arial" w:eastAsia="Arial" w:hAnsi="Arial"/>
          <w:sz w:val="18"/>
          <w:szCs w:val="18"/>
          <w:color w:val="auto"/>
        </w:rPr>
      </w:pPr>
      <w:r>
        <w:rPr>
          <w:rFonts w:ascii="Arial" w:cs="Arial" w:eastAsia="Arial" w:hAnsi="Arial"/>
          <w:sz w:val="18"/>
          <w:szCs w:val="18"/>
          <w:color w:val="auto"/>
        </w:rPr>
        <w:t>Amortization of VOBA, DAC and DSI is based on current and future expected gross margins (pre-tax operating income before amortization). The amortization for the periods presented is the result of actual gross profits ("AGPs") in the period.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items affecting net earnings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16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Below is a summary of the major components included in income tax expense (benefit) (dollars in millions):</w:t>
      </w:r>
    </w:p>
    <w:p>
      <w:pPr>
        <w:sectPr>
          <w:pgSz w:w="11900" w:h="16838" w:orient="portrait"/>
          <w:cols w:equalWidth="0" w:num="1">
            <w:col w:w="11240"/>
          </w:cols>
          <w:pgMar w:left="320" w:top="127" w:right="339" w:bottom="1440" w:gutter="0" w:footer="0" w:header="0"/>
        </w:sectPr>
      </w:pPr>
    </w:p>
    <w:p>
      <w:pPr>
        <w:spacing w:after="0" w:line="214" w:lineRule="exact"/>
        <w:rPr>
          <w:sz w:val="20"/>
          <w:szCs w:val="20"/>
          <w:color w:val="auto"/>
        </w:rPr>
      </w:pPr>
    </w:p>
    <w:p>
      <w:pPr>
        <w:jc w:val="center"/>
        <w:ind w:left="506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3036570</wp:posOffset>
            </wp:positionH>
            <wp:positionV relativeFrom="paragraph">
              <wp:posOffset>20955</wp:posOffset>
            </wp:positionV>
            <wp:extent cx="20802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080260" cy="8255"/>
                    </a:xfrm>
                    <a:prstGeom prst="rect">
                      <a:avLst/>
                    </a:prstGeom>
                    <a:noFill/>
                  </pic:spPr>
                </pic:pic>
              </a:graphicData>
            </a:graphic>
          </wp:anchor>
        </w:drawing>
      </w:r>
    </w:p>
    <w:p>
      <w:pPr>
        <w:spacing w:after="0" w:line="16" w:lineRule="exact"/>
        <w:rPr>
          <w:sz w:val="20"/>
          <w:szCs w:val="20"/>
          <w:color w:val="auto"/>
        </w:rPr>
      </w:pPr>
    </w:p>
    <w:p>
      <w:pPr>
        <w:ind w:left="5160"/>
        <w:spacing w:after="0"/>
        <w:tabs>
          <w:tab w:leader="none" w:pos="6820" w:val="left"/>
        </w:tabs>
        <w:rPr>
          <w:sz w:val="20"/>
          <w:szCs w:val="20"/>
          <w:color w:val="auto"/>
        </w:rPr>
      </w:pPr>
      <w:r>
        <w:rPr>
          <w:rFonts w:ascii="Arial" w:cs="Arial" w:eastAsia="Arial" w:hAnsi="Arial"/>
          <w:sz w:val="14"/>
          <w:szCs w:val="14"/>
          <w:b w:val="1"/>
          <w:bCs w:val="1"/>
          <w:color w:val="auto"/>
        </w:rPr>
        <w:t>June 30, 2022</w:t>
      </w:r>
      <w:r>
        <w:rPr>
          <w:sz w:val="20"/>
          <w:szCs w:val="20"/>
          <w:color w:val="auto"/>
        </w:rPr>
        <w:tab/>
      </w:r>
      <w:r>
        <w:rPr>
          <w:rFonts w:ascii="Arial" w:cs="Arial" w:eastAsia="Arial" w:hAnsi="Arial"/>
          <w:sz w:val="12"/>
          <w:szCs w:val="12"/>
          <w:b w:val="1"/>
          <w:bCs w:val="1"/>
          <w:color w:val="auto"/>
        </w:rPr>
        <w:t>June 30, 2021</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center"/>
        <w:ind w:right="320"/>
        <w:spacing w:after="0"/>
        <w:rPr>
          <w:sz w:val="20"/>
          <w:szCs w:val="20"/>
          <w:color w:val="auto"/>
        </w:rPr>
      </w:pPr>
      <w:r>
        <w:rPr>
          <w:rFonts w:ascii="Arial" w:cs="Arial" w:eastAsia="Arial" w:hAnsi="Arial"/>
          <w:sz w:val="14"/>
          <w:szCs w:val="14"/>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20955</wp:posOffset>
            </wp:positionV>
            <wp:extent cx="194691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946910" cy="8255"/>
                    </a:xfrm>
                    <a:prstGeom prst="rect">
                      <a:avLst/>
                    </a:prstGeom>
                    <a:noFill/>
                  </pic:spPr>
                </pic:pic>
              </a:graphicData>
            </a:graphic>
          </wp:anchor>
        </w:drawing>
      </w:r>
    </w:p>
    <w:p>
      <w:pPr>
        <w:spacing w:after="0" w:line="16" w:lineRule="exact"/>
        <w:rPr>
          <w:sz w:val="20"/>
          <w:szCs w:val="20"/>
          <w:color w:val="auto"/>
        </w:rPr>
      </w:pPr>
    </w:p>
    <w:p>
      <w:pPr>
        <w:spacing w:after="0"/>
        <w:tabs>
          <w:tab w:leader="none" w:pos="1580" w:val="left"/>
        </w:tabs>
        <w:rPr>
          <w:sz w:val="20"/>
          <w:szCs w:val="20"/>
          <w:color w:val="auto"/>
        </w:rPr>
      </w:pPr>
      <w:r>
        <w:rPr>
          <w:rFonts w:ascii="Arial" w:cs="Arial" w:eastAsia="Arial" w:hAnsi="Arial"/>
          <w:sz w:val="14"/>
          <w:szCs w:val="14"/>
          <w:b w:val="1"/>
          <w:bCs w:val="1"/>
          <w:color w:val="auto"/>
        </w:rPr>
        <w:t>June 30, 2022</w:t>
      </w:r>
      <w:r>
        <w:rPr>
          <w:sz w:val="20"/>
          <w:szCs w:val="20"/>
          <w:color w:val="auto"/>
        </w:rPr>
        <w:tab/>
      </w:r>
      <w:r>
        <w:rPr>
          <w:rFonts w:ascii="Arial" w:cs="Arial" w:eastAsia="Arial" w:hAnsi="Arial"/>
          <w:sz w:val="12"/>
          <w:szCs w:val="12"/>
          <w:b w:val="1"/>
          <w:bCs w:val="1"/>
          <w:color w:val="auto"/>
        </w:rPr>
        <w:t>June 30, 2021</w:t>
      </w:r>
    </w:p>
    <w:p>
      <w:pPr>
        <w:spacing w:after="0" w:line="22" w:lineRule="exact"/>
        <w:rPr>
          <w:sz w:val="20"/>
          <w:szCs w:val="20"/>
          <w:color w:val="auto"/>
        </w:rPr>
      </w:pPr>
    </w:p>
    <w:p>
      <w:pPr>
        <w:sectPr>
          <w:pgSz w:w="11900" w:h="16838" w:orient="portrait"/>
          <w:cols w:equalWidth="0" w:num="2">
            <w:col w:w="7780" w:space="720"/>
            <w:col w:w="2740"/>
          </w:cols>
          <w:pgMar w:left="320" w:top="127" w:right="33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before taxes</w:t>
            </w:r>
          </w:p>
        </w:tc>
        <w:tc>
          <w:tcPr>
            <w:tcW w:w="620" w:type="dxa"/>
            <w:vAlign w:val="bottom"/>
            <w:tcBorders>
              <w:top w:val="single" w:sz="8" w:color="auto"/>
            </w:tcBorders>
            <w:shd w:val="clear" w:color="auto" w:fill="CCEEFF"/>
          </w:tcPr>
          <w:p>
            <w:pPr>
              <w:jc w:val="right"/>
              <w:ind w:right="470"/>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290</w:t>
            </w:r>
          </w:p>
        </w:tc>
        <w:tc>
          <w:tcPr>
            <w:tcW w:w="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ind w:right="510"/>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4"/>
                <w:szCs w:val="14"/>
                <w:color w:val="auto"/>
              </w:rPr>
              <w:t>97</w:t>
            </w:r>
          </w:p>
        </w:tc>
        <w:tc>
          <w:tcPr>
            <w:tcW w:w="12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right"/>
              <w:ind w:right="430"/>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rPr>
              <w:t>631</w:t>
            </w:r>
          </w:p>
        </w:tc>
        <w:tc>
          <w:tcPr>
            <w:tcW w:w="660" w:type="dxa"/>
            <w:vAlign w:val="bottom"/>
            <w:tcBorders>
              <w:top w:val="single" w:sz="8" w:color="auto"/>
            </w:tcBorders>
            <w:shd w:val="clear" w:color="auto" w:fill="CCEEFF"/>
          </w:tcPr>
          <w:p>
            <w:pPr>
              <w:jc w:val="right"/>
              <w:ind w:right="43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453</w:t>
            </w:r>
          </w:p>
        </w:tc>
        <w:tc>
          <w:tcPr>
            <w:tcW w:w="0" w:type="dxa"/>
            <w:vAlign w:val="bottom"/>
          </w:tcPr>
          <w:p>
            <w:pPr>
              <w:spacing w:after="0"/>
              <w:rPr>
                <w:sz w:val="1"/>
                <w:szCs w:val="1"/>
                <w:color w:val="auto"/>
              </w:rPr>
            </w:pPr>
          </w:p>
        </w:tc>
      </w:tr>
      <w:tr>
        <w:trPr>
          <w:trHeight w:val="158"/>
        </w:trPr>
        <w:tc>
          <w:tcPr>
            <w:tcW w:w="47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 before valuation allowance</w:t>
            </w:r>
          </w:p>
        </w:tc>
        <w:tc>
          <w:tcPr>
            <w:tcW w:w="6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60</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960" w:type="dxa"/>
            <w:vAlign w:val="bottom"/>
            <w:shd w:val="clear" w:color="auto" w:fill="CCEEFF"/>
          </w:tcPr>
          <w:p>
            <w:pPr>
              <w:ind w:left="64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127</w:t>
            </w:r>
          </w:p>
        </w:tc>
        <w:tc>
          <w:tcPr>
            <w:tcW w:w="6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82"/>
        </w:trPr>
        <w:tc>
          <w:tcPr>
            <w:tcW w:w="4780" w:type="dxa"/>
            <w:vAlign w:val="bottom"/>
          </w:tcPr>
          <w:p>
            <w:pPr>
              <w:ind w:left="20"/>
              <w:spacing w:after="0"/>
              <w:rPr>
                <w:sz w:val="20"/>
                <w:szCs w:val="20"/>
                <w:color w:val="auto"/>
              </w:rPr>
            </w:pPr>
            <w:r>
              <w:rPr>
                <w:rFonts w:ascii="Arial" w:cs="Arial" w:eastAsia="Arial" w:hAnsi="Arial"/>
                <w:sz w:val="14"/>
                <w:szCs w:val="14"/>
                <w:color w:val="auto"/>
              </w:rPr>
              <w:t>Change in valuation allowance</w:t>
            </w:r>
          </w:p>
        </w:tc>
        <w:tc>
          <w:tcPr>
            <w:tcW w:w="620" w:type="dxa"/>
            <w:vAlign w:val="bottom"/>
          </w:tcPr>
          <w:p>
            <w:pPr>
              <w:spacing w:after="0"/>
              <w:rPr>
                <w:sz w:val="15"/>
                <w:szCs w:val="15"/>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5"/>
                <w:szCs w:val="15"/>
                <w:color w:val="auto"/>
              </w:rPr>
            </w:pPr>
          </w:p>
        </w:tc>
        <w:tc>
          <w:tcPr>
            <w:tcW w:w="960" w:type="dxa"/>
            <w:vAlign w:val="bottom"/>
          </w:tcPr>
          <w:p>
            <w:pPr>
              <w:ind w:left="580"/>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tcPr>
          <w:p>
            <w:pPr>
              <w:jc w:val="right"/>
              <w:ind w:right="150"/>
              <w:spacing w:after="0"/>
              <w:rPr>
                <w:sz w:val="20"/>
                <w:szCs w:val="20"/>
                <w:color w:val="auto"/>
              </w:rPr>
            </w:pPr>
            <w:r>
              <w:rPr>
                <w:rFonts w:ascii="Arial" w:cs="Arial" w:eastAsia="Arial" w:hAnsi="Arial"/>
                <w:sz w:val="14"/>
                <w:szCs w:val="14"/>
                <w:color w:val="auto"/>
              </w:rPr>
              <w:t>38</w:t>
            </w:r>
          </w:p>
        </w:tc>
        <w:tc>
          <w:tcPr>
            <w:tcW w:w="660" w:type="dxa"/>
            <w:vAlign w:val="bottom"/>
          </w:tcPr>
          <w:p>
            <w:pPr>
              <w:spacing w:after="0"/>
              <w:rPr>
                <w:sz w:val="15"/>
                <w:szCs w:val="15"/>
                <w:color w:val="auto"/>
              </w:rPr>
            </w:pPr>
          </w:p>
        </w:tc>
        <w:tc>
          <w:tcPr>
            <w:tcW w:w="880" w:type="dxa"/>
            <w:vAlign w:val="bottom"/>
          </w:tcPr>
          <w:p>
            <w:pPr>
              <w:jc w:val="right"/>
              <w:ind w:right="70"/>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02"/>
        </w:trPr>
        <w:tc>
          <w:tcPr>
            <w:tcW w:w="4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Federal income tax expense (benefit)</w:t>
            </w:r>
          </w:p>
        </w:tc>
        <w:tc>
          <w:tcPr>
            <w:tcW w:w="620" w:type="dxa"/>
            <w:vAlign w:val="bottom"/>
            <w:tcBorders>
              <w:top w:val="single" w:sz="8" w:color="auto"/>
              <w:bottom w:val="single" w:sz="8" w:color="auto"/>
            </w:tcBorders>
            <w:shd w:val="clear" w:color="auto" w:fill="CCEEFF"/>
          </w:tcPr>
          <w:p>
            <w:pPr>
              <w:jc w:val="right"/>
              <w:ind w:right="470"/>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60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ind w:right="510"/>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4"/>
                <w:szCs w:val="14"/>
                <w:color w:val="auto"/>
              </w:rPr>
              <w:t>21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rPr>
              <w:t>165</w:t>
            </w:r>
          </w:p>
        </w:tc>
        <w:tc>
          <w:tcPr>
            <w:tcW w:w="66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Effective rate</w:t>
            </w: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4780" w:type="dxa"/>
            <w:vAlign w:val="bottom"/>
            <w:vMerge w:val="continue"/>
          </w:tcPr>
          <w:p>
            <w:pPr>
              <w:spacing w:after="0"/>
              <w:rPr>
                <w:sz w:val="13"/>
                <w:szCs w:val="13"/>
                <w:color w:val="auto"/>
              </w:rPr>
            </w:pPr>
          </w:p>
        </w:tc>
        <w:tc>
          <w:tcPr>
            <w:tcW w:w="620" w:type="dxa"/>
            <w:vAlign w:val="bottom"/>
          </w:tcPr>
          <w:p>
            <w:pPr>
              <w:spacing w:after="0"/>
              <w:rPr>
                <w:sz w:val="13"/>
                <w:szCs w:val="13"/>
                <w:color w:val="auto"/>
              </w:rPr>
            </w:pPr>
          </w:p>
        </w:tc>
        <w:tc>
          <w:tcPr>
            <w:tcW w:w="940" w:type="dxa"/>
            <w:vAlign w:val="bottom"/>
          </w:tcPr>
          <w:p>
            <w:pPr>
              <w:jc w:val="right"/>
              <w:spacing w:after="0" w:line="154" w:lineRule="exact"/>
              <w:rPr>
                <w:sz w:val="20"/>
                <w:szCs w:val="20"/>
                <w:color w:val="auto"/>
              </w:rPr>
            </w:pPr>
            <w:r>
              <w:rPr>
                <w:rFonts w:ascii="Arial" w:cs="Arial" w:eastAsia="Arial" w:hAnsi="Arial"/>
                <w:sz w:val="14"/>
                <w:szCs w:val="14"/>
                <w:color w:val="auto"/>
              </w:rPr>
              <w:t>21 %</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ind w:left="640"/>
              <w:spacing w:after="0" w:line="154" w:lineRule="exact"/>
              <w:rPr>
                <w:sz w:val="20"/>
                <w:szCs w:val="20"/>
                <w:color w:val="auto"/>
              </w:rPr>
            </w:pPr>
            <w:r>
              <w:rPr>
                <w:rFonts w:ascii="Arial" w:cs="Arial" w:eastAsia="Arial" w:hAnsi="Arial"/>
                <w:sz w:val="14"/>
                <w:szCs w:val="14"/>
                <w:color w:val="auto"/>
                <w:w w:val="93"/>
              </w:rPr>
              <w:t>22 %</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0" w:type="dxa"/>
            <w:vAlign w:val="bottom"/>
          </w:tcPr>
          <w:p>
            <w:pPr>
              <w:jc w:val="right"/>
              <w:spacing w:after="0" w:line="154" w:lineRule="exact"/>
              <w:rPr>
                <w:sz w:val="20"/>
                <w:szCs w:val="20"/>
                <w:color w:val="auto"/>
              </w:rPr>
            </w:pPr>
            <w:r>
              <w:rPr>
                <w:rFonts w:ascii="Arial" w:cs="Arial" w:eastAsia="Arial" w:hAnsi="Arial"/>
                <w:sz w:val="14"/>
                <w:szCs w:val="14"/>
                <w:color w:val="auto"/>
              </w:rPr>
              <w:t>26 %</w:t>
            </w:r>
          </w:p>
        </w:tc>
        <w:tc>
          <w:tcPr>
            <w:tcW w:w="660" w:type="dxa"/>
            <w:vAlign w:val="bottom"/>
          </w:tcPr>
          <w:p>
            <w:pPr>
              <w:spacing w:after="0"/>
              <w:rPr>
                <w:sz w:val="13"/>
                <w:szCs w:val="13"/>
                <w:color w:val="auto"/>
              </w:rPr>
            </w:pPr>
          </w:p>
        </w:tc>
        <w:tc>
          <w:tcPr>
            <w:tcW w:w="880" w:type="dxa"/>
            <w:vAlign w:val="bottom"/>
          </w:tcPr>
          <w:p>
            <w:pPr>
              <w:jc w:val="right"/>
              <w:spacing w:after="0" w:line="154" w:lineRule="exact"/>
              <w:rPr>
                <w:sz w:val="20"/>
                <w:szCs w:val="20"/>
                <w:color w:val="auto"/>
              </w:rPr>
            </w:pPr>
            <w:r>
              <w:rPr>
                <w:rFonts w:ascii="Arial" w:cs="Arial" w:eastAsia="Arial" w:hAnsi="Arial"/>
                <w:sz w:val="14"/>
                <w:szCs w:val="14"/>
                <w:color w:val="auto"/>
              </w:rPr>
              <w:t>21 %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9" w:lineRule="exact"/>
        <w:rPr>
          <w:sz w:val="20"/>
          <w:szCs w:val="20"/>
          <w:color w:val="auto"/>
        </w:rPr>
      </w:pPr>
    </w:p>
    <w:p>
      <w:pPr>
        <w:jc w:val="both"/>
        <w:ind w:left="640" w:hanging="319"/>
        <w:spacing w:after="0" w:line="252" w:lineRule="auto"/>
        <w:tabs>
          <w:tab w:leader="none" w:pos="636"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Income tax expense for the three months ended June 30, 2022 was $60 million, compared to income tax expense of $21 million, inclusive of a change in the valuation allowance of $(14) million for the three months ended June 30, 2021. The effective tax rate for the three months ended June 30, 2022, was 21%, in line with the effective tax rate for the three months ended June 30, 2021.</w:t>
      </w:r>
    </w:p>
    <w:p>
      <w:pPr>
        <w:spacing w:after="0" w:line="58" w:lineRule="exact"/>
        <w:rPr>
          <w:rFonts w:ascii="Arial" w:cs="Arial" w:eastAsia="Arial" w:hAnsi="Arial"/>
          <w:sz w:val="18"/>
          <w:szCs w:val="18"/>
          <w:color w:val="auto"/>
        </w:rPr>
      </w:pPr>
    </w:p>
    <w:p>
      <w:pPr>
        <w:jc w:val="both"/>
        <w:ind w:left="640" w:hanging="319"/>
        <w:spacing w:after="0" w:line="262" w:lineRule="auto"/>
        <w:tabs>
          <w:tab w:leader="none" w:pos="602" w:val="left"/>
        </w:tabs>
        <w:numPr>
          <w:ilvl w:val="0"/>
          <w:numId w:val="22"/>
        </w:numPr>
        <w:rPr>
          <w:rFonts w:ascii="Arial" w:cs="Arial" w:eastAsia="Arial" w:hAnsi="Arial"/>
          <w:sz w:val="18"/>
          <w:szCs w:val="18"/>
          <w:color w:val="auto"/>
        </w:rPr>
      </w:pPr>
      <w:r>
        <w:rPr>
          <w:rFonts w:ascii="Arial" w:cs="Arial" w:eastAsia="Arial" w:hAnsi="Arial"/>
          <w:sz w:val="17"/>
          <w:szCs w:val="17"/>
          <w:color w:val="auto"/>
        </w:rPr>
        <w:t>Income tax expense for the six months ended June 30, 2022 was $165 million, inclusive of a change in the valuation allowance of $38 million, compared to income tax expense of $93 million, inclusive of a change in the valuation allowance of $(14) million for the six months ended June 30, 2021. The effective tax rate was 26% and 21% for the six months ended June 30, 2022 and June 30, 2021, respectively. The increase in the effective tax rate for the six months ended June 30, 2022 is primarily related to the valuation allowance recorded on realized capital losses on the sale of discontinued operations, for which it is more likely than not that we will not be able to realize for tax purposes.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70" w:name="page71"/>
    <w:bookmarkEnd w:id="7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Net Earnings (See Non-GAAP Financial Measures section)</w:t>
      </w:r>
    </w:p>
    <w:p>
      <w:pPr>
        <w:spacing w:after="0" w:line="18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table below shows the adjustments made to reconcile Net earnings from continuing operations to Adjusted net earnings (in millions):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000" w:type="dxa"/>
            <w:vAlign w:val="bottom"/>
          </w:tcPr>
          <w:p>
            <w:pPr>
              <w:spacing w:after="0"/>
              <w:rPr>
                <w:sz w:val="16"/>
                <w:szCs w:val="16"/>
                <w:color w:val="auto"/>
              </w:rPr>
            </w:pPr>
          </w:p>
        </w:tc>
        <w:tc>
          <w:tcPr>
            <w:tcW w:w="286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870"/>
              <w:spacing w:after="0"/>
              <w:rPr>
                <w:sz w:val="20"/>
                <w:szCs w:val="20"/>
                <w:color w:val="auto"/>
              </w:rPr>
            </w:pPr>
            <w:r>
              <w:rPr>
                <w:rFonts w:ascii="Arial" w:cs="Arial" w:eastAsia="Arial" w:hAnsi="Arial"/>
                <w:sz w:val="14"/>
                <w:szCs w:val="14"/>
                <w:b w:val="1"/>
                <w:bCs w:val="1"/>
                <w:color w:val="auto"/>
              </w:rPr>
              <w:t>Six months ended</w:t>
            </w:r>
          </w:p>
        </w:tc>
      </w:tr>
      <w:tr>
        <w:trPr>
          <w:trHeight w:val="182"/>
        </w:trPr>
        <w:tc>
          <w:tcPr>
            <w:tcW w:w="50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June 30, 2022</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jc w:val="right"/>
              <w:ind w:right="10"/>
              <w:spacing w:after="0"/>
              <w:rPr>
                <w:sz w:val="20"/>
                <w:szCs w:val="20"/>
                <w:color w:val="auto"/>
              </w:rPr>
            </w:pPr>
            <w:r>
              <w:rPr>
                <w:rFonts w:ascii="Arial" w:cs="Arial" w:eastAsia="Arial" w:hAnsi="Arial"/>
                <w:sz w:val="14"/>
                <w:szCs w:val="14"/>
                <w:b w:val="1"/>
                <w:bCs w:val="1"/>
                <w:color w:val="auto"/>
              </w:rPr>
              <w:t>June 30, 2021</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2022</w:t>
            </w:r>
          </w:p>
        </w:tc>
        <w:tc>
          <w:tcPr>
            <w:tcW w:w="180" w:type="dxa"/>
            <w:vAlign w:val="bottom"/>
          </w:tcPr>
          <w:p>
            <w:pPr>
              <w:spacing w:after="0"/>
              <w:rPr>
                <w:sz w:val="15"/>
                <w:szCs w:val="15"/>
                <w:color w:val="auto"/>
              </w:rPr>
            </w:pPr>
          </w:p>
        </w:tc>
        <w:tc>
          <w:tcPr>
            <w:tcW w:w="1220" w:type="dxa"/>
            <w:vAlign w:val="bottom"/>
          </w:tcPr>
          <w:p>
            <w:pPr>
              <w:jc w:val="right"/>
              <w:ind w:right="230"/>
              <w:spacing w:after="0"/>
              <w:rPr>
                <w:sz w:val="20"/>
                <w:szCs w:val="20"/>
                <w:color w:val="auto"/>
              </w:rPr>
            </w:pPr>
            <w:r>
              <w:rPr>
                <w:rFonts w:ascii="Arial" w:cs="Arial" w:eastAsia="Arial" w:hAnsi="Arial"/>
                <w:sz w:val="14"/>
                <w:szCs w:val="14"/>
                <w:b w:val="1"/>
                <w:bCs w:val="1"/>
                <w:color w:val="auto"/>
                <w:w w:val="98"/>
              </w:rPr>
              <w:t>June 30, 2021</w:t>
            </w:r>
          </w:p>
        </w:tc>
      </w:tr>
      <w:tr>
        <w:trPr>
          <w:trHeight w:val="178"/>
        </w:trPr>
        <w:tc>
          <w:tcPr>
            <w:tcW w:w="5000" w:type="dxa"/>
            <w:vAlign w:val="bottom"/>
            <w:tcBorders>
              <w:top w:val="single" w:sz="8" w:color="CCEEFF"/>
            </w:tcBorders>
            <w:shd w:val="clear" w:color="auto" w:fill="CCEEFF"/>
          </w:tcPr>
          <w:p>
            <w:pPr>
              <w:ind w:left="20"/>
              <w:spacing w:after="0" w:line="159" w:lineRule="exact"/>
              <w:rPr>
                <w:sz w:val="20"/>
                <w:szCs w:val="20"/>
                <w:color w:val="auto"/>
              </w:rPr>
            </w:pPr>
            <w:r>
              <w:rPr>
                <w:rFonts w:ascii="Arial" w:cs="Arial" w:eastAsia="Arial" w:hAnsi="Arial"/>
                <w:sz w:val="14"/>
                <w:szCs w:val="14"/>
                <w:color w:val="auto"/>
              </w:rPr>
              <w:t>Net earnings from continuing operations</w:t>
            </w:r>
          </w:p>
        </w:tc>
        <w:tc>
          <w:tcPr>
            <w:tcW w:w="1140" w:type="dxa"/>
            <w:vAlign w:val="bottom"/>
            <w:tcBorders>
              <w:top w:val="single" w:sz="8" w:color="auto"/>
            </w:tcBorders>
            <w:shd w:val="clear" w:color="auto" w:fill="CCEEFF"/>
          </w:tcPr>
          <w:p>
            <w:pPr>
              <w:jc w:val="right"/>
              <w:ind w:right="990"/>
              <w:spacing w:after="0"/>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230</w:t>
            </w:r>
          </w:p>
        </w:tc>
        <w:tc>
          <w:tcPr>
            <w:tcW w:w="10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jc w:val="right"/>
              <w:ind w:right="1130"/>
              <w:spacing w:after="0"/>
              <w:rPr>
                <w:sz w:val="20"/>
                <w:szCs w:val="20"/>
                <w:color w:val="auto"/>
              </w:rPr>
            </w:pPr>
            <w:r>
              <w:rPr>
                <w:rFonts w:ascii="Arial" w:cs="Arial" w:eastAsia="Arial" w:hAnsi="Arial"/>
                <w:sz w:val="14"/>
                <w:szCs w:val="14"/>
                <w:color w:val="auto"/>
                <w:w w:val="76"/>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466</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360</w:t>
            </w:r>
          </w:p>
        </w:tc>
      </w:tr>
      <w:tr>
        <w:trPr>
          <w:trHeight w:val="184"/>
        </w:trPr>
        <w:tc>
          <w:tcPr>
            <w:tcW w:w="5000" w:type="dxa"/>
            <w:vAlign w:val="bottom"/>
          </w:tcPr>
          <w:p>
            <w:pPr>
              <w:ind w:left="20"/>
              <w:spacing w:after="0"/>
              <w:rPr>
                <w:sz w:val="20"/>
                <w:szCs w:val="20"/>
                <w:color w:val="auto"/>
              </w:rPr>
            </w:pPr>
            <w:r>
              <w:rPr>
                <w:rFonts w:ascii="Arial" w:cs="Arial" w:eastAsia="Arial" w:hAnsi="Arial"/>
                <w:sz w:val="14"/>
                <w:szCs w:val="14"/>
                <w:b w:val="1"/>
                <w:bCs w:val="1"/>
                <w:color w:val="auto"/>
              </w:rPr>
              <w:t>Non-GAAP adjustments:</w:t>
            </w:r>
          </w:p>
        </w:tc>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5"/>
        </w:trPr>
        <w:tc>
          <w:tcPr>
            <w:tcW w:w="5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Recognized (gains) and losses, net</w:t>
            </w:r>
          </w:p>
        </w:tc>
        <w:tc>
          <w:tcPr>
            <w:tcW w:w="114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w:t>
            </w:r>
          </w:p>
        </w:tc>
      </w:tr>
      <w:tr>
        <w:trPr>
          <w:trHeight w:val="182"/>
        </w:trPr>
        <w:tc>
          <w:tcPr>
            <w:tcW w:w="5000" w:type="dxa"/>
            <w:vAlign w:val="bottom"/>
          </w:tcPr>
          <w:p>
            <w:pPr>
              <w:ind w:left="20"/>
              <w:spacing w:after="0"/>
              <w:rPr>
                <w:sz w:val="20"/>
                <w:szCs w:val="20"/>
                <w:color w:val="auto"/>
              </w:rPr>
            </w:pPr>
            <w:r>
              <w:rPr>
                <w:rFonts w:ascii="Arial" w:cs="Arial" w:eastAsia="Arial" w:hAnsi="Arial"/>
                <w:sz w:val="14"/>
                <w:szCs w:val="14"/>
                <w:color w:val="auto"/>
              </w:rPr>
              <w:t>Indexed product related derivatives</w:t>
            </w:r>
          </w:p>
        </w:tc>
        <w:tc>
          <w:tcPr>
            <w:tcW w:w="11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w w:val="91"/>
              </w:rPr>
              <w:t>(159)</w:t>
            </w: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(327)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(110)</w:t>
            </w:r>
          </w:p>
        </w:tc>
      </w:tr>
      <w:tr>
        <w:trPr>
          <w:trHeight w:val="187"/>
        </w:trPr>
        <w:tc>
          <w:tcPr>
            <w:tcW w:w="5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 price amortization</w:t>
            </w:r>
          </w:p>
        </w:tc>
        <w:tc>
          <w:tcPr>
            <w:tcW w:w="114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182"/>
        </w:trPr>
        <w:tc>
          <w:tcPr>
            <w:tcW w:w="5000" w:type="dxa"/>
            <w:vAlign w:val="bottom"/>
          </w:tcPr>
          <w:p>
            <w:pPr>
              <w:ind w:left="20"/>
              <w:spacing w:after="0"/>
              <w:rPr>
                <w:sz w:val="20"/>
                <w:szCs w:val="20"/>
                <w:color w:val="auto"/>
              </w:rPr>
            </w:pPr>
            <w:r>
              <w:rPr>
                <w:rFonts w:ascii="Arial" w:cs="Arial" w:eastAsia="Arial" w:hAnsi="Arial"/>
                <w:sz w:val="14"/>
                <w:szCs w:val="14"/>
                <w:color w:val="auto"/>
              </w:rPr>
              <w:t>Transaction costs</w:t>
            </w:r>
          </w:p>
        </w:tc>
        <w:tc>
          <w:tcPr>
            <w:tcW w:w="11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184"/>
        </w:trPr>
        <w:tc>
          <w:tcPr>
            <w:tcW w:w="5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taxes on non-GAAP adjustments</w:t>
            </w:r>
          </w:p>
        </w:tc>
        <w:tc>
          <w:tcPr>
            <w:tcW w:w="114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w:t>
            </w:r>
          </w:p>
        </w:tc>
      </w:tr>
      <w:tr>
        <w:trPr>
          <w:trHeight w:val="180"/>
        </w:trPr>
        <w:tc>
          <w:tcPr>
            <w:tcW w:w="5000" w:type="dxa"/>
            <w:vAlign w:val="bottom"/>
          </w:tcPr>
          <w:p>
            <w:pPr>
              <w:ind w:left="460"/>
              <w:spacing w:after="0"/>
              <w:rPr>
                <w:sz w:val="20"/>
                <w:szCs w:val="20"/>
                <w:color w:val="auto"/>
              </w:rPr>
            </w:pPr>
            <w:r>
              <w:rPr>
                <w:rFonts w:ascii="Arial" w:cs="Arial" w:eastAsia="Arial" w:hAnsi="Arial"/>
                <w:sz w:val="14"/>
                <w:szCs w:val="14"/>
                <w:color w:val="auto"/>
              </w:rPr>
              <w:t>Adjusted net earnings</w:t>
            </w:r>
          </w:p>
        </w:tc>
        <w:tc>
          <w:tcPr>
            <w:tcW w:w="1140" w:type="dxa"/>
            <w:vAlign w:val="bottom"/>
            <w:tcBorders>
              <w:bottom w:val="single" w:sz="8" w:color="auto"/>
            </w:tcBorders>
          </w:tcPr>
          <w:p>
            <w:pPr>
              <w:jc w:val="right"/>
              <w:ind w:right="990"/>
              <w:spacing w:after="0"/>
              <w:rPr>
                <w:sz w:val="20"/>
                <w:szCs w:val="20"/>
                <w:color w:val="auto"/>
              </w:rPr>
            </w:pPr>
            <w:r>
              <w:rPr>
                <w:rFonts w:ascii="Arial" w:cs="Arial" w:eastAsia="Arial" w:hAnsi="Arial"/>
                <w:sz w:val="14"/>
                <w:szCs w:val="14"/>
                <w:color w:val="auto"/>
                <w:w w:val="76"/>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w:t>
            </w:r>
          </w:p>
        </w:tc>
        <w:tc>
          <w:tcPr>
            <w:tcW w:w="100" w:type="dxa"/>
            <w:vAlign w:val="bottom"/>
          </w:tcPr>
          <w:p>
            <w:pPr>
              <w:spacing w:after="0"/>
              <w:rPr>
                <w:sz w:val="15"/>
                <w:szCs w:val="15"/>
                <w:color w:val="auto"/>
              </w:rPr>
            </w:pPr>
          </w:p>
        </w:tc>
        <w:tc>
          <w:tcPr>
            <w:tcW w:w="1280" w:type="dxa"/>
            <w:vAlign w:val="bottom"/>
            <w:tcBorders>
              <w:bottom w:val="single" w:sz="8" w:color="auto"/>
            </w:tcBorders>
          </w:tcPr>
          <w:p>
            <w:pPr>
              <w:jc w:val="right"/>
              <w:ind w:right="1130"/>
              <w:spacing w:after="0"/>
              <w:rPr>
                <w:sz w:val="20"/>
                <w:szCs w:val="20"/>
                <w:color w:val="auto"/>
              </w:rPr>
            </w:pPr>
            <w:r>
              <w:rPr>
                <w:rFonts w:ascii="Arial" w:cs="Arial" w:eastAsia="Arial" w:hAnsi="Arial"/>
                <w:sz w:val="14"/>
                <w:szCs w:val="14"/>
                <w:color w:val="auto"/>
                <w:w w:val="76"/>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w:t>
            </w:r>
          </w:p>
        </w:tc>
        <w:tc>
          <w:tcPr>
            <w:tcW w:w="120" w:type="dxa"/>
            <w:vAlign w:val="bottom"/>
          </w:tcPr>
          <w:p>
            <w:pPr>
              <w:spacing w:after="0"/>
              <w:rPr>
                <w:sz w:val="15"/>
                <w:szCs w:val="15"/>
                <w:color w:val="auto"/>
              </w:rPr>
            </w:pPr>
          </w:p>
        </w:tc>
        <w:tc>
          <w:tcPr>
            <w:tcW w:w="2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w:t>
            </w:r>
          </w:p>
        </w:tc>
      </w:tr>
      <w:tr>
        <w:trPr>
          <w:trHeight w:val="20"/>
        </w:trPr>
        <w:tc>
          <w:tcPr>
            <w:tcW w:w="50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77"/>
        </w:trPr>
        <w:tc>
          <w:tcPr>
            <w:tcW w:w="5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Notable items included in adjusted net earnings (discussed below)</w:t>
            </w:r>
          </w:p>
        </w:tc>
        <w:tc>
          <w:tcPr>
            <w:tcW w:w="1140" w:type="dxa"/>
            <w:vAlign w:val="bottom"/>
            <w:shd w:val="clear" w:color="auto" w:fill="CCEEFF"/>
          </w:tcPr>
          <w:p>
            <w:pPr>
              <w:jc w:val="right"/>
              <w:ind w:right="990"/>
              <w:spacing w:after="0"/>
              <w:rPr>
                <w:sz w:val="20"/>
                <w:szCs w:val="20"/>
                <w:color w:val="auto"/>
              </w:rPr>
            </w:pPr>
            <w:r>
              <w:rPr>
                <w:rFonts w:ascii="Arial" w:cs="Arial" w:eastAsia="Arial" w:hAnsi="Arial"/>
                <w:sz w:val="14"/>
                <w:szCs w:val="14"/>
                <w:color w:val="auto"/>
                <w:w w:val="76"/>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1130"/>
              <w:spacing w:after="0"/>
              <w:rPr>
                <w:sz w:val="20"/>
                <w:szCs w:val="20"/>
                <w:color w:val="auto"/>
              </w:rPr>
            </w:pPr>
            <w:r>
              <w:rPr>
                <w:rFonts w:ascii="Arial" w:cs="Arial" w:eastAsia="Arial" w:hAnsi="Arial"/>
                <w:sz w:val="14"/>
                <w:szCs w:val="14"/>
                <w:color w:val="auto"/>
                <w:w w:val="76"/>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r>
    </w:tbl>
    <w:p>
      <w:pPr>
        <w:spacing w:after="0" w:line="396" w:lineRule="exact"/>
        <w:rPr>
          <w:sz w:val="20"/>
          <w:szCs w:val="20"/>
          <w:color w:val="auto"/>
        </w:rPr>
      </w:pPr>
    </w:p>
    <w:p>
      <w:pPr>
        <w:ind w:left="640" w:right="40" w:hanging="319"/>
        <w:spacing w:after="0" w:line="228" w:lineRule="auto"/>
        <w:tabs>
          <w:tab w:leader="none" w:pos="602" w:val="left"/>
        </w:tabs>
        <w:numPr>
          <w:ilvl w:val="0"/>
          <w:numId w:val="23"/>
        </w:numPr>
        <w:rPr>
          <w:rFonts w:ascii="Arial" w:cs="Arial" w:eastAsia="Arial" w:hAnsi="Arial"/>
          <w:sz w:val="18"/>
          <w:szCs w:val="18"/>
          <w:color w:val="auto"/>
        </w:rPr>
      </w:pPr>
      <w:r>
        <w:rPr>
          <w:rFonts w:ascii="Arial" w:cs="Arial" w:eastAsia="Arial" w:hAnsi="Arial"/>
          <w:sz w:val="17"/>
          <w:szCs w:val="17"/>
          <w:color w:val="auto"/>
        </w:rPr>
        <w:t>Adjusted net earnings increased from $92 million for the three months ended June 30, 2021 to $128 million for the three months ended June 30, 2022. The June 30, 2022 results include $36 million of favorable notable items, primarily as a result of actuarial assumption updates; we have updated assumptions for our fixed indexed annuity guaranteed minimum withdrawal benefits, based on utilization experience relative to our more conservative assumptions, as well as our net earned rate assumptions which we will continue to monitor in response to significant changes in the macro environment. Comparatively, adjusted net earnings for the three months ended June 30, 2021 included $22 million of favorable notable items, primarily as a result of gains on collateralized loan obligation ("CLO") redemptions.</w:t>
      </w:r>
    </w:p>
    <w:p>
      <w:pPr>
        <w:ind w:left="320"/>
        <w:spacing w:after="0" w:line="224" w:lineRule="auto"/>
        <w:rPr>
          <w:sz w:val="20"/>
          <w:szCs w:val="20"/>
          <w:color w:val="auto"/>
        </w:rPr>
      </w:pPr>
      <w:r>
        <w:rPr>
          <w:rFonts w:ascii="Arial" w:cs="Arial" w:eastAsia="Arial" w:hAnsi="Arial"/>
          <w:sz w:val="19"/>
          <w:szCs w:val="19"/>
          <w:color w:val="auto"/>
        </w:rPr>
        <w:t>.</w:t>
      </w:r>
    </w:p>
    <w:p>
      <w:pPr>
        <w:spacing w:after="0" w:line="1" w:lineRule="exact"/>
        <w:rPr>
          <w:sz w:val="20"/>
          <w:szCs w:val="20"/>
          <w:color w:val="auto"/>
        </w:rPr>
      </w:pPr>
    </w:p>
    <w:p>
      <w:pPr>
        <w:ind w:left="640" w:right="20" w:hanging="319"/>
        <w:spacing w:after="0" w:line="218" w:lineRule="auto"/>
        <w:tabs>
          <w:tab w:leader="none" w:pos="636"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Adjusted net earnings increased from $170 million for the six months ended June 30, 2021 to $210 million for the six months ended June 30, 2022. The June 30, 2022 results include $20 million of net favorable notable items, primarily as a result of $30 million favorable actuarial assumption updates and $28 million other net favorable items, including gains on CLO redemptions; partially offset by $38 million of income tax expense due to a valuation allowance recorded against deferred tax assets related to the past sale of discontinued operations. Comparatively, adjusted net earnings for the six months ended June 30, 2021 included $34 million of favorable notable items, primarily as a result of favorable change in reserves and gains on CLO redemptions.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Portfolio</w:t>
      </w:r>
    </w:p>
    <w:p>
      <w:pPr>
        <w:spacing w:after="0" w:line="161" w:lineRule="exact"/>
        <w:rPr>
          <w:sz w:val="20"/>
          <w:szCs w:val="20"/>
          <w:color w:val="auto"/>
        </w:rPr>
      </w:pPr>
    </w:p>
    <w:p>
      <w:pPr>
        <w:jc w:val="both"/>
        <w:ind w:firstLine="632"/>
        <w:spacing w:after="0" w:line="299" w:lineRule="auto"/>
        <w:rPr>
          <w:sz w:val="20"/>
          <w:szCs w:val="20"/>
          <w:color w:val="auto"/>
        </w:rPr>
      </w:pPr>
      <w:r>
        <w:rPr>
          <w:rFonts w:ascii="Arial" w:cs="Arial" w:eastAsia="Arial" w:hAnsi="Arial"/>
          <w:sz w:val="16"/>
          <w:szCs w:val="16"/>
          <w:color w:val="auto"/>
        </w:rPr>
        <w:t>The types of assets in which we may invest are influenced by various state laws, which prescribe qualified investment assets applicable to insurance companies. Within the parameters of these laws, we invest in assets giving consideration to four primary investment objectives: (i) maintain robust absolute returns; (ii) provide reliable yield and investment income; (iii) preserve capital and (iv) provide liquidity to meet policyholder and other corporate obligations.</w:t>
      </w:r>
    </w:p>
    <w:p>
      <w:pPr>
        <w:spacing w:after="0" w:line="76" w:lineRule="exact"/>
        <w:rPr>
          <w:sz w:val="20"/>
          <w:szCs w:val="20"/>
          <w:color w:val="auto"/>
        </w:rPr>
      </w:pPr>
    </w:p>
    <w:p>
      <w:pPr>
        <w:jc w:val="both"/>
        <w:ind w:firstLine="434"/>
        <w:spacing w:after="0" w:line="261" w:lineRule="auto"/>
        <w:rPr>
          <w:sz w:val="20"/>
          <w:szCs w:val="20"/>
          <w:color w:val="auto"/>
        </w:rPr>
      </w:pPr>
      <w:r>
        <w:rPr>
          <w:rFonts w:ascii="Arial" w:cs="Arial" w:eastAsia="Arial" w:hAnsi="Arial"/>
          <w:sz w:val="18"/>
          <w:szCs w:val="18"/>
          <w:color w:val="auto"/>
        </w:rPr>
        <w:t>Our investment portfolio is designed to contribute stable earnings and balance risk across diverse asset classes and is primarily invested in high quality fixed income securities.</w:t>
      </w:r>
    </w:p>
    <w:p>
      <w:pPr>
        <w:spacing w:after="0" w:line="89" w:lineRule="exact"/>
        <w:rPr>
          <w:sz w:val="20"/>
          <w:szCs w:val="20"/>
          <w:color w:val="auto"/>
        </w:rPr>
      </w:pPr>
    </w:p>
    <w:p>
      <w:pPr>
        <w:jc w:val="both"/>
        <w:ind w:firstLine="434"/>
        <w:spacing w:after="0" w:line="261" w:lineRule="auto"/>
        <w:rPr>
          <w:sz w:val="20"/>
          <w:szCs w:val="20"/>
          <w:color w:val="auto"/>
        </w:rPr>
      </w:pPr>
      <w:r>
        <w:rPr>
          <w:rFonts w:ascii="Arial" w:cs="Arial" w:eastAsia="Arial" w:hAnsi="Arial"/>
          <w:sz w:val="18"/>
          <w:szCs w:val="18"/>
          <w:color w:val="auto"/>
        </w:rPr>
        <w:t>As of June 30, 2022 and December 31, 2021, the fair value of our investment portfolio was approximately $38 billion and $39 billion, respectively, and was divided among the following asset classes and sectors (dollars in millions):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5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w w:val="92"/>
              </w:rPr>
              <w:t>June 30, 2022</w:t>
            </w:r>
          </w:p>
        </w:tc>
        <w:tc>
          <w:tcPr>
            <w:tcW w:w="5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3"/>
          </w:tcPr>
          <w:p>
            <w:pPr>
              <w:jc w:val="right"/>
              <w:ind w:right="850"/>
              <w:spacing w:after="0"/>
              <w:rPr>
                <w:sz w:val="20"/>
                <w:szCs w:val="20"/>
                <w:color w:val="auto"/>
              </w:rPr>
            </w:pPr>
            <w:r>
              <w:rPr>
                <w:rFonts w:ascii="Arial" w:cs="Arial" w:eastAsia="Arial" w:hAnsi="Arial"/>
                <w:sz w:val="14"/>
                <w:szCs w:val="14"/>
                <w:b w:val="1"/>
                <w:bCs w:val="1"/>
                <w:color w:val="auto"/>
              </w:rPr>
              <w:t>December 31, 2021</w:t>
            </w:r>
          </w:p>
        </w:tc>
      </w:tr>
      <w:tr>
        <w:trPr>
          <w:trHeight w:val="182"/>
        </w:trPr>
        <w:tc>
          <w:tcPr>
            <w:tcW w:w="5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gridSpan w:val="3"/>
          </w:tcPr>
          <w:p>
            <w:pPr>
              <w:ind w:left="140"/>
              <w:spacing w:after="0"/>
              <w:rPr>
                <w:sz w:val="20"/>
                <w:szCs w:val="20"/>
                <w:color w:val="auto"/>
              </w:rPr>
            </w:pPr>
            <w:r>
              <w:rPr>
                <w:rFonts w:ascii="Arial" w:cs="Arial" w:eastAsia="Arial" w:hAnsi="Arial"/>
                <w:sz w:val="14"/>
                <w:szCs w:val="14"/>
                <w:b w:val="1"/>
                <w:bCs w:val="1"/>
                <w:color w:val="auto"/>
              </w:rPr>
              <w:t>Fair Value</w:t>
            </w:r>
          </w:p>
        </w:tc>
        <w:tc>
          <w:tcPr>
            <w:tcW w:w="580" w:type="dxa"/>
            <w:vAlign w:val="bottom"/>
          </w:tcPr>
          <w:p>
            <w:pPr>
              <w:ind w:left="60"/>
              <w:spacing w:after="0"/>
              <w:rPr>
                <w:sz w:val="20"/>
                <w:szCs w:val="20"/>
                <w:color w:val="auto"/>
              </w:rPr>
            </w:pPr>
            <w:r>
              <w:rPr>
                <w:rFonts w:ascii="Arial" w:cs="Arial" w:eastAsia="Arial" w:hAnsi="Arial"/>
                <w:sz w:val="14"/>
                <w:szCs w:val="14"/>
                <w:b w:val="1"/>
                <w:bCs w:val="1"/>
                <w:color w:val="auto"/>
                <w:w w:val="97"/>
              </w:rPr>
              <w:t>Percent</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Fair Value</w:t>
            </w:r>
          </w:p>
        </w:tc>
        <w:tc>
          <w:tcPr>
            <w:tcW w:w="1500" w:type="dxa"/>
            <w:vAlign w:val="bottom"/>
          </w:tcPr>
          <w:p>
            <w:pPr>
              <w:jc w:val="right"/>
              <w:ind w:right="450"/>
              <w:spacing w:after="0"/>
              <w:rPr>
                <w:sz w:val="20"/>
                <w:szCs w:val="20"/>
                <w:color w:val="auto"/>
              </w:rPr>
            </w:pPr>
            <w:r>
              <w:rPr>
                <w:rFonts w:ascii="Arial" w:cs="Arial" w:eastAsia="Arial" w:hAnsi="Arial"/>
                <w:sz w:val="14"/>
                <w:szCs w:val="14"/>
                <w:b w:val="1"/>
                <w:bCs w:val="1"/>
                <w:color w:val="auto"/>
              </w:rPr>
              <w:t>Percent</w:t>
            </w:r>
          </w:p>
        </w:tc>
      </w:tr>
      <w:tr>
        <w:trPr>
          <w:trHeight w:val="165"/>
        </w:trPr>
        <w:tc>
          <w:tcPr>
            <w:tcW w:w="5120" w:type="dxa"/>
            <w:vAlign w:val="bottom"/>
            <w:tcBorders>
              <w:top w:val="single" w:sz="8" w:color="CCEEFF"/>
            </w:tcBorders>
            <w:shd w:val="clear" w:color="auto" w:fill="CCEEFF"/>
          </w:tcPr>
          <w:p>
            <w:pPr>
              <w:ind w:left="20"/>
              <w:spacing w:after="0" w:line="159" w:lineRule="exact"/>
              <w:rPr>
                <w:sz w:val="20"/>
                <w:szCs w:val="20"/>
                <w:color w:val="auto"/>
              </w:rPr>
            </w:pPr>
            <w:r>
              <w:rPr>
                <w:rFonts w:ascii="Arial" w:cs="Arial" w:eastAsia="Arial" w:hAnsi="Arial"/>
                <w:sz w:val="14"/>
                <w:szCs w:val="14"/>
                <w:color w:val="auto"/>
              </w:rPr>
              <w:t>Fixed maturity securities, available for sale:</w:t>
            </w:r>
          </w:p>
        </w:tc>
        <w:tc>
          <w:tcPr>
            <w:tcW w:w="24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500" w:type="dxa"/>
            <w:vAlign w:val="bottom"/>
            <w:tcBorders>
              <w:top w:val="single" w:sz="8" w:color="auto"/>
            </w:tcBorders>
            <w:shd w:val="clear" w:color="auto" w:fill="CCEEFF"/>
          </w:tcPr>
          <w:p>
            <w:pPr>
              <w:spacing w:after="0"/>
              <w:rPr>
                <w:sz w:val="14"/>
                <w:szCs w:val="14"/>
                <w:color w:val="auto"/>
              </w:rPr>
            </w:pPr>
          </w:p>
        </w:tc>
      </w:tr>
      <w:tr>
        <w:trPr>
          <w:trHeight w:val="182"/>
        </w:trPr>
        <w:tc>
          <w:tcPr>
            <w:tcW w:w="5120" w:type="dxa"/>
            <w:vAlign w:val="bottom"/>
          </w:tcPr>
          <w:p>
            <w:pPr>
              <w:ind w:left="160"/>
              <w:spacing w:after="0"/>
              <w:rPr>
                <w:sz w:val="20"/>
                <w:szCs w:val="20"/>
                <w:color w:val="auto"/>
              </w:rPr>
            </w:pPr>
            <w:r>
              <w:rPr>
                <w:rFonts w:ascii="Arial" w:cs="Arial" w:eastAsia="Arial" w:hAnsi="Arial"/>
                <w:sz w:val="14"/>
                <w:szCs w:val="14"/>
                <w:color w:val="auto"/>
              </w:rPr>
              <w:t>United States Government full faith and credit</w:t>
            </w:r>
          </w:p>
        </w:tc>
        <w:tc>
          <w:tcPr>
            <w:tcW w:w="24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212</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1 %</w:t>
            </w:r>
          </w:p>
        </w:tc>
        <w:tc>
          <w:tcPr>
            <w:tcW w:w="80" w:type="dxa"/>
            <w:vAlign w:val="bottom"/>
          </w:tcPr>
          <w:p>
            <w:pPr>
              <w:spacing w:after="0"/>
              <w:rPr>
                <w:sz w:val="15"/>
                <w:szCs w:val="15"/>
                <w:color w:val="auto"/>
              </w:rPr>
            </w:pPr>
          </w:p>
        </w:tc>
        <w:tc>
          <w:tcPr>
            <w:tcW w:w="24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0"/>
              <w:spacing w:after="0"/>
              <w:rPr>
                <w:sz w:val="20"/>
                <w:szCs w:val="20"/>
                <w:color w:val="auto"/>
              </w:rPr>
            </w:pPr>
            <w:r>
              <w:rPr>
                <w:rFonts w:ascii="Arial" w:cs="Arial" w:eastAsia="Arial" w:hAnsi="Arial"/>
                <w:sz w:val="14"/>
                <w:szCs w:val="14"/>
                <w:color w:val="auto"/>
              </w:rPr>
              <w:t>50</w:t>
            </w:r>
          </w:p>
        </w:tc>
        <w:tc>
          <w:tcPr>
            <w:tcW w:w="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 %</w:t>
            </w:r>
          </w:p>
        </w:tc>
      </w:tr>
      <w:tr>
        <w:trPr>
          <w:trHeight w:val="187"/>
        </w:trPr>
        <w:tc>
          <w:tcPr>
            <w:tcW w:w="51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United States Government sponsored entities</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 %</w:t>
            </w: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74</w:t>
            </w:r>
          </w:p>
        </w:tc>
        <w:tc>
          <w:tcPr>
            <w:tcW w:w="8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r>
      <w:tr>
        <w:trPr>
          <w:trHeight w:val="182"/>
        </w:trPr>
        <w:tc>
          <w:tcPr>
            <w:tcW w:w="5120" w:type="dxa"/>
            <w:vAlign w:val="bottom"/>
          </w:tcPr>
          <w:p>
            <w:pPr>
              <w:ind w:left="160"/>
              <w:spacing w:after="0"/>
              <w:rPr>
                <w:sz w:val="20"/>
                <w:szCs w:val="20"/>
                <w:color w:val="auto"/>
              </w:rPr>
            </w:pPr>
            <w:r>
              <w:rPr>
                <w:rFonts w:ascii="Arial" w:cs="Arial" w:eastAsia="Arial" w:hAnsi="Arial"/>
                <w:sz w:val="14"/>
                <w:szCs w:val="14"/>
                <w:color w:val="auto"/>
              </w:rPr>
              <w:t>United States municipalities, states and territories</w:t>
            </w:r>
          </w:p>
        </w:tc>
        <w:tc>
          <w:tcPr>
            <w:tcW w:w="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1,253</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3 %</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jc w:val="right"/>
              <w:ind w:right="10"/>
              <w:spacing w:after="0"/>
              <w:rPr>
                <w:sz w:val="20"/>
                <w:szCs w:val="20"/>
                <w:color w:val="auto"/>
              </w:rPr>
            </w:pPr>
            <w:r>
              <w:rPr>
                <w:rFonts w:ascii="Arial" w:cs="Arial" w:eastAsia="Arial" w:hAnsi="Arial"/>
                <w:sz w:val="14"/>
                <w:szCs w:val="14"/>
                <w:color w:val="auto"/>
              </w:rPr>
              <w:t>1,441</w:t>
            </w:r>
          </w:p>
        </w:tc>
        <w:tc>
          <w:tcPr>
            <w:tcW w:w="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4 %</w:t>
            </w:r>
          </w:p>
        </w:tc>
      </w:tr>
      <w:tr>
        <w:trPr>
          <w:trHeight w:val="187"/>
        </w:trPr>
        <w:tc>
          <w:tcPr>
            <w:tcW w:w="51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Foreign Governments</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205</w:t>
            </w:r>
          </w:p>
        </w:tc>
        <w:tc>
          <w:tcPr>
            <w:tcW w:w="8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1 %</w:t>
            </w:r>
          </w:p>
        </w:tc>
      </w:tr>
      <w:tr>
        <w:trPr>
          <w:trHeight w:val="182"/>
        </w:trPr>
        <w:tc>
          <w:tcPr>
            <w:tcW w:w="5120" w:type="dxa"/>
            <w:vAlign w:val="bottom"/>
          </w:tcPr>
          <w:p>
            <w:pPr>
              <w:ind w:left="20"/>
              <w:spacing w:after="0"/>
              <w:rPr>
                <w:sz w:val="20"/>
                <w:szCs w:val="20"/>
                <w:color w:val="auto"/>
              </w:rPr>
            </w:pPr>
            <w:r>
              <w:rPr>
                <w:rFonts w:ascii="Arial" w:cs="Arial" w:eastAsia="Arial" w:hAnsi="Arial"/>
                <w:sz w:val="14"/>
                <w:szCs w:val="14"/>
                <w:color w:val="auto"/>
              </w:rPr>
              <w:t>Corporate securities:</w:t>
            </w: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7"/>
        </w:trPr>
        <w:tc>
          <w:tcPr>
            <w:tcW w:w="51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Finance, insurance and real estate</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4,834</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13 %</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5,109</w:t>
            </w:r>
          </w:p>
        </w:tc>
        <w:tc>
          <w:tcPr>
            <w:tcW w:w="8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13 %</w:t>
            </w:r>
          </w:p>
        </w:tc>
      </w:tr>
      <w:tr>
        <w:trPr>
          <w:trHeight w:val="182"/>
        </w:trPr>
        <w:tc>
          <w:tcPr>
            <w:tcW w:w="5120" w:type="dxa"/>
            <w:vAlign w:val="bottom"/>
          </w:tcPr>
          <w:p>
            <w:pPr>
              <w:ind w:left="160"/>
              <w:spacing w:after="0"/>
              <w:rPr>
                <w:sz w:val="20"/>
                <w:szCs w:val="20"/>
                <w:color w:val="auto"/>
              </w:rPr>
            </w:pPr>
            <w:r>
              <w:rPr>
                <w:rFonts w:ascii="Arial" w:cs="Arial" w:eastAsia="Arial" w:hAnsi="Arial"/>
                <w:sz w:val="14"/>
                <w:szCs w:val="14"/>
                <w:color w:val="auto"/>
              </w:rPr>
              <w:t>Manufacturing, construction and mining</w:t>
            </w:r>
          </w:p>
        </w:tc>
        <w:tc>
          <w:tcPr>
            <w:tcW w:w="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746</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2 %</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jc w:val="right"/>
              <w:ind w:right="10"/>
              <w:spacing w:after="0"/>
              <w:rPr>
                <w:sz w:val="20"/>
                <w:szCs w:val="20"/>
                <w:color w:val="auto"/>
              </w:rPr>
            </w:pPr>
            <w:r>
              <w:rPr>
                <w:rFonts w:ascii="Arial" w:cs="Arial" w:eastAsia="Arial" w:hAnsi="Arial"/>
                <w:sz w:val="14"/>
                <w:szCs w:val="14"/>
                <w:color w:val="auto"/>
              </w:rPr>
              <w:t>932</w:t>
            </w:r>
          </w:p>
        </w:tc>
        <w:tc>
          <w:tcPr>
            <w:tcW w:w="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2 %</w:t>
            </w:r>
          </w:p>
        </w:tc>
      </w:tr>
      <w:tr>
        <w:trPr>
          <w:trHeight w:val="187"/>
        </w:trPr>
        <w:tc>
          <w:tcPr>
            <w:tcW w:w="51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Utilities, energy and related sectors</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2,335</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6 %</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2,987</w:t>
            </w:r>
          </w:p>
        </w:tc>
        <w:tc>
          <w:tcPr>
            <w:tcW w:w="8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8 %</w:t>
            </w:r>
          </w:p>
        </w:tc>
      </w:tr>
      <w:tr>
        <w:trPr>
          <w:trHeight w:val="182"/>
        </w:trPr>
        <w:tc>
          <w:tcPr>
            <w:tcW w:w="5120" w:type="dxa"/>
            <w:vAlign w:val="bottom"/>
          </w:tcPr>
          <w:p>
            <w:pPr>
              <w:ind w:left="160"/>
              <w:spacing w:after="0"/>
              <w:rPr>
                <w:sz w:val="20"/>
                <w:szCs w:val="20"/>
                <w:color w:val="auto"/>
              </w:rPr>
            </w:pPr>
            <w:r>
              <w:rPr>
                <w:rFonts w:ascii="Arial" w:cs="Arial" w:eastAsia="Arial" w:hAnsi="Arial"/>
                <w:sz w:val="14"/>
                <w:szCs w:val="14"/>
                <w:color w:val="auto"/>
              </w:rPr>
              <w:t>Wholesale/retail trade</w:t>
            </w:r>
          </w:p>
        </w:tc>
        <w:tc>
          <w:tcPr>
            <w:tcW w:w="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2,059</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5 %</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jc w:val="right"/>
              <w:ind w:right="10"/>
              <w:spacing w:after="0"/>
              <w:rPr>
                <w:sz w:val="20"/>
                <w:szCs w:val="20"/>
                <w:color w:val="auto"/>
              </w:rPr>
            </w:pPr>
            <w:r>
              <w:rPr>
                <w:rFonts w:ascii="Arial" w:cs="Arial" w:eastAsia="Arial" w:hAnsi="Arial"/>
                <w:sz w:val="14"/>
                <w:szCs w:val="14"/>
                <w:color w:val="auto"/>
              </w:rPr>
              <w:t>2,627</w:t>
            </w:r>
          </w:p>
        </w:tc>
        <w:tc>
          <w:tcPr>
            <w:tcW w:w="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7 %</w:t>
            </w:r>
          </w:p>
        </w:tc>
      </w:tr>
      <w:tr>
        <w:trPr>
          <w:trHeight w:val="187"/>
        </w:trPr>
        <w:tc>
          <w:tcPr>
            <w:tcW w:w="51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Services, media and other</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2,674</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7 %</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3,349</w:t>
            </w:r>
          </w:p>
        </w:tc>
        <w:tc>
          <w:tcPr>
            <w:tcW w:w="8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8 %</w:t>
            </w:r>
          </w:p>
        </w:tc>
      </w:tr>
      <w:tr>
        <w:trPr>
          <w:trHeight w:val="182"/>
        </w:trPr>
        <w:tc>
          <w:tcPr>
            <w:tcW w:w="5120" w:type="dxa"/>
            <w:vAlign w:val="bottom"/>
          </w:tcPr>
          <w:p>
            <w:pPr>
              <w:ind w:left="20"/>
              <w:spacing w:after="0"/>
              <w:rPr>
                <w:sz w:val="20"/>
                <w:szCs w:val="20"/>
                <w:color w:val="auto"/>
              </w:rPr>
            </w:pPr>
            <w:r>
              <w:rPr>
                <w:rFonts w:ascii="Arial" w:cs="Arial" w:eastAsia="Arial" w:hAnsi="Arial"/>
                <w:sz w:val="14"/>
                <w:szCs w:val="14"/>
                <w:color w:val="auto"/>
              </w:rPr>
              <w:t>Hybrid securities</w:t>
            </w:r>
          </w:p>
        </w:tc>
        <w:tc>
          <w:tcPr>
            <w:tcW w:w="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743</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2 %</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jc w:val="right"/>
              <w:ind w:right="10"/>
              <w:spacing w:after="0"/>
              <w:rPr>
                <w:sz w:val="20"/>
                <w:szCs w:val="20"/>
                <w:color w:val="auto"/>
              </w:rPr>
            </w:pPr>
            <w:r>
              <w:rPr>
                <w:rFonts w:ascii="Arial" w:cs="Arial" w:eastAsia="Arial" w:hAnsi="Arial"/>
                <w:sz w:val="14"/>
                <w:szCs w:val="14"/>
                <w:color w:val="auto"/>
              </w:rPr>
              <w:t>881</w:t>
            </w:r>
          </w:p>
        </w:tc>
        <w:tc>
          <w:tcPr>
            <w:tcW w:w="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2 %</w:t>
            </w:r>
          </w:p>
        </w:tc>
      </w:tr>
      <w:tr>
        <w:trPr>
          <w:trHeight w:val="187"/>
        </w:trPr>
        <w:tc>
          <w:tcPr>
            <w:tcW w:w="5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Non-agency residential mortgage-backed securities</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845</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648</w:t>
            </w:r>
          </w:p>
        </w:tc>
        <w:tc>
          <w:tcPr>
            <w:tcW w:w="8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2 %</w:t>
            </w:r>
          </w:p>
        </w:tc>
      </w:tr>
      <w:tr>
        <w:trPr>
          <w:trHeight w:val="182"/>
        </w:trPr>
        <w:tc>
          <w:tcPr>
            <w:tcW w:w="5120" w:type="dxa"/>
            <w:vAlign w:val="bottom"/>
          </w:tcPr>
          <w:p>
            <w:pPr>
              <w:ind w:left="20"/>
              <w:spacing w:after="0"/>
              <w:rPr>
                <w:sz w:val="20"/>
                <w:szCs w:val="20"/>
                <w:color w:val="auto"/>
              </w:rPr>
            </w:pPr>
            <w:r>
              <w:rPr>
                <w:rFonts w:ascii="Arial" w:cs="Arial" w:eastAsia="Arial" w:hAnsi="Arial"/>
                <w:sz w:val="14"/>
                <w:szCs w:val="14"/>
                <w:color w:val="auto"/>
              </w:rPr>
              <w:t>Commercial mortgage-backed securities</w:t>
            </w:r>
          </w:p>
        </w:tc>
        <w:tc>
          <w:tcPr>
            <w:tcW w:w="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3,046</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8 %</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jc w:val="right"/>
              <w:ind w:right="10"/>
              <w:spacing w:after="0"/>
              <w:rPr>
                <w:sz w:val="20"/>
                <w:szCs w:val="20"/>
                <w:color w:val="auto"/>
              </w:rPr>
            </w:pPr>
            <w:r>
              <w:rPr>
                <w:rFonts w:ascii="Arial" w:cs="Arial" w:eastAsia="Arial" w:hAnsi="Arial"/>
                <w:sz w:val="14"/>
                <w:szCs w:val="14"/>
                <w:color w:val="auto"/>
              </w:rPr>
              <w:t>2,964</w:t>
            </w:r>
          </w:p>
        </w:tc>
        <w:tc>
          <w:tcPr>
            <w:tcW w:w="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7 %</w:t>
            </w:r>
          </w:p>
        </w:tc>
      </w:tr>
      <w:tr>
        <w:trPr>
          <w:trHeight w:val="187"/>
        </w:trPr>
        <w:tc>
          <w:tcPr>
            <w:tcW w:w="5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Asset-backed securities</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5,319</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14 %</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4,550</w:t>
            </w:r>
          </w:p>
        </w:tc>
        <w:tc>
          <w:tcPr>
            <w:tcW w:w="8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12 %</w:t>
            </w:r>
          </w:p>
        </w:tc>
      </w:tr>
      <w:tr>
        <w:trPr>
          <w:trHeight w:val="182"/>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Collateral loan obligations ("CLO")</w:t>
            </w: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4,129</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11 %</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4,145</w:t>
            </w:r>
          </w:p>
        </w:tc>
        <w:tc>
          <w:tcPr>
            <w:tcW w:w="8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11 %</w:t>
            </w:r>
          </w:p>
        </w:tc>
      </w:tr>
      <w:tr>
        <w:trPr>
          <w:trHeight w:val="180"/>
        </w:trPr>
        <w:tc>
          <w:tcPr>
            <w:tcW w:w="512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Total fixed maturity available for sale securities</w:t>
            </w: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28,398</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75 %</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29,962</w:t>
            </w: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77 %</w:t>
            </w:r>
          </w:p>
        </w:tc>
      </w:tr>
      <w:tr>
        <w:trPr>
          <w:trHeight w:val="182"/>
        </w:trPr>
        <w:tc>
          <w:tcPr>
            <w:tcW w:w="5120" w:type="dxa"/>
            <w:vAlign w:val="bottom"/>
          </w:tcPr>
          <w:p>
            <w:pPr>
              <w:ind w:left="20"/>
              <w:spacing w:after="0"/>
              <w:rPr>
                <w:sz w:val="20"/>
                <w:szCs w:val="20"/>
                <w:color w:val="auto"/>
              </w:rPr>
            </w:pPr>
            <w:r>
              <w:rPr>
                <w:rFonts w:ascii="Arial" w:cs="Arial" w:eastAsia="Arial" w:hAnsi="Arial"/>
                <w:sz w:val="14"/>
                <w:szCs w:val="14"/>
                <w:color w:val="auto"/>
              </w:rPr>
              <w:t>Equity securities (a)</w:t>
            </w:r>
          </w:p>
        </w:tc>
        <w:tc>
          <w:tcPr>
            <w:tcW w:w="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958</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3 %</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jc w:val="right"/>
              <w:ind w:right="10"/>
              <w:spacing w:after="0"/>
              <w:rPr>
                <w:sz w:val="20"/>
                <w:szCs w:val="20"/>
                <w:color w:val="auto"/>
              </w:rPr>
            </w:pPr>
            <w:r>
              <w:rPr>
                <w:rFonts w:ascii="Arial" w:cs="Arial" w:eastAsia="Arial" w:hAnsi="Arial"/>
                <w:sz w:val="14"/>
                <w:szCs w:val="14"/>
                <w:color w:val="auto"/>
              </w:rPr>
              <w:t>1,171</w:t>
            </w:r>
          </w:p>
        </w:tc>
        <w:tc>
          <w:tcPr>
            <w:tcW w:w="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3 %</w:t>
            </w:r>
          </w:p>
        </w:tc>
      </w:tr>
      <w:tr>
        <w:trPr>
          <w:trHeight w:val="187"/>
        </w:trPr>
        <w:tc>
          <w:tcPr>
            <w:tcW w:w="5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Alternative investments:</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182"/>
        </w:trPr>
        <w:tc>
          <w:tcPr>
            <w:tcW w:w="5120" w:type="dxa"/>
            <w:vAlign w:val="bottom"/>
          </w:tcPr>
          <w:p>
            <w:pPr>
              <w:ind w:left="120"/>
              <w:spacing w:after="0"/>
              <w:rPr>
                <w:sz w:val="20"/>
                <w:szCs w:val="20"/>
                <w:color w:val="auto"/>
              </w:rPr>
            </w:pPr>
            <w:r>
              <w:rPr>
                <w:rFonts w:ascii="Arial" w:cs="Arial" w:eastAsia="Arial" w:hAnsi="Arial"/>
                <w:sz w:val="14"/>
                <w:szCs w:val="14"/>
                <w:color w:val="auto"/>
              </w:rPr>
              <w:t>Private equity</w:t>
            </w:r>
          </w:p>
        </w:tc>
        <w:tc>
          <w:tcPr>
            <w:tcW w:w="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1,351</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4 %</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jc w:val="right"/>
              <w:ind w:right="10"/>
              <w:spacing w:after="0"/>
              <w:rPr>
                <w:sz w:val="20"/>
                <w:szCs w:val="20"/>
                <w:color w:val="auto"/>
              </w:rPr>
            </w:pPr>
            <w:r>
              <w:rPr>
                <w:rFonts w:ascii="Arial" w:cs="Arial" w:eastAsia="Arial" w:hAnsi="Arial"/>
                <w:sz w:val="14"/>
                <w:szCs w:val="14"/>
                <w:color w:val="auto"/>
              </w:rPr>
              <w:t>1,181</w:t>
            </w:r>
          </w:p>
        </w:tc>
        <w:tc>
          <w:tcPr>
            <w:tcW w:w="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3 %</w:t>
            </w:r>
          </w:p>
        </w:tc>
      </w:tr>
      <w:tr>
        <w:trPr>
          <w:trHeight w:val="187"/>
        </w:trPr>
        <w:tc>
          <w:tcPr>
            <w:tcW w:w="5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Real assets</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340</w:t>
            </w:r>
          </w:p>
        </w:tc>
        <w:tc>
          <w:tcPr>
            <w:tcW w:w="8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1 %</w:t>
            </w:r>
          </w:p>
        </w:tc>
      </w:tr>
      <w:tr>
        <w:trPr>
          <w:trHeight w:val="182"/>
        </w:trPr>
        <w:tc>
          <w:tcPr>
            <w:tcW w:w="5120" w:type="dxa"/>
            <w:vAlign w:val="bottom"/>
          </w:tcPr>
          <w:p>
            <w:pPr>
              <w:ind w:left="120"/>
              <w:spacing w:after="0"/>
              <w:rPr>
                <w:sz w:val="20"/>
                <w:szCs w:val="20"/>
                <w:color w:val="auto"/>
              </w:rPr>
            </w:pPr>
            <w:r>
              <w:rPr>
                <w:rFonts w:ascii="Arial" w:cs="Arial" w:eastAsia="Arial" w:hAnsi="Arial"/>
                <w:sz w:val="14"/>
                <w:szCs w:val="14"/>
                <w:color w:val="auto"/>
              </w:rPr>
              <w:t>Credit</w:t>
            </w:r>
          </w:p>
        </w:tc>
        <w:tc>
          <w:tcPr>
            <w:tcW w:w="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936</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2 %</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jc w:val="right"/>
              <w:ind w:right="10"/>
              <w:spacing w:after="0"/>
              <w:rPr>
                <w:sz w:val="20"/>
                <w:szCs w:val="20"/>
                <w:color w:val="auto"/>
              </w:rPr>
            </w:pPr>
            <w:r>
              <w:rPr>
                <w:rFonts w:ascii="Arial" w:cs="Arial" w:eastAsia="Arial" w:hAnsi="Arial"/>
                <w:sz w:val="14"/>
                <w:szCs w:val="14"/>
                <w:color w:val="auto"/>
              </w:rPr>
              <w:t>829</w:t>
            </w:r>
          </w:p>
        </w:tc>
        <w:tc>
          <w:tcPr>
            <w:tcW w:w="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2 %</w:t>
            </w:r>
          </w:p>
        </w:tc>
      </w:tr>
      <w:tr>
        <w:trPr>
          <w:trHeight w:val="187"/>
        </w:trPr>
        <w:tc>
          <w:tcPr>
            <w:tcW w:w="5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Commercial mortgage loans</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2,119</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6 %</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2,265</w:t>
            </w:r>
          </w:p>
        </w:tc>
        <w:tc>
          <w:tcPr>
            <w:tcW w:w="8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6 %</w:t>
            </w:r>
          </w:p>
        </w:tc>
      </w:tr>
      <w:tr>
        <w:trPr>
          <w:trHeight w:val="182"/>
        </w:trPr>
        <w:tc>
          <w:tcPr>
            <w:tcW w:w="5120" w:type="dxa"/>
            <w:vAlign w:val="bottom"/>
          </w:tcPr>
          <w:p>
            <w:pPr>
              <w:ind w:left="20"/>
              <w:spacing w:after="0"/>
              <w:rPr>
                <w:sz w:val="20"/>
                <w:szCs w:val="20"/>
                <w:color w:val="auto"/>
              </w:rPr>
            </w:pPr>
            <w:r>
              <w:rPr>
                <w:rFonts w:ascii="Arial" w:cs="Arial" w:eastAsia="Arial" w:hAnsi="Arial"/>
                <w:sz w:val="14"/>
                <w:szCs w:val="14"/>
                <w:color w:val="auto"/>
              </w:rPr>
              <w:t>Residential mortgage loans</w:t>
            </w:r>
          </w:p>
        </w:tc>
        <w:tc>
          <w:tcPr>
            <w:tcW w:w="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1,971</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5 %</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jc w:val="right"/>
              <w:ind w:right="10"/>
              <w:spacing w:after="0"/>
              <w:rPr>
                <w:sz w:val="20"/>
                <w:szCs w:val="20"/>
                <w:color w:val="auto"/>
              </w:rPr>
            </w:pPr>
            <w:r>
              <w:rPr>
                <w:rFonts w:ascii="Arial" w:cs="Arial" w:eastAsia="Arial" w:hAnsi="Arial"/>
                <w:sz w:val="14"/>
                <w:szCs w:val="14"/>
                <w:color w:val="auto"/>
              </w:rPr>
              <w:t>1,549</w:t>
            </w:r>
          </w:p>
        </w:tc>
        <w:tc>
          <w:tcPr>
            <w:tcW w:w="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4 %</w:t>
            </w:r>
          </w:p>
        </w:tc>
      </w:tr>
      <w:tr>
        <w:trPr>
          <w:trHeight w:val="187"/>
        </w:trPr>
        <w:tc>
          <w:tcPr>
            <w:tcW w:w="5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(primarily derivatives and company owned life insurance)</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673</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1,305</w:t>
            </w:r>
          </w:p>
        </w:tc>
        <w:tc>
          <w:tcPr>
            <w:tcW w:w="8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3 %</w:t>
            </w:r>
          </w:p>
        </w:tc>
      </w:tr>
      <w:tr>
        <w:trPr>
          <w:trHeight w:val="182"/>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Short term investments</w:t>
            </w: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823</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2 %</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373</w:t>
            </w:r>
          </w:p>
        </w:tc>
        <w:tc>
          <w:tcPr>
            <w:tcW w:w="8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1 %</w:t>
            </w:r>
          </w:p>
        </w:tc>
      </w:tr>
      <w:tr>
        <w:trPr>
          <w:trHeight w:val="186"/>
        </w:trPr>
        <w:tc>
          <w:tcPr>
            <w:tcW w:w="5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Total investments</w:t>
            </w:r>
          </w:p>
        </w:tc>
        <w:tc>
          <w:tcPr>
            <w:tcW w:w="2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37,610</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38,975</w:t>
            </w:r>
          </w:p>
        </w:tc>
        <w:tc>
          <w:tcPr>
            <w:tcW w:w="8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r>
    </w:tbl>
    <w:p>
      <w:pPr>
        <w:ind w:left="60"/>
        <w:spacing w:after="0"/>
        <w:rPr>
          <w:sz w:val="20"/>
          <w:szCs w:val="20"/>
          <w:color w:val="auto"/>
        </w:rPr>
      </w:pPr>
      <w:r>
        <w:rPr>
          <w:rFonts w:ascii="Arial" w:cs="Arial" w:eastAsia="Arial" w:hAnsi="Arial"/>
          <w:sz w:val="14"/>
          <w:szCs w:val="14"/>
          <w:color w:val="auto"/>
        </w:rPr>
        <w:t>(a) Includes investment grade non-redeemable preferred stocks ($746 million and $928 million as of June 30, 2022 and December 31, 2021,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3278505</wp:posOffset>
            </wp:positionH>
            <wp:positionV relativeFrom="paragraph">
              <wp:posOffset>-93345</wp:posOffset>
            </wp:positionV>
            <wp:extent cx="383540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835400" cy="8255"/>
                    </a:xfrm>
                    <a:prstGeom prst="rect">
                      <a:avLst/>
                    </a:prstGeom>
                    <a:noFill/>
                  </pic:spPr>
                </pic:pic>
              </a:graphicData>
            </a:graphic>
          </wp:anchor>
        </w:drawing>
      </w:r>
    </w:p>
    <w:p>
      <w:pPr>
        <w:spacing w:after="0" w:line="280" w:lineRule="exact"/>
        <w:rPr>
          <w:sz w:val="20"/>
          <w:szCs w:val="20"/>
          <w:color w:val="auto"/>
        </w:rPr>
      </w:pPr>
    </w:p>
    <w:p>
      <w:pPr>
        <w:ind w:firstLine="395"/>
        <w:spacing w:after="0" w:line="282" w:lineRule="auto"/>
        <w:rPr>
          <w:sz w:val="20"/>
          <w:szCs w:val="20"/>
          <w:color w:val="auto"/>
        </w:rPr>
      </w:pPr>
      <w:r>
        <w:rPr>
          <w:rFonts w:ascii="Arial" w:cs="Arial" w:eastAsia="Arial" w:hAnsi="Arial"/>
          <w:sz w:val="16"/>
          <w:szCs w:val="16"/>
          <w:color w:val="auto"/>
        </w:rPr>
        <w:t>Insurance statutes regulate the type of investments that our life insurance subsidiaries are permitted to make and limit the amount of funds that may be used for any one type of investment. In light of these statutes and regulations, and our business and investment strategy, we generally seek to invest in</w:t>
      </w:r>
    </w:p>
    <w:p>
      <w:pPr>
        <w:ind w:firstLine="5"/>
        <w:spacing w:after="0" w:line="248" w:lineRule="auto"/>
        <w:tabs>
          <w:tab w:leader="none" w:pos="219"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corporate securities rated investment grade by established nationally recognized statistical rating organizations (each, an “NRSRO”), (ii) U.S. Government and government-sponsored agency securities, or (iii) securities of comparable investment quality, if not rated.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firstLine="395"/>
        <w:spacing w:after="0" w:line="324" w:lineRule="auto"/>
        <w:rPr>
          <w:sz w:val="20"/>
          <w:szCs w:val="20"/>
          <w:color w:val="auto"/>
        </w:rPr>
      </w:pPr>
      <w:r>
        <w:rPr>
          <w:rFonts w:ascii="Arial" w:cs="Arial" w:eastAsia="Arial" w:hAnsi="Arial"/>
          <w:sz w:val="16"/>
          <w:szCs w:val="16"/>
          <w:color w:val="auto"/>
        </w:rPr>
        <w:t>As of June 30, 2022 and December 31, 2021, our fixed maturity available-for-sale ("AFS") securities portfolio was approximately $28 billion and $30 billion, respectively. The following table summarizes the credit quality, by NRSRO rating, of our fixed income portfolio (dollars in millions):</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5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w w:val="92"/>
              </w:rPr>
              <w:t>June 30, 2022</w:t>
            </w:r>
          </w:p>
        </w:tc>
        <w:tc>
          <w:tcPr>
            <w:tcW w:w="5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3"/>
          </w:tcPr>
          <w:p>
            <w:pPr>
              <w:jc w:val="right"/>
              <w:ind w:right="850"/>
              <w:spacing w:after="0"/>
              <w:rPr>
                <w:sz w:val="20"/>
                <w:szCs w:val="20"/>
                <w:color w:val="auto"/>
              </w:rPr>
            </w:pPr>
            <w:r>
              <w:rPr>
                <w:rFonts w:ascii="Arial" w:cs="Arial" w:eastAsia="Arial" w:hAnsi="Arial"/>
                <w:sz w:val="14"/>
                <w:szCs w:val="14"/>
                <w:b w:val="1"/>
                <w:bCs w:val="1"/>
                <w:color w:val="auto"/>
              </w:rPr>
              <w:t>December 31, 2021</w:t>
            </w:r>
          </w:p>
        </w:tc>
      </w:tr>
      <w:tr>
        <w:trPr>
          <w:trHeight w:val="184"/>
        </w:trPr>
        <w:tc>
          <w:tcPr>
            <w:tcW w:w="5120" w:type="dxa"/>
            <w:vAlign w:val="bottom"/>
          </w:tcPr>
          <w:p>
            <w:pPr>
              <w:ind w:left="20"/>
              <w:spacing w:after="0"/>
              <w:rPr>
                <w:sz w:val="20"/>
                <w:szCs w:val="20"/>
                <w:color w:val="auto"/>
              </w:rPr>
            </w:pPr>
            <w:r>
              <w:rPr>
                <w:rFonts w:ascii="Arial" w:cs="Arial" w:eastAsia="Arial" w:hAnsi="Arial"/>
                <w:sz w:val="14"/>
                <w:szCs w:val="14"/>
                <w:b w:val="1"/>
                <w:bCs w:val="1"/>
                <w:color w:val="auto"/>
              </w:rPr>
              <w:t>Rating</w:t>
            </w:r>
          </w:p>
        </w:tc>
        <w:tc>
          <w:tcPr>
            <w:tcW w:w="240" w:type="dxa"/>
            <w:vAlign w:val="bottom"/>
          </w:tcPr>
          <w:p>
            <w:pPr>
              <w:spacing w:after="0"/>
              <w:rPr>
                <w:sz w:val="15"/>
                <w:szCs w:val="15"/>
                <w:color w:val="auto"/>
              </w:rPr>
            </w:pPr>
          </w:p>
        </w:tc>
        <w:tc>
          <w:tcPr>
            <w:tcW w:w="1700" w:type="dxa"/>
            <w:vAlign w:val="bottom"/>
            <w:gridSpan w:val="3"/>
          </w:tcPr>
          <w:p>
            <w:pPr>
              <w:ind w:left="140"/>
              <w:spacing w:after="0"/>
              <w:rPr>
                <w:sz w:val="20"/>
                <w:szCs w:val="20"/>
                <w:color w:val="auto"/>
              </w:rPr>
            </w:pPr>
            <w:r>
              <w:rPr>
                <w:rFonts w:ascii="Arial" w:cs="Arial" w:eastAsia="Arial" w:hAnsi="Arial"/>
                <w:sz w:val="14"/>
                <w:szCs w:val="14"/>
                <w:b w:val="1"/>
                <w:bCs w:val="1"/>
                <w:color w:val="auto"/>
              </w:rPr>
              <w:t>Fair Value</w:t>
            </w:r>
          </w:p>
        </w:tc>
        <w:tc>
          <w:tcPr>
            <w:tcW w:w="580" w:type="dxa"/>
            <w:vAlign w:val="bottom"/>
          </w:tcPr>
          <w:p>
            <w:pPr>
              <w:ind w:left="60"/>
              <w:spacing w:after="0"/>
              <w:rPr>
                <w:sz w:val="20"/>
                <w:szCs w:val="20"/>
                <w:color w:val="auto"/>
              </w:rPr>
            </w:pPr>
            <w:r>
              <w:rPr>
                <w:rFonts w:ascii="Arial" w:cs="Arial" w:eastAsia="Arial" w:hAnsi="Arial"/>
                <w:sz w:val="14"/>
                <w:szCs w:val="14"/>
                <w:b w:val="1"/>
                <w:bCs w:val="1"/>
                <w:color w:val="auto"/>
                <w:w w:val="97"/>
              </w:rPr>
              <w:t>Percent</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Fair Value</w:t>
            </w:r>
          </w:p>
        </w:tc>
        <w:tc>
          <w:tcPr>
            <w:tcW w:w="1500" w:type="dxa"/>
            <w:vAlign w:val="bottom"/>
          </w:tcPr>
          <w:p>
            <w:pPr>
              <w:jc w:val="right"/>
              <w:ind w:right="450"/>
              <w:spacing w:after="0"/>
              <w:rPr>
                <w:sz w:val="20"/>
                <w:szCs w:val="20"/>
                <w:color w:val="auto"/>
              </w:rPr>
            </w:pPr>
            <w:r>
              <w:rPr>
                <w:rFonts w:ascii="Arial" w:cs="Arial" w:eastAsia="Arial" w:hAnsi="Arial"/>
                <w:sz w:val="14"/>
                <w:szCs w:val="14"/>
                <w:b w:val="1"/>
                <w:bCs w:val="1"/>
                <w:color w:val="auto"/>
              </w:rPr>
              <w:t>Percent</w:t>
            </w:r>
          </w:p>
        </w:tc>
      </w:tr>
      <w:tr>
        <w:trPr>
          <w:trHeight w:val="178"/>
        </w:trPr>
        <w:tc>
          <w:tcPr>
            <w:tcW w:w="5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AAA</w:t>
            </w:r>
          </w:p>
        </w:tc>
        <w:tc>
          <w:tcPr>
            <w:tcW w:w="24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989</w:t>
            </w:r>
          </w:p>
        </w:tc>
        <w:tc>
          <w:tcPr>
            <w:tcW w:w="1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660</w:t>
            </w:r>
          </w:p>
        </w:tc>
        <w:tc>
          <w:tcPr>
            <w:tcW w:w="8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2 %</w:t>
            </w:r>
          </w:p>
        </w:tc>
      </w:tr>
      <w:tr>
        <w:trPr>
          <w:trHeight w:val="182"/>
        </w:trPr>
        <w:tc>
          <w:tcPr>
            <w:tcW w:w="5120" w:type="dxa"/>
            <w:vAlign w:val="bottom"/>
          </w:tcPr>
          <w:p>
            <w:pPr>
              <w:ind w:left="20"/>
              <w:spacing w:after="0"/>
              <w:rPr>
                <w:sz w:val="20"/>
                <w:szCs w:val="20"/>
                <w:color w:val="auto"/>
              </w:rPr>
            </w:pPr>
            <w:r>
              <w:rPr>
                <w:rFonts w:ascii="Arial" w:cs="Arial" w:eastAsia="Arial" w:hAnsi="Arial"/>
                <w:sz w:val="14"/>
                <w:szCs w:val="14"/>
                <w:color w:val="auto"/>
              </w:rPr>
              <w:t>AA</w:t>
            </w:r>
          </w:p>
        </w:tc>
        <w:tc>
          <w:tcPr>
            <w:tcW w:w="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1,990</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7 %</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jc w:val="right"/>
              <w:ind w:right="10"/>
              <w:spacing w:after="0"/>
              <w:rPr>
                <w:sz w:val="20"/>
                <w:szCs w:val="20"/>
                <w:color w:val="auto"/>
              </w:rPr>
            </w:pPr>
            <w:r>
              <w:rPr>
                <w:rFonts w:ascii="Arial" w:cs="Arial" w:eastAsia="Arial" w:hAnsi="Arial"/>
                <w:sz w:val="14"/>
                <w:szCs w:val="14"/>
                <w:color w:val="auto"/>
              </w:rPr>
              <w:t>2,181</w:t>
            </w:r>
          </w:p>
        </w:tc>
        <w:tc>
          <w:tcPr>
            <w:tcW w:w="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7 %</w:t>
            </w:r>
          </w:p>
        </w:tc>
      </w:tr>
      <w:tr>
        <w:trPr>
          <w:trHeight w:val="187"/>
        </w:trPr>
        <w:tc>
          <w:tcPr>
            <w:tcW w:w="5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7,092</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25 %</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7,667</w:t>
            </w:r>
          </w:p>
        </w:tc>
        <w:tc>
          <w:tcPr>
            <w:tcW w:w="8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26 %</w:t>
            </w:r>
          </w:p>
        </w:tc>
      </w:tr>
      <w:tr>
        <w:trPr>
          <w:trHeight w:val="182"/>
        </w:trPr>
        <w:tc>
          <w:tcPr>
            <w:tcW w:w="5120" w:type="dxa"/>
            <w:vAlign w:val="bottom"/>
          </w:tcPr>
          <w:p>
            <w:pPr>
              <w:ind w:left="20"/>
              <w:spacing w:after="0"/>
              <w:rPr>
                <w:sz w:val="20"/>
                <w:szCs w:val="20"/>
                <w:color w:val="auto"/>
              </w:rPr>
            </w:pPr>
            <w:r>
              <w:rPr>
                <w:rFonts w:ascii="Arial" w:cs="Arial" w:eastAsia="Arial" w:hAnsi="Arial"/>
                <w:sz w:val="14"/>
                <w:szCs w:val="14"/>
                <w:color w:val="auto"/>
              </w:rPr>
              <w:t>BBB</w:t>
            </w:r>
          </w:p>
        </w:tc>
        <w:tc>
          <w:tcPr>
            <w:tcW w:w="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8,519</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30 %</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jc w:val="right"/>
              <w:ind w:right="10"/>
              <w:spacing w:after="0"/>
              <w:rPr>
                <w:sz w:val="20"/>
                <w:szCs w:val="20"/>
                <w:color w:val="auto"/>
              </w:rPr>
            </w:pPr>
            <w:r>
              <w:rPr>
                <w:rFonts w:ascii="Arial" w:cs="Arial" w:eastAsia="Arial" w:hAnsi="Arial"/>
                <w:sz w:val="14"/>
                <w:szCs w:val="14"/>
                <w:color w:val="auto"/>
              </w:rPr>
              <w:t>10,462</w:t>
            </w:r>
          </w:p>
        </w:tc>
        <w:tc>
          <w:tcPr>
            <w:tcW w:w="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35 %</w:t>
            </w:r>
          </w:p>
        </w:tc>
      </w:tr>
      <w:tr>
        <w:trPr>
          <w:trHeight w:val="187"/>
        </w:trPr>
        <w:tc>
          <w:tcPr>
            <w:tcW w:w="5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Not rated (b)</w:t>
            </w:r>
          </w:p>
        </w:tc>
        <w:tc>
          <w:tcPr>
            <w:tcW w:w="2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7,796</w:t>
            </w: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28 %</w:t>
            </w:r>
          </w:p>
        </w:tc>
        <w:tc>
          <w:tcPr>
            <w:tcW w:w="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6,642</w:t>
            </w:r>
          </w:p>
        </w:tc>
        <w:tc>
          <w:tcPr>
            <w:tcW w:w="80" w:type="dxa"/>
            <w:vAlign w:val="bottom"/>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22 %</w:t>
            </w:r>
          </w:p>
        </w:tc>
      </w:tr>
      <w:tr>
        <w:trPr>
          <w:trHeight w:val="175"/>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investment grade</w:t>
            </w: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26,386</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93 %</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27,612</w:t>
            </w:r>
          </w:p>
        </w:tc>
        <w:tc>
          <w:tcPr>
            <w:tcW w:w="8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92 %</w:t>
            </w:r>
          </w:p>
        </w:tc>
      </w:tr>
      <w:tr>
        <w:trPr>
          <w:trHeight w:val="180"/>
        </w:trPr>
        <w:tc>
          <w:tcPr>
            <w:tcW w:w="5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BB</w:t>
            </w: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1,049</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4 %</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1,372</w:t>
            </w: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5 %</w:t>
            </w:r>
          </w:p>
        </w:tc>
      </w:tr>
      <w:tr>
        <w:trPr>
          <w:trHeight w:val="182"/>
        </w:trPr>
        <w:tc>
          <w:tcPr>
            <w:tcW w:w="5120" w:type="dxa"/>
            <w:vAlign w:val="bottom"/>
          </w:tcPr>
          <w:p>
            <w:pPr>
              <w:ind w:left="20"/>
              <w:spacing w:after="0"/>
              <w:rPr>
                <w:sz w:val="20"/>
                <w:szCs w:val="20"/>
                <w:color w:val="auto"/>
              </w:rPr>
            </w:pPr>
            <w:r>
              <w:rPr>
                <w:rFonts w:ascii="Arial" w:cs="Arial" w:eastAsia="Arial" w:hAnsi="Arial"/>
                <w:sz w:val="14"/>
                <w:szCs w:val="14"/>
                <w:color w:val="auto"/>
              </w:rPr>
              <w:t>B and below (a)</w:t>
            </w:r>
          </w:p>
        </w:tc>
        <w:tc>
          <w:tcPr>
            <w:tcW w:w="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362</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1 %</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jc w:val="right"/>
              <w:ind w:right="10"/>
              <w:spacing w:after="0"/>
              <w:rPr>
                <w:sz w:val="20"/>
                <w:szCs w:val="20"/>
                <w:color w:val="auto"/>
              </w:rPr>
            </w:pPr>
            <w:r>
              <w:rPr>
                <w:rFonts w:ascii="Arial" w:cs="Arial" w:eastAsia="Arial" w:hAnsi="Arial"/>
                <w:sz w:val="14"/>
                <w:szCs w:val="14"/>
                <w:color w:val="auto"/>
              </w:rPr>
              <w:t>432</w:t>
            </w:r>
          </w:p>
        </w:tc>
        <w:tc>
          <w:tcPr>
            <w:tcW w:w="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1 %</w:t>
            </w:r>
          </w:p>
        </w:tc>
      </w:tr>
      <w:tr>
        <w:trPr>
          <w:trHeight w:val="187"/>
        </w:trPr>
        <w:tc>
          <w:tcPr>
            <w:tcW w:w="5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Not rated (b)</w:t>
            </w:r>
          </w:p>
        </w:tc>
        <w:tc>
          <w:tcPr>
            <w:tcW w:w="2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601</w:t>
            </w: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546</w:t>
            </w:r>
          </w:p>
        </w:tc>
        <w:tc>
          <w:tcPr>
            <w:tcW w:w="80" w:type="dxa"/>
            <w:vAlign w:val="bottom"/>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2 %</w:t>
            </w:r>
          </w:p>
        </w:tc>
      </w:tr>
      <w:tr>
        <w:trPr>
          <w:trHeight w:val="175"/>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below investment grade</w:t>
            </w: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2,012</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7 %</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2,350</w:t>
            </w:r>
          </w:p>
        </w:tc>
        <w:tc>
          <w:tcPr>
            <w:tcW w:w="8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8 %</w:t>
            </w:r>
          </w:p>
        </w:tc>
      </w:tr>
      <w:tr>
        <w:trPr>
          <w:trHeight w:val="205"/>
        </w:trPr>
        <w:tc>
          <w:tcPr>
            <w:tcW w:w="5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b w:val="1"/>
                <w:bCs w:val="1"/>
                <w:color w:val="auto"/>
              </w:rPr>
              <w:t>Total</w:t>
            </w:r>
          </w:p>
        </w:tc>
        <w:tc>
          <w:tcPr>
            <w:tcW w:w="2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28,398</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29,962</w:t>
            </w:r>
          </w:p>
        </w:tc>
        <w:tc>
          <w:tcPr>
            <w:tcW w:w="8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ind w:left="200" w:hanging="195"/>
        <w:spacing w:after="0"/>
        <w:tabs>
          <w:tab w:leader="none" w:pos="2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Includes $54 million and $68 million at June 30, 2022 and December 31, 2021, respectively, of non-agency residential mortgage-backed securities ("RMBS") that carry a NAIC 1 designation.</w:t>
      </w:r>
    </w:p>
    <w:p>
      <w:pPr>
        <w:spacing w:after="0" w:line="61" w:lineRule="exact"/>
        <w:rPr>
          <w:rFonts w:ascii="Arial" w:cs="Arial" w:eastAsia="Arial" w:hAnsi="Arial"/>
          <w:sz w:val="13"/>
          <w:szCs w:val="13"/>
          <w:color w:val="auto"/>
        </w:rPr>
      </w:pPr>
    </w:p>
    <w:p>
      <w:pPr>
        <w:ind w:left="200" w:hanging="195"/>
        <w:spacing w:after="0"/>
        <w:tabs>
          <w:tab w:leader="none" w:pos="2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Securities denoted as not-rated by an NRSRO were classified as investment or non-investment grade according to the securities' respective NAIC designation.</w:t>
      </w:r>
    </w:p>
    <w:p>
      <w:pPr>
        <w:spacing w:after="0" w:line="214"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The NAIC’s Securities Valuation Office ("SVO") is responsible for the day-to-day credit quality assessment and valuation of securities owned by state regulated insurance companies. Insurance companies report ownership of securities to the SVO when such securities are eligible for regulatory filings. The SVO conducts credit analysis on these securities for the purpose of assigning an NAIC designation or unit price. Typically, if a security has been rated by an NRSRO, the SVO utilizes that rating and assigns an NAIC designation based upon the following system:</w:t>
      </w:r>
    </w:p>
    <w:p>
      <w:pPr>
        <w:spacing w:after="0" w:line="177"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5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NAIC Designation</w:t>
            </w:r>
          </w:p>
        </w:tc>
        <w:tc>
          <w:tcPr>
            <w:tcW w:w="5540" w:type="dxa"/>
            <w:vAlign w:val="bottom"/>
          </w:tcPr>
          <w:p>
            <w:pPr>
              <w:jc w:val="center"/>
              <w:spacing w:after="0"/>
              <w:rPr>
                <w:sz w:val="20"/>
                <w:szCs w:val="20"/>
                <w:color w:val="auto"/>
              </w:rPr>
            </w:pPr>
            <w:r>
              <w:rPr>
                <w:rFonts w:ascii="Arial" w:cs="Arial" w:eastAsia="Arial" w:hAnsi="Arial"/>
                <w:sz w:val="14"/>
                <w:szCs w:val="14"/>
                <w:b w:val="1"/>
                <w:bCs w:val="1"/>
                <w:color w:val="auto"/>
                <w:w w:val="93"/>
              </w:rPr>
              <w:t>NRSRO Equivalent Rating</w:t>
            </w:r>
          </w:p>
        </w:tc>
      </w:tr>
      <w:tr>
        <w:trPr>
          <w:trHeight w:val="183"/>
        </w:trPr>
        <w:tc>
          <w:tcPr>
            <w:tcW w:w="5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76"/>
              </w:rPr>
              <w:t>1</w:t>
            </w:r>
          </w:p>
        </w:tc>
        <w:tc>
          <w:tcPr>
            <w:tcW w:w="120" w:type="dxa"/>
            <w:vAlign w:val="bottom"/>
            <w:tcBorders>
              <w:top w:val="single" w:sz="8" w:color="CCEEFF"/>
            </w:tcBorders>
            <w:shd w:val="clear" w:color="auto" w:fill="CCEEFF"/>
          </w:tcPr>
          <w:p>
            <w:pPr>
              <w:spacing w:after="0"/>
              <w:rPr>
                <w:sz w:val="15"/>
                <w:szCs w:val="15"/>
                <w:color w:val="auto"/>
              </w:rPr>
            </w:pPr>
          </w:p>
        </w:tc>
        <w:tc>
          <w:tcPr>
            <w:tcW w:w="5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AAA/AA/A</w:t>
            </w:r>
          </w:p>
        </w:tc>
      </w:tr>
      <w:tr>
        <w:trPr>
          <w:trHeight w:val="182"/>
        </w:trPr>
        <w:tc>
          <w:tcPr>
            <w:tcW w:w="5540" w:type="dxa"/>
            <w:vAlign w:val="bottom"/>
          </w:tcPr>
          <w:p>
            <w:pPr>
              <w:jc w:val="center"/>
              <w:spacing w:after="0"/>
              <w:rPr>
                <w:sz w:val="20"/>
                <w:szCs w:val="20"/>
                <w:color w:val="auto"/>
              </w:rPr>
            </w:pPr>
            <w:r>
              <w:rPr>
                <w:rFonts w:ascii="Arial" w:cs="Arial" w:eastAsia="Arial" w:hAnsi="Arial"/>
                <w:sz w:val="14"/>
                <w:szCs w:val="14"/>
                <w:color w:val="auto"/>
                <w:w w:val="76"/>
              </w:rPr>
              <w:t>2</w:t>
            </w:r>
          </w:p>
        </w:tc>
        <w:tc>
          <w:tcPr>
            <w:tcW w:w="120" w:type="dxa"/>
            <w:vAlign w:val="bottom"/>
          </w:tcPr>
          <w:p>
            <w:pPr>
              <w:spacing w:after="0"/>
              <w:rPr>
                <w:sz w:val="15"/>
                <w:szCs w:val="15"/>
                <w:color w:val="auto"/>
              </w:rPr>
            </w:pPr>
          </w:p>
        </w:tc>
        <w:tc>
          <w:tcPr>
            <w:tcW w:w="5540" w:type="dxa"/>
            <w:vAlign w:val="bottom"/>
          </w:tcPr>
          <w:p>
            <w:pPr>
              <w:jc w:val="center"/>
              <w:spacing w:after="0"/>
              <w:rPr>
                <w:sz w:val="20"/>
                <w:szCs w:val="20"/>
                <w:color w:val="auto"/>
              </w:rPr>
            </w:pPr>
            <w:r>
              <w:rPr>
                <w:rFonts w:ascii="Arial" w:cs="Arial" w:eastAsia="Arial" w:hAnsi="Arial"/>
                <w:sz w:val="14"/>
                <w:szCs w:val="14"/>
                <w:color w:val="auto"/>
                <w:w w:val="99"/>
              </w:rPr>
              <w:t>BBB</w:t>
            </w:r>
          </w:p>
        </w:tc>
      </w:tr>
      <w:tr>
        <w:trPr>
          <w:trHeight w:val="187"/>
        </w:trPr>
        <w:tc>
          <w:tcPr>
            <w:tcW w:w="55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3</w:t>
            </w:r>
          </w:p>
        </w:tc>
        <w:tc>
          <w:tcPr>
            <w:tcW w:w="120" w:type="dxa"/>
            <w:vAlign w:val="bottom"/>
            <w:shd w:val="clear" w:color="auto" w:fill="CCEEFF"/>
          </w:tcPr>
          <w:p>
            <w:pPr>
              <w:spacing w:after="0"/>
              <w:rPr>
                <w:sz w:val="16"/>
                <w:szCs w:val="16"/>
                <w:color w:val="auto"/>
              </w:rPr>
            </w:pPr>
          </w:p>
        </w:tc>
        <w:tc>
          <w:tcPr>
            <w:tcW w:w="55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BB</w:t>
            </w:r>
          </w:p>
        </w:tc>
      </w:tr>
      <w:tr>
        <w:trPr>
          <w:trHeight w:val="182"/>
        </w:trPr>
        <w:tc>
          <w:tcPr>
            <w:tcW w:w="5540" w:type="dxa"/>
            <w:vAlign w:val="bottom"/>
          </w:tcPr>
          <w:p>
            <w:pPr>
              <w:jc w:val="center"/>
              <w:spacing w:after="0"/>
              <w:rPr>
                <w:sz w:val="20"/>
                <w:szCs w:val="20"/>
                <w:color w:val="auto"/>
              </w:rPr>
            </w:pPr>
            <w:r>
              <w:rPr>
                <w:rFonts w:ascii="Arial" w:cs="Arial" w:eastAsia="Arial" w:hAnsi="Arial"/>
                <w:sz w:val="14"/>
                <w:szCs w:val="14"/>
                <w:color w:val="auto"/>
                <w:w w:val="76"/>
              </w:rPr>
              <w:t>4</w:t>
            </w:r>
          </w:p>
        </w:tc>
        <w:tc>
          <w:tcPr>
            <w:tcW w:w="120" w:type="dxa"/>
            <w:vAlign w:val="bottom"/>
          </w:tcPr>
          <w:p>
            <w:pPr>
              <w:spacing w:after="0"/>
              <w:rPr>
                <w:sz w:val="15"/>
                <w:szCs w:val="15"/>
                <w:color w:val="auto"/>
              </w:rPr>
            </w:pPr>
          </w:p>
        </w:tc>
        <w:tc>
          <w:tcPr>
            <w:tcW w:w="5540" w:type="dxa"/>
            <w:vAlign w:val="bottom"/>
          </w:tcPr>
          <w:p>
            <w:pPr>
              <w:jc w:val="center"/>
              <w:spacing w:after="0"/>
              <w:rPr>
                <w:sz w:val="20"/>
                <w:szCs w:val="20"/>
                <w:color w:val="auto"/>
              </w:rPr>
            </w:pPr>
            <w:r>
              <w:rPr>
                <w:rFonts w:ascii="Arial" w:cs="Arial" w:eastAsia="Arial" w:hAnsi="Arial"/>
                <w:sz w:val="14"/>
                <w:szCs w:val="14"/>
                <w:color w:val="auto"/>
              </w:rPr>
              <w:t>B</w:t>
            </w:r>
          </w:p>
        </w:tc>
      </w:tr>
      <w:tr>
        <w:trPr>
          <w:trHeight w:val="187"/>
        </w:trPr>
        <w:tc>
          <w:tcPr>
            <w:tcW w:w="55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5</w:t>
            </w:r>
          </w:p>
        </w:tc>
        <w:tc>
          <w:tcPr>
            <w:tcW w:w="120" w:type="dxa"/>
            <w:vAlign w:val="bottom"/>
            <w:shd w:val="clear" w:color="auto" w:fill="CCEEFF"/>
          </w:tcPr>
          <w:p>
            <w:pPr>
              <w:spacing w:after="0"/>
              <w:rPr>
                <w:sz w:val="16"/>
                <w:szCs w:val="16"/>
                <w:color w:val="auto"/>
              </w:rPr>
            </w:pPr>
          </w:p>
        </w:tc>
        <w:tc>
          <w:tcPr>
            <w:tcW w:w="55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CCC and lower</w:t>
            </w:r>
          </w:p>
        </w:tc>
      </w:tr>
      <w:tr>
        <w:trPr>
          <w:trHeight w:val="179"/>
        </w:trPr>
        <w:tc>
          <w:tcPr>
            <w:tcW w:w="5540" w:type="dxa"/>
            <w:vAlign w:val="bottom"/>
          </w:tcPr>
          <w:p>
            <w:pPr>
              <w:jc w:val="center"/>
              <w:spacing w:after="0"/>
              <w:rPr>
                <w:sz w:val="20"/>
                <w:szCs w:val="20"/>
                <w:color w:val="auto"/>
              </w:rPr>
            </w:pPr>
            <w:r>
              <w:rPr>
                <w:rFonts w:ascii="Arial" w:cs="Arial" w:eastAsia="Arial" w:hAnsi="Arial"/>
                <w:sz w:val="14"/>
                <w:szCs w:val="14"/>
                <w:color w:val="auto"/>
                <w:w w:val="76"/>
              </w:rPr>
              <w:t>6</w:t>
            </w:r>
          </w:p>
        </w:tc>
        <w:tc>
          <w:tcPr>
            <w:tcW w:w="120" w:type="dxa"/>
            <w:vAlign w:val="bottom"/>
          </w:tcPr>
          <w:p>
            <w:pPr>
              <w:spacing w:after="0"/>
              <w:rPr>
                <w:sz w:val="15"/>
                <w:szCs w:val="15"/>
                <w:color w:val="auto"/>
              </w:rPr>
            </w:pPr>
          </w:p>
        </w:tc>
        <w:tc>
          <w:tcPr>
            <w:tcW w:w="5540" w:type="dxa"/>
            <w:vAlign w:val="bottom"/>
          </w:tcPr>
          <w:p>
            <w:pPr>
              <w:jc w:val="center"/>
              <w:spacing w:after="0"/>
              <w:rPr>
                <w:sz w:val="20"/>
                <w:szCs w:val="20"/>
                <w:color w:val="auto"/>
              </w:rPr>
            </w:pPr>
            <w:r>
              <w:rPr>
                <w:rFonts w:ascii="Arial" w:cs="Arial" w:eastAsia="Arial" w:hAnsi="Arial"/>
                <w:sz w:val="14"/>
                <w:szCs w:val="14"/>
                <w:color w:val="auto"/>
                <w:w w:val="92"/>
              </w:rPr>
              <w:t>In or near default</w:t>
            </w:r>
          </w:p>
        </w:tc>
      </w:tr>
    </w:tbl>
    <w:p>
      <w:pPr>
        <w:spacing w:after="0" w:line="203" w:lineRule="exact"/>
        <w:rPr>
          <w:sz w:val="20"/>
          <w:szCs w:val="20"/>
          <w:color w:val="auto"/>
        </w:rPr>
      </w:pPr>
    </w:p>
    <w:p>
      <w:pPr>
        <w:jc w:val="both"/>
        <w:ind w:firstLine="395"/>
        <w:spacing w:after="0" w:line="279" w:lineRule="auto"/>
        <w:rPr>
          <w:sz w:val="20"/>
          <w:szCs w:val="20"/>
          <w:color w:val="auto"/>
        </w:rPr>
      </w:pPr>
      <w:r>
        <w:rPr>
          <w:rFonts w:ascii="Arial" w:cs="Arial" w:eastAsia="Arial" w:hAnsi="Arial"/>
          <w:sz w:val="16"/>
          <w:szCs w:val="16"/>
          <w:color w:val="auto"/>
        </w:rPr>
        <w:t>The NAIC uses designation methodologies for non-agency RMBS, including RMBS backed by subprime mortgage loans and for commercial mortgage-backed securities ("CMBS"). The NAIC’s objective with the designation methodologies for these structured securities is to increase accuracy in assessing expected losses and to use the improved assessment to determine a more appropriate capital requirement for such structured securities. Prior to 2021, the NAIC designations for structured securities, including subprime and Alternative A-paper ("Alt-A") RMBS, were based upon a comparison of the bond’s amortized cost to the NAIC’s loss expectation for each security. Securities where modeling does not generate an expected loss in all scenarios are given the highest designation of NAIC 1. In 2021, the NAIC eliminated the comparison of non-legacy (issued after 2012) bond's amortized cost to the NAIC's loss expectation and instead assigned a NAIC designation based on the loss expectation alone. Several of our RMBS securities carry a NAIC 1 designation while the NRSRO rating indicates below investment grade. The revised methodologies reduce regulatory reliance on rating agencies and allow for greater regulatory input into the assumptions used to estimate expected losses from such structured securities. In the tables below, we present the rating of structured securities based on ratings from the NAIC rating methodologies described above (which in some cases do not correspond to rating agency designations). All NAIC designations (e.g., NAIC 1-6) are based on the NAIC methodologies.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table below presents our fixed maturity securities by NAIC designation as of June 30, 2022 and December 31, 2021 (dollars in millions):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2"/>
          </w:tcPr>
          <w:p>
            <w:pPr>
              <w:ind w:left="420"/>
              <w:spacing w:after="0"/>
              <w:rPr>
                <w:sz w:val="20"/>
                <w:szCs w:val="20"/>
                <w:color w:val="auto"/>
              </w:rPr>
            </w:pPr>
            <w:r>
              <w:rPr>
                <w:rFonts w:ascii="Arial" w:cs="Arial" w:eastAsia="Arial" w:hAnsi="Arial"/>
                <w:sz w:val="14"/>
                <w:szCs w:val="14"/>
                <w:b w:val="1"/>
                <w:bCs w:val="1"/>
                <w:color w:val="auto"/>
              </w:rPr>
              <w:t>June 30, 2022</w:t>
            </w:r>
          </w:p>
        </w:tc>
        <w:tc>
          <w:tcPr>
            <w:tcW w:w="2700" w:type="dxa"/>
            <w:vAlign w:val="bottom"/>
            <w:tcBorders>
              <w:bottom w:val="single" w:sz="8" w:color="auto"/>
            </w:tcBorders>
          </w:tcPr>
          <w:p>
            <w:pPr>
              <w:spacing w:after="0"/>
              <w:rPr>
                <w:sz w:val="16"/>
                <w:szCs w:val="16"/>
                <w:color w:val="auto"/>
              </w:rPr>
            </w:pPr>
          </w:p>
        </w:tc>
      </w:tr>
      <w:tr>
        <w:trPr>
          <w:trHeight w:val="184"/>
        </w:trPr>
        <w:tc>
          <w:tcPr>
            <w:tcW w:w="3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NAIC Designation</w:t>
            </w:r>
          </w:p>
        </w:tc>
        <w:tc>
          <w:tcPr>
            <w:tcW w:w="460" w:type="dxa"/>
            <w:vAlign w:val="bottom"/>
          </w:tcPr>
          <w:p>
            <w:pPr>
              <w:spacing w:after="0"/>
              <w:rPr>
                <w:sz w:val="15"/>
                <w:szCs w:val="15"/>
                <w:color w:val="auto"/>
              </w:rPr>
            </w:pPr>
          </w:p>
        </w:tc>
        <w:tc>
          <w:tcPr>
            <w:tcW w:w="2240" w:type="dxa"/>
            <w:vAlign w:val="bottom"/>
            <w:gridSpan w:val="2"/>
          </w:tcPr>
          <w:p>
            <w:pPr>
              <w:ind w:left="360"/>
              <w:spacing w:after="0"/>
              <w:rPr>
                <w:sz w:val="20"/>
                <w:szCs w:val="20"/>
                <w:color w:val="auto"/>
              </w:rPr>
            </w:pPr>
            <w:r>
              <w:rPr>
                <w:rFonts w:ascii="Arial" w:cs="Arial" w:eastAsia="Arial" w:hAnsi="Arial"/>
                <w:sz w:val="14"/>
                <w:szCs w:val="14"/>
                <w:b w:val="1"/>
                <w:bCs w:val="1"/>
                <w:color w:val="auto"/>
              </w:rPr>
              <w:t>Amortized Cost</w:t>
            </w:r>
          </w:p>
        </w:tc>
        <w:tc>
          <w:tcPr>
            <w:tcW w:w="520" w:type="dxa"/>
            <w:vAlign w:val="bottom"/>
          </w:tcPr>
          <w:p>
            <w:pPr>
              <w:spacing w:after="0"/>
              <w:rPr>
                <w:sz w:val="15"/>
                <w:szCs w:val="15"/>
                <w:color w:val="auto"/>
              </w:rPr>
            </w:pPr>
          </w:p>
        </w:tc>
        <w:tc>
          <w:tcPr>
            <w:tcW w:w="2180" w:type="dxa"/>
            <w:vAlign w:val="bottom"/>
            <w:gridSpan w:val="2"/>
          </w:tcPr>
          <w:p>
            <w:pPr>
              <w:ind w:left="460"/>
              <w:spacing w:after="0"/>
              <w:rPr>
                <w:sz w:val="20"/>
                <w:szCs w:val="20"/>
                <w:color w:val="auto"/>
              </w:rPr>
            </w:pPr>
            <w:r>
              <w:rPr>
                <w:rFonts w:ascii="Arial" w:cs="Arial" w:eastAsia="Arial" w:hAnsi="Arial"/>
                <w:sz w:val="14"/>
                <w:szCs w:val="14"/>
                <w:b w:val="1"/>
                <w:bCs w:val="1"/>
                <w:color w:val="auto"/>
              </w:rPr>
              <w:t>Fair Value</w:t>
            </w:r>
          </w:p>
        </w:tc>
        <w:tc>
          <w:tcPr>
            <w:tcW w:w="2700" w:type="dxa"/>
            <w:vAlign w:val="bottom"/>
          </w:tcPr>
          <w:p>
            <w:pPr>
              <w:jc w:val="right"/>
              <w:ind w:right="470"/>
              <w:spacing w:after="0"/>
              <w:rPr>
                <w:sz w:val="20"/>
                <w:szCs w:val="20"/>
                <w:color w:val="auto"/>
              </w:rPr>
            </w:pPr>
            <w:r>
              <w:rPr>
                <w:rFonts w:ascii="Arial" w:cs="Arial" w:eastAsia="Arial" w:hAnsi="Arial"/>
                <w:sz w:val="14"/>
                <w:szCs w:val="14"/>
                <w:b w:val="1"/>
                <w:bCs w:val="1"/>
                <w:color w:val="auto"/>
              </w:rPr>
              <w:t>Percent of Total Fair Value</w:t>
            </w:r>
          </w:p>
        </w:tc>
      </w:tr>
      <w:tr>
        <w:trPr>
          <w:trHeight w:val="178"/>
        </w:trPr>
        <w:tc>
          <w:tcPr>
            <w:tcW w:w="3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76"/>
              </w:rPr>
              <w:t>1</w:t>
            </w:r>
          </w:p>
        </w:tc>
        <w:tc>
          <w:tcPr>
            <w:tcW w:w="12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4"/>
                <w:szCs w:val="14"/>
                <w:color w:val="auto"/>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17,998</w:t>
            </w:r>
          </w:p>
        </w:tc>
        <w:tc>
          <w:tcPr>
            <w:tcW w:w="12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4"/>
                <w:szCs w:val="14"/>
                <w:color w:val="auto"/>
                <w:w w:val="76"/>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16,033</w:t>
            </w:r>
          </w:p>
        </w:tc>
        <w:tc>
          <w:tcPr>
            <w:tcW w:w="120" w:type="dxa"/>
            <w:vAlign w:val="bottom"/>
            <w:tcBorders>
              <w:top w:val="single" w:sz="8" w:color="CCEEFF"/>
            </w:tcBorders>
            <w:shd w:val="clear" w:color="auto" w:fill="CCEEFF"/>
          </w:tcPr>
          <w:p>
            <w:pPr>
              <w:spacing w:after="0"/>
              <w:rPr>
                <w:sz w:val="15"/>
                <w:szCs w:val="15"/>
                <w:color w:val="auto"/>
              </w:rPr>
            </w:pPr>
          </w:p>
        </w:tc>
        <w:tc>
          <w:tcPr>
            <w:tcW w:w="2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56 %</w:t>
            </w:r>
          </w:p>
        </w:tc>
      </w:tr>
      <w:tr>
        <w:trPr>
          <w:trHeight w:val="182"/>
        </w:trPr>
        <w:tc>
          <w:tcPr>
            <w:tcW w:w="3000" w:type="dxa"/>
            <w:vAlign w:val="bottom"/>
          </w:tcPr>
          <w:p>
            <w:pPr>
              <w:jc w:val="center"/>
              <w:spacing w:after="0"/>
              <w:rPr>
                <w:sz w:val="20"/>
                <w:szCs w:val="20"/>
                <w:color w:val="auto"/>
              </w:rPr>
            </w:pPr>
            <w:r>
              <w:rPr>
                <w:rFonts w:ascii="Arial" w:cs="Arial" w:eastAsia="Arial" w:hAnsi="Arial"/>
                <w:sz w:val="14"/>
                <w:szCs w:val="14"/>
                <w:color w:val="auto"/>
                <w:w w:val="76"/>
              </w:rPr>
              <w:t>2</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120" w:type="dxa"/>
            <w:vAlign w:val="bottom"/>
          </w:tcPr>
          <w:p>
            <w:pPr>
              <w:jc w:val="right"/>
              <w:spacing w:after="0"/>
              <w:rPr>
                <w:sz w:val="20"/>
                <w:szCs w:val="20"/>
                <w:color w:val="auto"/>
              </w:rPr>
            </w:pPr>
            <w:r>
              <w:rPr>
                <w:rFonts w:ascii="Arial" w:cs="Arial" w:eastAsia="Arial" w:hAnsi="Arial"/>
                <w:sz w:val="14"/>
                <w:szCs w:val="14"/>
                <w:color w:val="auto"/>
              </w:rPr>
              <w:t>11,412</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Arial" w:cs="Arial" w:eastAsia="Arial" w:hAnsi="Arial"/>
                <w:sz w:val="14"/>
                <w:szCs w:val="14"/>
                <w:color w:val="auto"/>
              </w:rPr>
              <w:t>10,121</w:t>
            </w:r>
          </w:p>
        </w:tc>
        <w:tc>
          <w:tcPr>
            <w:tcW w:w="120" w:type="dxa"/>
            <w:vAlign w:val="bottom"/>
          </w:tcPr>
          <w:p>
            <w:pPr>
              <w:spacing w:after="0"/>
              <w:rPr>
                <w:sz w:val="15"/>
                <w:szCs w:val="15"/>
                <w:color w:val="auto"/>
              </w:rPr>
            </w:pPr>
          </w:p>
        </w:tc>
        <w:tc>
          <w:tcPr>
            <w:tcW w:w="2700" w:type="dxa"/>
            <w:vAlign w:val="bottom"/>
          </w:tcPr>
          <w:p>
            <w:pPr>
              <w:jc w:val="right"/>
              <w:spacing w:after="0"/>
              <w:rPr>
                <w:sz w:val="20"/>
                <w:szCs w:val="20"/>
                <w:color w:val="auto"/>
              </w:rPr>
            </w:pPr>
            <w:r>
              <w:rPr>
                <w:rFonts w:ascii="Arial" w:cs="Arial" w:eastAsia="Arial" w:hAnsi="Arial"/>
                <w:sz w:val="14"/>
                <w:szCs w:val="14"/>
                <w:color w:val="auto"/>
              </w:rPr>
              <w:t>36 %</w:t>
            </w:r>
          </w:p>
        </w:tc>
      </w:tr>
      <w:tr>
        <w:trPr>
          <w:trHeight w:val="187"/>
        </w:trPr>
        <w:tc>
          <w:tcPr>
            <w:tcW w:w="3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3</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1,641</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1,571</w:t>
            </w:r>
          </w:p>
        </w:tc>
        <w:tc>
          <w:tcPr>
            <w:tcW w:w="120" w:type="dxa"/>
            <w:vAlign w:val="bottom"/>
            <w:shd w:val="clear" w:color="auto" w:fill="CCEEFF"/>
          </w:tcPr>
          <w:p>
            <w:pPr>
              <w:spacing w:after="0"/>
              <w:rPr>
                <w:sz w:val="16"/>
                <w:szCs w:val="16"/>
                <w:color w:val="auto"/>
              </w:rPr>
            </w:pPr>
          </w:p>
        </w:tc>
        <w:tc>
          <w:tcPr>
            <w:tcW w:w="2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6 %</w:t>
            </w:r>
          </w:p>
        </w:tc>
      </w:tr>
      <w:tr>
        <w:trPr>
          <w:trHeight w:val="182"/>
        </w:trPr>
        <w:tc>
          <w:tcPr>
            <w:tcW w:w="3000" w:type="dxa"/>
            <w:vAlign w:val="bottom"/>
          </w:tcPr>
          <w:p>
            <w:pPr>
              <w:jc w:val="center"/>
              <w:spacing w:after="0"/>
              <w:rPr>
                <w:sz w:val="20"/>
                <w:szCs w:val="20"/>
                <w:color w:val="auto"/>
              </w:rPr>
            </w:pPr>
            <w:r>
              <w:rPr>
                <w:rFonts w:ascii="Arial" w:cs="Arial" w:eastAsia="Arial" w:hAnsi="Arial"/>
                <w:sz w:val="14"/>
                <w:szCs w:val="14"/>
                <w:color w:val="auto"/>
                <w:w w:val="76"/>
              </w:rPr>
              <w:t>4</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120" w:type="dxa"/>
            <w:vAlign w:val="bottom"/>
          </w:tcPr>
          <w:p>
            <w:pPr>
              <w:jc w:val="right"/>
              <w:spacing w:after="0"/>
              <w:rPr>
                <w:sz w:val="20"/>
                <w:szCs w:val="20"/>
                <w:color w:val="auto"/>
              </w:rPr>
            </w:pPr>
            <w:r>
              <w:rPr>
                <w:rFonts w:ascii="Arial" w:cs="Arial" w:eastAsia="Arial" w:hAnsi="Arial"/>
                <w:sz w:val="14"/>
                <w:szCs w:val="14"/>
                <w:color w:val="auto"/>
              </w:rPr>
              <w:t>540</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Arial" w:cs="Arial" w:eastAsia="Arial" w:hAnsi="Arial"/>
                <w:sz w:val="14"/>
                <w:szCs w:val="14"/>
                <w:color w:val="auto"/>
              </w:rPr>
              <w:t>532</w:t>
            </w:r>
          </w:p>
        </w:tc>
        <w:tc>
          <w:tcPr>
            <w:tcW w:w="120" w:type="dxa"/>
            <w:vAlign w:val="bottom"/>
          </w:tcPr>
          <w:p>
            <w:pPr>
              <w:spacing w:after="0"/>
              <w:rPr>
                <w:sz w:val="15"/>
                <w:szCs w:val="15"/>
                <w:color w:val="auto"/>
              </w:rPr>
            </w:pPr>
          </w:p>
        </w:tc>
        <w:tc>
          <w:tcPr>
            <w:tcW w:w="2700" w:type="dxa"/>
            <w:vAlign w:val="bottom"/>
          </w:tcPr>
          <w:p>
            <w:pPr>
              <w:jc w:val="right"/>
              <w:spacing w:after="0"/>
              <w:rPr>
                <w:sz w:val="20"/>
                <w:szCs w:val="20"/>
                <w:color w:val="auto"/>
              </w:rPr>
            </w:pPr>
            <w:r>
              <w:rPr>
                <w:rFonts w:ascii="Arial" w:cs="Arial" w:eastAsia="Arial" w:hAnsi="Arial"/>
                <w:sz w:val="14"/>
                <w:szCs w:val="14"/>
                <w:color w:val="auto"/>
              </w:rPr>
              <w:t>2 %</w:t>
            </w:r>
          </w:p>
        </w:tc>
      </w:tr>
      <w:tr>
        <w:trPr>
          <w:trHeight w:val="187"/>
        </w:trPr>
        <w:tc>
          <w:tcPr>
            <w:tcW w:w="3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5</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120" w:type="dxa"/>
            <w:vAlign w:val="bottom"/>
            <w:shd w:val="clear" w:color="auto" w:fill="CCEEFF"/>
          </w:tcPr>
          <w:p>
            <w:pPr>
              <w:spacing w:after="0"/>
              <w:rPr>
                <w:sz w:val="16"/>
                <w:szCs w:val="16"/>
                <w:color w:val="auto"/>
              </w:rPr>
            </w:pPr>
          </w:p>
        </w:tc>
        <w:tc>
          <w:tcPr>
            <w:tcW w:w="2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r>
      <w:tr>
        <w:trPr>
          <w:trHeight w:val="182"/>
        </w:trPr>
        <w:tc>
          <w:tcPr>
            <w:tcW w:w="300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76"/>
              </w:rPr>
              <w:t>6</w:t>
            </w:r>
          </w:p>
        </w:tc>
        <w:tc>
          <w:tcPr>
            <w:tcW w:w="12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w:t>
            </w:r>
          </w:p>
        </w:tc>
        <w:tc>
          <w:tcPr>
            <w:tcW w:w="12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w:t>
            </w:r>
          </w:p>
        </w:tc>
        <w:tc>
          <w:tcPr>
            <w:tcW w:w="120" w:type="dxa"/>
            <w:vAlign w:val="bottom"/>
            <w:tcBorders>
              <w:bottom w:val="single" w:sz="8" w:color="CCEEFF"/>
            </w:tcBorders>
          </w:tcPr>
          <w:p>
            <w:pPr>
              <w:spacing w:after="0"/>
              <w:rPr>
                <w:sz w:val="15"/>
                <w:szCs w:val="15"/>
                <w:color w:val="auto"/>
              </w:rPr>
            </w:pPr>
          </w:p>
        </w:tc>
        <w:tc>
          <w:tcPr>
            <w:tcW w:w="2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w:t>
            </w:r>
          </w:p>
        </w:tc>
      </w:tr>
      <w:tr>
        <w:trPr>
          <w:trHeight w:val="205"/>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4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4"/>
                <w:szCs w:val="14"/>
                <w:color w:val="auto"/>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31,728</w:t>
            </w: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4"/>
                <w:szCs w:val="14"/>
                <w:color w:val="auto"/>
                <w:w w:val="76"/>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28,398</w:t>
            </w:r>
          </w:p>
        </w:tc>
        <w:tc>
          <w:tcPr>
            <w:tcW w:w="120" w:type="dxa"/>
            <w:vAlign w:val="bottom"/>
            <w:tcBorders>
              <w:bottom w:val="single" w:sz="8" w:color="CCEEFF"/>
            </w:tcBorders>
            <w:shd w:val="clear" w:color="auto" w:fill="CCEEFF"/>
          </w:tcPr>
          <w:p>
            <w:pPr>
              <w:spacing w:after="0"/>
              <w:rPr>
                <w:sz w:val="17"/>
                <w:szCs w:val="17"/>
                <w:color w:val="auto"/>
              </w:rPr>
            </w:pPr>
          </w:p>
        </w:tc>
        <w:tc>
          <w:tcPr>
            <w:tcW w:w="2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bottom w:val="single" w:sz="8" w:color="auto"/>
            </w:tcBorders>
          </w:tcPr>
          <w:p>
            <w:pPr>
              <w:spacing w:after="0" w:line="20" w:lineRule="exact"/>
              <w:rPr>
                <w:sz w:val="1"/>
                <w:szCs w:val="1"/>
                <w:color w:val="auto"/>
              </w:rPr>
            </w:pPr>
          </w:p>
        </w:tc>
      </w:tr>
    </w:tbl>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December 31, 2021</w:t>
            </w:r>
          </w:p>
        </w:tc>
        <w:tc>
          <w:tcPr>
            <w:tcW w:w="2700" w:type="dxa"/>
            <w:vAlign w:val="bottom"/>
            <w:tcBorders>
              <w:bottom w:val="single" w:sz="8" w:color="auto"/>
            </w:tcBorders>
          </w:tcPr>
          <w:p>
            <w:pPr>
              <w:spacing w:after="0"/>
              <w:rPr>
                <w:sz w:val="16"/>
                <w:szCs w:val="16"/>
                <w:color w:val="auto"/>
              </w:rPr>
            </w:pPr>
          </w:p>
        </w:tc>
      </w:tr>
      <w:tr>
        <w:trPr>
          <w:trHeight w:val="184"/>
        </w:trPr>
        <w:tc>
          <w:tcPr>
            <w:tcW w:w="3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NAIC Designation</w:t>
            </w:r>
          </w:p>
        </w:tc>
        <w:tc>
          <w:tcPr>
            <w:tcW w:w="460" w:type="dxa"/>
            <w:vAlign w:val="bottom"/>
          </w:tcPr>
          <w:p>
            <w:pPr>
              <w:spacing w:after="0"/>
              <w:rPr>
                <w:sz w:val="15"/>
                <w:szCs w:val="15"/>
                <w:color w:val="auto"/>
              </w:rPr>
            </w:pPr>
          </w:p>
        </w:tc>
        <w:tc>
          <w:tcPr>
            <w:tcW w:w="2240" w:type="dxa"/>
            <w:vAlign w:val="bottom"/>
            <w:gridSpan w:val="2"/>
          </w:tcPr>
          <w:p>
            <w:pPr>
              <w:ind w:left="360"/>
              <w:spacing w:after="0"/>
              <w:rPr>
                <w:sz w:val="20"/>
                <w:szCs w:val="20"/>
                <w:color w:val="auto"/>
              </w:rPr>
            </w:pPr>
            <w:r>
              <w:rPr>
                <w:rFonts w:ascii="Arial" w:cs="Arial" w:eastAsia="Arial" w:hAnsi="Arial"/>
                <w:sz w:val="14"/>
                <w:szCs w:val="14"/>
                <w:b w:val="1"/>
                <w:bCs w:val="1"/>
                <w:color w:val="auto"/>
              </w:rPr>
              <w:t>Amortized Cost</w:t>
            </w:r>
          </w:p>
        </w:tc>
        <w:tc>
          <w:tcPr>
            <w:tcW w:w="440" w:type="dxa"/>
            <w:vAlign w:val="bottom"/>
          </w:tcPr>
          <w:p>
            <w:pPr>
              <w:spacing w:after="0"/>
              <w:rPr>
                <w:sz w:val="15"/>
                <w:szCs w:val="15"/>
                <w:color w:val="auto"/>
              </w:rPr>
            </w:pPr>
          </w:p>
        </w:tc>
        <w:tc>
          <w:tcPr>
            <w:tcW w:w="2260" w:type="dxa"/>
            <w:vAlign w:val="bottom"/>
            <w:gridSpan w:val="2"/>
          </w:tcPr>
          <w:p>
            <w:pPr>
              <w:ind w:left="540"/>
              <w:spacing w:after="0"/>
              <w:rPr>
                <w:sz w:val="20"/>
                <w:szCs w:val="20"/>
                <w:color w:val="auto"/>
              </w:rPr>
            </w:pPr>
            <w:r>
              <w:rPr>
                <w:rFonts w:ascii="Arial" w:cs="Arial" w:eastAsia="Arial" w:hAnsi="Arial"/>
                <w:sz w:val="14"/>
                <w:szCs w:val="14"/>
                <w:b w:val="1"/>
                <w:bCs w:val="1"/>
                <w:color w:val="auto"/>
              </w:rPr>
              <w:t>Fair Value</w:t>
            </w:r>
          </w:p>
        </w:tc>
        <w:tc>
          <w:tcPr>
            <w:tcW w:w="2700" w:type="dxa"/>
            <w:vAlign w:val="bottom"/>
          </w:tcPr>
          <w:p>
            <w:pPr>
              <w:jc w:val="right"/>
              <w:ind w:right="470"/>
              <w:spacing w:after="0"/>
              <w:rPr>
                <w:sz w:val="20"/>
                <w:szCs w:val="20"/>
                <w:color w:val="auto"/>
              </w:rPr>
            </w:pPr>
            <w:r>
              <w:rPr>
                <w:rFonts w:ascii="Arial" w:cs="Arial" w:eastAsia="Arial" w:hAnsi="Arial"/>
                <w:sz w:val="14"/>
                <w:szCs w:val="14"/>
                <w:b w:val="1"/>
                <w:bCs w:val="1"/>
                <w:color w:val="auto"/>
              </w:rPr>
              <w:t>Percent of Total Fair Value</w:t>
            </w:r>
          </w:p>
        </w:tc>
      </w:tr>
      <w:tr>
        <w:trPr>
          <w:trHeight w:val="178"/>
        </w:trPr>
        <w:tc>
          <w:tcPr>
            <w:tcW w:w="3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76"/>
              </w:rPr>
              <w:t>1</w:t>
            </w:r>
          </w:p>
        </w:tc>
        <w:tc>
          <w:tcPr>
            <w:tcW w:w="12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4"/>
                <w:szCs w:val="14"/>
                <w:color w:val="auto"/>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15,636</w:t>
            </w:r>
          </w:p>
        </w:tc>
        <w:tc>
          <w:tcPr>
            <w:tcW w:w="12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4"/>
                <w:szCs w:val="14"/>
                <w:color w:val="auto"/>
                <w:w w:val="76"/>
              </w:rPr>
              <w:t>$</w:t>
            </w:r>
          </w:p>
        </w:tc>
        <w:tc>
          <w:tcPr>
            <w:tcW w:w="2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15,848</w:t>
            </w:r>
          </w:p>
        </w:tc>
        <w:tc>
          <w:tcPr>
            <w:tcW w:w="120" w:type="dxa"/>
            <w:vAlign w:val="bottom"/>
            <w:tcBorders>
              <w:top w:val="single" w:sz="8" w:color="CCEEFF"/>
            </w:tcBorders>
            <w:shd w:val="clear" w:color="auto" w:fill="CCEEFF"/>
          </w:tcPr>
          <w:p>
            <w:pPr>
              <w:spacing w:after="0"/>
              <w:rPr>
                <w:sz w:val="15"/>
                <w:szCs w:val="15"/>
                <w:color w:val="auto"/>
              </w:rPr>
            </w:pPr>
          </w:p>
        </w:tc>
        <w:tc>
          <w:tcPr>
            <w:tcW w:w="2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54 %</w:t>
            </w:r>
          </w:p>
        </w:tc>
      </w:tr>
      <w:tr>
        <w:trPr>
          <w:trHeight w:val="182"/>
        </w:trPr>
        <w:tc>
          <w:tcPr>
            <w:tcW w:w="3000" w:type="dxa"/>
            <w:vAlign w:val="bottom"/>
          </w:tcPr>
          <w:p>
            <w:pPr>
              <w:jc w:val="center"/>
              <w:spacing w:after="0"/>
              <w:rPr>
                <w:sz w:val="20"/>
                <w:szCs w:val="20"/>
                <w:color w:val="auto"/>
              </w:rPr>
            </w:pPr>
            <w:r>
              <w:rPr>
                <w:rFonts w:ascii="Arial" w:cs="Arial" w:eastAsia="Arial" w:hAnsi="Arial"/>
                <w:sz w:val="14"/>
                <w:szCs w:val="14"/>
                <w:color w:val="auto"/>
                <w:w w:val="76"/>
              </w:rPr>
              <w:t>2</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120" w:type="dxa"/>
            <w:vAlign w:val="bottom"/>
          </w:tcPr>
          <w:p>
            <w:pPr>
              <w:jc w:val="right"/>
              <w:spacing w:after="0"/>
              <w:rPr>
                <w:sz w:val="20"/>
                <w:szCs w:val="20"/>
                <w:color w:val="auto"/>
              </w:rPr>
            </w:pPr>
            <w:r>
              <w:rPr>
                <w:rFonts w:ascii="Arial" w:cs="Arial" w:eastAsia="Arial" w:hAnsi="Arial"/>
                <w:sz w:val="14"/>
                <w:szCs w:val="14"/>
                <w:color w:val="auto"/>
              </w:rPr>
              <w:t>10,779</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140" w:type="dxa"/>
            <w:vAlign w:val="bottom"/>
          </w:tcPr>
          <w:p>
            <w:pPr>
              <w:jc w:val="right"/>
              <w:spacing w:after="0"/>
              <w:rPr>
                <w:sz w:val="20"/>
                <w:szCs w:val="20"/>
                <w:color w:val="auto"/>
              </w:rPr>
            </w:pPr>
            <w:r>
              <w:rPr>
                <w:rFonts w:ascii="Arial" w:cs="Arial" w:eastAsia="Arial" w:hAnsi="Arial"/>
                <w:sz w:val="14"/>
                <w:szCs w:val="14"/>
                <w:color w:val="auto"/>
              </w:rPr>
              <w:t>11,441</w:t>
            </w:r>
          </w:p>
        </w:tc>
        <w:tc>
          <w:tcPr>
            <w:tcW w:w="120" w:type="dxa"/>
            <w:vAlign w:val="bottom"/>
          </w:tcPr>
          <w:p>
            <w:pPr>
              <w:spacing w:after="0"/>
              <w:rPr>
                <w:sz w:val="15"/>
                <w:szCs w:val="15"/>
                <w:color w:val="auto"/>
              </w:rPr>
            </w:pPr>
          </w:p>
        </w:tc>
        <w:tc>
          <w:tcPr>
            <w:tcW w:w="2700" w:type="dxa"/>
            <w:vAlign w:val="bottom"/>
          </w:tcPr>
          <w:p>
            <w:pPr>
              <w:jc w:val="right"/>
              <w:spacing w:after="0"/>
              <w:rPr>
                <w:sz w:val="20"/>
                <w:szCs w:val="20"/>
                <w:color w:val="auto"/>
              </w:rPr>
            </w:pPr>
            <w:r>
              <w:rPr>
                <w:rFonts w:ascii="Arial" w:cs="Arial" w:eastAsia="Arial" w:hAnsi="Arial"/>
                <w:sz w:val="14"/>
                <w:szCs w:val="14"/>
                <w:color w:val="auto"/>
              </w:rPr>
              <w:t>38 %</w:t>
            </w:r>
          </w:p>
        </w:tc>
      </w:tr>
      <w:tr>
        <w:trPr>
          <w:trHeight w:val="187"/>
        </w:trPr>
        <w:tc>
          <w:tcPr>
            <w:tcW w:w="3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3</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1,603</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1,850</w:t>
            </w:r>
          </w:p>
        </w:tc>
        <w:tc>
          <w:tcPr>
            <w:tcW w:w="120" w:type="dxa"/>
            <w:vAlign w:val="bottom"/>
            <w:shd w:val="clear" w:color="auto" w:fill="CCEEFF"/>
          </w:tcPr>
          <w:p>
            <w:pPr>
              <w:spacing w:after="0"/>
              <w:rPr>
                <w:sz w:val="16"/>
                <w:szCs w:val="16"/>
                <w:color w:val="auto"/>
              </w:rPr>
            </w:pPr>
          </w:p>
        </w:tc>
        <w:tc>
          <w:tcPr>
            <w:tcW w:w="2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6 %</w:t>
            </w:r>
          </w:p>
        </w:tc>
      </w:tr>
      <w:tr>
        <w:trPr>
          <w:trHeight w:val="182"/>
        </w:trPr>
        <w:tc>
          <w:tcPr>
            <w:tcW w:w="3000" w:type="dxa"/>
            <w:vAlign w:val="bottom"/>
          </w:tcPr>
          <w:p>
            <w:pPr>
              <w:jc w:val="center"/>
              <w:spacing w:after="0"/>
              <w:rPr>
                <w:sz w:val="20"/>
                <w:szCs w:val="20"/>
                <w:color w:val="auto"/>
              </w:rPr>
            </w:pPr>
            <w:r>
              <w:rPr>
                <w:rFonts w:ascii="Arial" w:cs="Arial" w:eastAsia="Arial" w:hAnsi="Arial"/>
                <w:sz w:val="14"/>
                <w:szCs w:val="14"/>
                <w:color w:val="auto"/>
                <w:w w:val="76"/>
              </w:rPr>
              <w:t>4</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120" w:type="dxa"/>
            <w:vAlign w:val="bottom"/>
          </w:tcPr>
          <w:p>
            <w:pPr>
              <w:jc w:val="right"/>
              <w:spacing w:after="0"/>
              <w:rPr>
                <w:sz w:val="20"/>
                <w:szCs w:val="20"/>
                <w:color w:val="auto"/>
              </w:rPr>
            </w:pPr>
            <w:r>
              <w:rPr>
                <w:rFonts w:ascii="Arial" w:cs="Arial" w:eastAsia="Arial" w:hAnsi="Arial"/>
                <w:sz w:val="14"/>
                <w:szCs w:val="14"/>
                <w:color w:val="auto"/>
              </w:rPr>
              <w:t>567</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140" w:type="dxa"/>
            <w:vAlign w:val="bottom"/>
          </w:tcPr>
          <w:p>
            <w:pPr>
              <w:jc w:val="right"/>
              <w:spacing w:after="0"/>
              <w:rPr>
                <w:sz w:val="20"/>
                <w:szCs w:val="20"/>
                <w:color w:val="auto"/>
              </w:rPr>
            </w:pPr>
            <w:r>
              <w:rPr>
                <w:rFonts w:ascii="Arial" w:cs="Arial" w:eastAsia="Arial" w:hAnsi="Arial"/>
                <w:sz w:val="14"/>
                <w:szCs w:val="14"/>
                <w:color w:val="auto"/>
              </w:rPr>
              <w:t>669</w:t>
            </w:r>
          </w:p>
        </w:tc>
        <w:tc>
          <w:tcPr>
            <w:tcW w:w="120" w:type="dxa"/>
            <w:vAlign w:val="bottom"/>
          </w:tcPr>
          <w:p>
            <w:pPr>
              <w:spacing w:after="0"/>
              <w:rPr>
                <w:sz w:val="15"/>
                <w:szCs w:val="15"/>
                <w:color w:val="auto"/>
              </w:rPr>
            </w:pPr>
          </w:p>
        </w:tc>
        <w:tc>
          <w:tcPr>
            <w:tcW w:w="2700" w:type="dxa"/>
            <w:vAlign w:val="bottom"/>
          </w:tcPr>
          <w:p>
            <w:pPr>
              <w:jc w:val="right"/>
              <w:spacing w:after="0"/>
              <w:rPr>
                <w:sz w:val="20"/>
                <w:szCs w:val="20"/>
                <w:color w:val="auto"/>
              </w:rPr>
            </w:pPr>
            <w:r>
              <w:rPr>
                <w:rFonts w:ascii="Arial" w:cs="Arial" w:eastAsia="Arial" w:hAnsi="Arial"/>
                <w:sz w:val="14"/>
                <w:szCs w:val="14"/>
                <w:color w:val="auto"/>
              </w:rPr>
              <w:t>2 %</w:t>
            </w:r>
          </w:p>
        </w:tc>
      </w:tr>
      <w:tr>
        <w:trPr>
          <w:trHeight w:val="187"/>
        </w:trPr>
        <w:tc>
          <w:tcPr>
            <w:tcW w:w="3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5</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120" w:type="dxa"/>
            <w:vAlign w:val="bottom"/>
            <w:shd w:val="clear" w:color="auto" w:fill="CCEEFF"/>
          </w:tcPr>
          <w:p>
            <w:pPr>
              <w:spacing w:after="0"/>
              <w:rPr>
                <w:sz w:val="16"/>
                <w:szCs w:val="16"/>
                <w:color w:val="auto"/>
              </w:rPr>
            </w:pPr>
          </w:p>
        </w:tc>
        <w:tc>
          <w:tcPr>
            <w:tcW w:w="2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r>
      <w:tr>
        <w:trPr>
          <w:trHeight w:val="182"/>
        </w:trPr>
        <w:tc>
          <w:tcPr>
            <w:tcW w:w="300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76"/>
              </w:rPr>
              <w:t>6</w:t>
            </w:r>
          </w:p>
        </w:tc>
        <w:tc>
          <w:tcPr>
            <w:tcW w:w="12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w:t>
            </w:r>
          </w:p>
        </w:tc>
        <w:tc>
          <w:tcPr>
            <w:tcW w:w="120" w:type="dxa"/>
            <w:vAlign w:val="bottom"/>
            <w:tcBorders>
              <w:bottom w:val="single" w:sz="8" w:color="CCEEFF"/>
            </w:tcBorders>
          </w:tcPr>
          <w:p>
            <w:pPr>
              <w:spacing w:after="0"/>
              <w:rPr>
                <w:sz w:val="15"/>
                <w:szCs w:val="15"/>
                <w:color w:val="auto"/>
              </w:rPr>
            </w:pPr>
          </w:p>
        </w:tc>
        <w:tc>
          <w:tcPr>
            <w:tcW w:w="2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w:t>
            </w:r>
          </w:p>
        </w:tc>
      </w:tr>
      <w:tr>
        <w:trPr>
          <w:trHeight w:val="205"/>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4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4"/>
                <w:szCs w:val="14"/>
                <w:color w:val="auto"/>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28,724</w:t>
            </w:r>
          </w:p>
        </w:tc>
        <w:tc>
          <w:tcPr>
            <w:tcW w:w="1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4"/>
                <w:szCs w:val="14"/>
                <w:color w:val="auto"/>
                <w:w w:val="76"/>
              </w:rPr>
              <w:t>$</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29,962</w:t>
            </w:r>
          </w:p>
        </w:tc>
        <w:tc>
          <w:tcPr>
            <w:tcW w:w="120" w:type="dxa"/>
            <w:vAlign w:val="bottom"/>
            <w:tcBorders>
              <w:bottom w:val="single" w:sz="8" w:color="CCEEFF"/>
            </w:tcBorders>
            <w:shd w:val="clear" w:color="auto" w:fill="CCEEFF"/>
          </w:tcPr>
          <w:p>
            <w:pPr>
              <w:spacing w:after="0"/>
              <w:rPr>
                <w:sz w:val="17"/>
                <w:szCs w:val="17"/>
                <w:color w:val="auto"/>
              </w:rPr>
            </w:pPr>
          </w:p>
        </w:tc>
        <w:tc>
          <w:tcPr>
            <w:tcW w:w="2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Industry Concentration</w:t>
      </w:r>
    </w:p>
    <w:p>
      <w:pPr>
        <w:spacing w:after="0" w:line="220" w:lineRule="exact"/>
        <w:rPr>
          <w:sz w:val="20"/>
          <w:szCs w:val="20"/>
          <w:color w:val="auto"/>
        </w:rPr>
      </w:pPr>
    </w:p>
    <w:p>
      <w:pPr>
        <w:ind w:firstLine="395"/>
        <w:spacing w:after="0" w:line="324" w:lineRule="auto"/>
        <w:rPr>
          <w:sz w:val="20"/>
          <w:szCs w:val="20"/>
          <w:color w:val="auto"/>
        </w:rPr>
      </w:pPr>
      <w:r>
        <w:rPr>
          <w:rFonts w:ascii="Arial" w:cs="Arial" w:eastAsia="Arial" w:hAnsi="Arial"/>
          <w:sz w:val="16"/>
          <w:szCs w:val="16"/>
          <w:color w:val="auto"/>
        </w:rPr>
        <w:t>The tables below present the top ten industry categories of our fixed maturity and equity securities and FHLB common stock, including the fair value and percent of total fixed maturity and equity securities and FHLB common stock fair value as of June 30, 2022 and December 31, 2021 (dollars in millions):</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Top 10 Industry Concentration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7135495" cy="1250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5495" cy="12509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-187325</wp:posOffset>
            </wp:positionV>
            <wp:extent cx="50552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055235" cy="825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color w:val="auto"/>
        </w:rPr>
        <w:t>ABS Other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4"/>
          <w:szCs w:val="14"/>
          <w:color w:val="auto"/>
        </w:rPr>
        <w:t>CLO securities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3"/>
          <w:szCs w:val="13"/>
          <w:color w:val="auto"/>
        </w:rPr>
        <w:t>Whole loan collateralized mortgage obligation ("CMO")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-90805</wp:posOffset>
            </wp:positionV>
            <wp:extent cx="7135495" cy="1168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5495" cy="116840"/>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Banking</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4"/>
          <w:szCs w:val="14"/>
          <w:color w:val="auto"/>
        </w:rPr>
        <w:t>Life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135495" cy="1168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5495" cy="11684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4"/>
          <w:szCs w:val="14"/>
          <w:color w:val="auto"/>
        </w:rPr>
        <w:t>Electric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4"/>
          <w:szCs w:val="14"/>
          <w:color w:val="auto"/>
        </w:rPr>
        <w:t>Municipal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135495" cy="1168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5495" cy="11684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4"/>
          <w:szCs w:val="14"/>
          <w:color w:val="auto"/>
        </w:rPr>
        <w:t>Healthcare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4"/>
          <w:szCs w:val="14"/>
          <w:color w:val="auto"/>
        </w:rPr>
        <w:t>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135495" cy="1168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5495" cy="11684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Financial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7135495" cy="1422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5495" cy="142240"/>
                    </a:xfrm>
                    <a:prstGeom prst="rect">
                      <a:avLst/>
                    </a:prstGeom>
                    <a:noFill/>
                  </pic:spPr>
                </pic:pic>
              </a:graphicData>
            </a:graphic>
          </wp:anchor>
        </w:drawing>
      </w:r>
    </w:p>
    <w:p>
      <w:pPr>
        <w:spacing w:after="0" w:line="39"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50552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055235"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Top 10 Industry Concentration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7135495" cy="1250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5495" cy="12509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color w:val="auto"/>
        </w:rPr>
        <w:t>ABS Other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4"/>
          <w:szCs w:val="14"/>
          <w:color w:val="auto"/>
        </w:rPr>
        <w:t>CLO securities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135495" cy="1168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5495" cy="11684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3"/>
          <w:szCs w:val="13"/>
          <w:color w:val="auto"/>
        </w:rPr>
        <w:t>Whole loan collateralized mortgage obligation ("CMO")</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Life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135495" cy="1168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5495" cy="11684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4"/>
          <w:szCs w:val="14"/>
          <w:color w:val="auto"/>
        </w:rPr>
        <w:t>Electric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4"/>
          <w:szCs w:val="14"/>
          <w:color w:val="auto"/>
        </w:rPr>
        <w:t>Municipal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135495" cy="1168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5495" cy="11684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4"/>
          <w:szCs w:val="14"/>
          <w:color w:val="auto"/>
        </w:rPr>
        <w:t>Healthcare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4"/>
          <w:szCs w:val="14"/>
          <w:color w:val="auto"/>
        </w:rPr>
        <w:t>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135495" cy="1168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5495" cy="11684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Financial Institutions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7135495" cy="1422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5495" cy="142240"/>
                    </a:xfrm>
                    <a:prstGeom prst="rect">
                      <a:avLst/>
                    </a:prstGeom>
                    <a:noFill/>
                  </pic:spPr>
                </pic:pic>
              </a:graphicData>
            </a:graphic>
          </wp:anchor>
        </w:drawing>
      </w:r>
    </w:p>
    <w:p>
      <w:pPr>
        <w:spacing w:after="0" w:line="39"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Total</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ind w:left="1180"/>
        <w:spacing w:after="0"/>
        <w:rPr>
          <w:sz w:val="20"/>
          <w:szCs w:val="20"/>
          <w:color w:val="auto"/>
        </w:rPr>
      </w:pPr>
      <w:r>
        <w:rPr>
          <w:rFonts w:ascii="Arial" w:cs="Arial" w:eastAsia="Arial" w:hAnsi="Arial"/>
          <w:sz w:val="14"/>
          <w:szCs w:val="14"/>
          <w:b w:val="1"/>
          <w:bCs w:val="1"/>
          <w:color w:val="auto"/>
        </w:rPr>
        <w:t>June 30, 2022</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6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vMerge w:val="restart"/>
          </w:tcPr>
          <w:p>
            <w:pPr>
              <w:ind w:left="160"/>
              <w:spacing w:after="0"/>
              <w:rPr>
                <w:sz w:val="20"/>
                <w:szCs w:val="20"/>
                <w:color w:val="auto"/>
              </w:rPr>
            </w:pPr>
            <w:r>
              <w:rPr>
                <w:rFonts w:ascii="Arial" w:cs="Arial" w:eastAsia="Arial" w:hAnsi="Arial"/>
                <w:sz w:val="14"/>
                <w:szCs w:val="14"/>
                <w:b w:val="1"/>
                <w:bCs w:val="1"/>
                <w:color w:val="auto"/>
              </w:rPr>
              <w:t>Fair Value</w:t>
            </w:r>
          </w:p>
        </w:tc>
        <w:tc>
          <w:tcPr>
            <w:tcW w:w="1600" w:type="dxa"/>
            <w:vAlign w:val="bottom"/>
            <w:tcBorders>
              <w:top w:val="single" w:sz="8" w:color="auto"/>
            </w:tcBorders>
          </w:tcPr>
          <w:p>
            <w:pPr>
              <w:jc w:val="right"/>
              <w:ind w:right="110"/>
              <w:spacing w:after="0" w:line="135" w:lineRule="exact"/>
              <w:rPr>
                <w:sz w:val="20"/>
                <w:szCs w:val="20"/>
                <w:color w:val="auto"/>
              </w:rPr>
            </w:pPr>
            <w:r>
              <w:rPr>
                <w:rFonts w:ascii="Arial" w:cs="Arial" w:eastAsia="Arial" w:hAnsi="Arial"/>
                <w:sz w:val="14"/>
                <w:szCs w:val="14"/>
                <w:b w:val="1"/>
                <w:bCs w:val="1"/>
                <w:color w:val="auto"/>
              </w:rPr>
              <w:t>Percent of Total Fair</w:t>
            </w:r>
          </w:p>
        </w:tc>
        <w:tc>
          <w:tcPr>
            <w:tcW w:w="0" w:type="dxa"/>
            <w:vAlign w:val="bottom"/>
          </w:tcPr>
          <w:p>
            <w:pPr>
              <w:spacing w:after="0"/>
              <w:rPr>
                <w:sz w:val="1"/>
                <w:szCs w:val="1"/>
                <w:color w:val="auto"/>
              </w:rPr>
            </w:pPr>
          </w:p>
        </w:tc>
      </w:tr>
      <w:tr>
        <w:trPr>
          <w:trHeight w:val="184"/>
        </w:trPr>
        <w:tc>
          <w:tcPr>
            <w:tcW w:w="26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600" w:type="dxa"/>
            <w:vAlign w:val="bottom"/>
          </w:tcPr>
          <w:p>
            <w:pPr>
              <w:jc w:val="right"/>
              <w:ind w:right="57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73"/>
        </w:trPr>
        <w:tc>
          <w:tcPr>
            <w:tcW w:w="260" w:type="dxa"/>
            <w:vAlign w:val="bottom"/>
            <w:tcBorders>
              <w:top w:val="single" w:sz="8" w:color="auto"/>
            </w:tcBorders>
          </w:tcPr>
          <w:p>
            <w:pPr>
              <w:jc w:val="right"/>
              <w:ind w:right="110"/>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5,319</w:t>
            </w:r>
          </w:p>
        </w:tc>
        <w:tc>
          <w:tcPr>
            <w:tcW w:w="100" w:type="dxa"/>
            <w:vAlign w:val="bottom"/>
          </w:tcPr>
          <w:p>
            <w:pPr>
              <w:spacing w:after="0"/>
              <w:rPr>
                <w:sz w:val="15"/>
                <w:szCs w:val="15"/>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18 %</w:t>
            </w:r>
          </w:p>
        </w:tc>
        <w:tc>
          <w:tcPr>
            <w:tcW w:w="0" w:type="dxa"/>
            <w:vAlign w:val="bottom"/>
          </w:tcPr>
          <w:p>
            <w:pPr>
              <w:spacing w:after="0"/>
              <w:rPr>
                <w:sz w:val="1"/>
                <w:szCs w:val="1"/>
                <w:color w:val="auto"/>
              </w:rPr>
            </w:pPr>
          </w:p>
        </w:tc>
      </w:tr>
      <w:tr>
        <w:trPr>
          <w:trHeight w:val="179"/>
        </w:trPr>
        <w:tc>
          <w:tcPr>
            <w:tcW w:w="2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4,132</w:t>
            </w:r>
          </w:p>
        </w:tc>
        <w:tc>
          <w:tcPr>
            <w:tcW w:w="10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14 %</w:t>
            </w:r>
          </w:p>
        </w:tc>
        <w:tc>
          <w:tcPr>
            <w:tcW w:w="0" w:type="dxa"/>
            <w:vAlign w:val="bottom"/>
          </w:tcPr>
          <w:p>
            <w:pPr>
              <w:spacing w:after="0"/>
              <w:rPr>
                <w:sz w:val="1"/>
                <w:szCs w:val="1"/>
                <w:color w:val="auto"/>
              </w:rPr>
            </w:pPr>
          </w:p>
        </w:tc>
      </w:tr>
      <w:tr>
        <w:trPr>
          <w:trHeight w:val="184"/>
        </w:trPr>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2,991</w:t>
            </w:r>
          </w:p>
        </w:tc>
        <w:tc>
          <w:tcPr>
            <w:tcW w:w="1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10 %</w:t>
            </w:r>
          </w:p>
        </w:tc>
        <w:tc>
          <w:tcPr>
            <w:tcW w:w="0" w:type="dxa"/>
            <w:vAlign w:val="bottom"/>
          </w:tcPr>
          <w:p>
            <w:pPr>
              <w:spacing w:after="0"/>
              <w:rPr>
                <w:sz w:val="1"/>
                <w:szCs w:val="1"/>
                <w:color w:val="auto"/>
              </w:rPr>
            </w:pPr>
          </w:p>
        </w:tc>
      </w:tr>
      <w:tr>
        <w:trPr>
          <w:trHeight w:val="184"/>
        </w:trPr>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2,674</w:t>
            </w:r>
          </w:p>
        </w:tc>
        <w:tc>
          <w:tcPr>
            <w:tcW w:w="1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9 %</w:t>
            </w:r>
          </w:p>
        </w:tc>
        <w:tc>
          <w:tcPr>
            <w:tcW w:w="0" w:type="dxa"/>
            <w:vAlign w:val="bottom"/>
          </w:tcPr>
          <w:p>
            <w:pPr>
              <w:spacing w:after="0"/>
              <w:rPr>
                <w:sz w:val="1"/>
                <w:szCs w:val="1"/>
                <w:color w:val="auto"/>
              </w:rPr>
            </w:pPr>
          </w:p>
        </w:tc>
      </w:tr>
      <w:tr>
        <w:trPr>
          <w:trHeight w:val="184"/>
        </w:trPr>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1,485</w:t>
            </w:r>
          </w:p>
        </w:tc>
        <w:tc>
          <w:tcPr>
            <w:tcW w:w="1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5 %</w:t>
            </w:r>
          </w:p>
        </w:tc>
        <w:tc>
          <w:tcPr>
            <w:tcW w:w="0" w:type="dxa"/>
            <w:vAlign w:val="bottom"/>
          </w:tcPr>
          <w:p>
            <w:pPr>
              <w:spacing w:after="0"/>
              <w:rPr>
                <w:sz w:val="1"/>
                <w:szCs w:val="1"/>
                <w:color w:val="auto"/>
              </w:rPr>
            </w:pPr>
          </w:p>
        </w:tc>
      </w:tr>
      <w:tr>
        <w:trPr>
          <w:trHeight w:val="184"/>
        </w:trPr>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1,431</w:t>
            </w:r>
          </w:p>
        </w:tc>
        <w:tc>
          <w:tcPr>
            <w:tcW w:w="1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5 %</w:t>
            </w:r>
          </w:p>
        </w:tc>
        <w:tc>
          <w:tcPr>
            <w:tcW w:w="0" w:type="dxa"/>
            <w:vAlign w:val="bottom"/>
          </w:tcPr>
          <w:p>
            <w:pPr>
              <w:spacing w:after="0"/>
              <w:rPr>
                <w:sz w:val="1"/>
                <w:szCs w:val="1"/>
                <w:color w:val="auto"/>
              </w:rPr>
            </w:pPr>
          </w:p>
        </w:tc>
      </w:tr>
      <w:tr>
        <w:trPr>
          <w:trHeight w:val="184"/>
        </w:trPr>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1,253</w:t>
            </w:r>
          </w:p>
        </w:tc>
        <w:tc>
          <w:tcPr>
            <w:tcW w:w="1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4 %</w:t>
            </w:r>
          </w:p>
        </w:tc>
        <w:tc>
          <w:tcPr>
            <w:tcW w:w="0" w:type="dxa"/>
            <w:vAlign w:val="bottom"/>
          </w:tcPr>
          <w:p>
            <w:pPr>
              <w:spacing w:after="0"/>
              <w:rPr>
                <w:sz w:val="1"/>
                <w:szCs w:val="1"/>
                <w:color w:val="auto"/>
              </w:rPr>
            </w:pPr>
          </w:p>
        </w:tc>
      </w:tr>
      <w:tr>
        <w:trPr>
          <w:trHeight w:val="184"/>
        </w:trPr>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765</w:t>
            </w:r>
          </w:p>
        </w:tc>
        <w:tc>
          <w:tcPr>
            <w:tcW w:w="1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3 %</w:t>
            </w:r>
          </w:p>
        </w:tc>
        <w:tc>
          <w:tcPr>
            <w:tcW w:w="0" w:type="dxa"/>
            <w:vAlign w:val="bottom"/>
          </w:tcPr>
          <w:p>
            <w:pPr>
              <w:spacing w:after="0"/>
              <w:rPr>
                <w:sz w:val="1"/>
                <w:szCs w:val="1"/>
                <w:color w:val="auto"/>
              </w:rPr>
            </w:pPr>
          </w:p>
        </w:tc>
      </w:tr>
      <w:tr>
        <w:trPr>
          <w:trHeight w:val="184"/>
        </w:trPr>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764</w:t>
            </w:r>
          </w:p>
        </w:tc>
        <w:tc>
          <w:tcPr>
            <w:tcW w:w="1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3 %</w:t>
            </w:r>
          </w:p>
        </w:tc>
        <w:tc>
          <w:tcPr>
            <w:tcW w:w="0" w:type="dxa"/>
            <w:vAlign w:val="bottom"/>
          </w:tcPr>
          <w:p>
            <w:pPr>
              <w:spacing w:after="0"/>
              <w:rPr>
                <w:sz w:val="1"/>
                <w:szCs w:val="1"/>
                <w:color w:val="auto"/>
              </w:rPr>
            </w:pPr>
          </w:p>
        </w:tc>
      </w:tr>
      <w:tr>
        <w:trPr>
          <w:trHeight w:val="190"/>
        </w:trPr>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614</w:t>
            </w:r>
          </w:p>
        </w:tc>
        <w:tc>
          <w:tcPr>
            <w:tcW w:w="100" w:type="dxa"/>
            <w:vAlign w:val="bottom"/>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180"/>
        </w:trPr>
        <w:tc>
          <w:tcPr>
            <w:tcW w:w="26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21,428</w:t>
            </w:r>
          </w:p>
        </w:tc>
        <w:tc>
          <w:tcPr>
            <w:tcW w:w="100" w:type="dxa"/>
            <w:vAlign w:val="bottom"/>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73 %</w:t>
            </w:r>
          </w:p>
        </w:tc>
        <w:tc>
          <w:tcPr>
            <w:tcW w:w="0" w:type="dxa"/>
            <w:vAlign w:val="bottom"/>
          </w:tcPr>
          <w:p>
            <w:pPr>
              <w:spacing w:after="0"/>
              <w:rPr>
                <w:sz w:val="1"/>
                <w:szCs w:val="1"/>
                <w:color w:val="auto"/>
              </w:rPr>
            </w:pPr>
          </w:p>
        </w:tc>
      </w:tr>
      <w:tr>
        <w:trPr>
          <w:trHeight w:val="22"/>
        </w:trPr>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1020"/>
        <w:spacing w:after="0"/>
        <w:rPr>
          <w:sz w:val="20"/>
          <w:szCs w:val="20"/>
          <w:color w:val="auto"/>
        </w:rPr>
      </w:pPr>
      <w:r>
        <w:rPr>
          <w:rFonts w:ascii="Arial" w:cs="Arial" w:eastAsia="Arial" w:hAnsi="Arial"/>
          <w:sz w:val="14"/>
          <w:szCs w:val="14"/>
          <w:b w:val="1"/>
          <w:bCs w:val="1"/>
          <w:color w:val="auto"/>
        </w:rPr>
        <w:t>December 31, 2021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6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vMerge w:val="restart"/>
          </w:tcPr>
          <w:p>
            <w:pPr>
              <w:ind w:left="160"/>
              <w:spacing w:after="0"/>
              <w:rPr>
                <w:sz w:val="20"/>
                <w:szCs w:val="20"/>
                <w:color w:val="auto"/>
              </w:rPr>
            </w:pPr>
            <w:r>
              <w:rPr>
                <w:rFonts w:ascii="Arial" w:cs="Arial" w:eastAsia="Arial" w:hAnsi="Arial"/>
                <w:sz w:val="14"/>
                <w:szCs w:val="14"/>
                <w:b w:val="1"/>
                <w:bCs w:val="1"/>
                <w:color w:val="auto"/>
              </w:rPr>
              <w:t>Fair Value</w:t>
            </w:r>
          </w:p>
        </w:tc>
        <w:tc>
          <w:tcPr>
            <w:tcW w:w="1600" w:type="dxa"/>
            <w:vAlign w:val="bottom"/>
            <w:tcBorders>
              <w:top w:val="single" w:sz="8" w:color="auto"/>
            </w:tcBorders>
          </w:tcPr>
          <w:p>
            <w:pPr>
              <w:jc w:val="right"/>
              <w:ind w:right="110"/>
              <w:spacing w:after="0" w:line="135" w:lineRule="exact"/>
              <w:rPr>
                <w:sz w:val="20"/>
                <w:szCs w:val="20"/>
                <w:color w:val="auto"/>
              </w:rPr>
            </w:pPr>
            <w:r>
              <w:rPr>
                <w:rFonts w:ascii="Arial" w:cs="Arial" w:eastAsia="Arial" w:hAnsi="Arial"/>
                <w:sz w:val="14"/>
                <w:szCs w:val="14"/>
                <w:b w:val="1"/>
                <w:bCs w:val="1"/>
                <w:color w:val="auto"/>
              </w:rPr>
              <w:t>Percent of Total Fair</w:t>
            </w:r>
          </w:p>
        </w:tc>
        <w:tc>
          <w:tcPr>
            <w:tcW w:w="0" w:type="dxa"/>
            <w:vAlign w:val="bottom"/>
          </w:tcPr>
          <w:p>
            <w:pPr>
              <w:spacing w:after="0"/>
              <w:rPr>
                <w:sz w:val="1"/>
                <w:szCs w:val="1"/>
                <w:color w:val="auto"/>
              </w:rPr>
            </w:pPr>
          </w:p>
        </w:tc>
      </w:tr>
      <w:tr>
        <w:trPr>
          <w:trHeight w:val="184"/>
        </w:trPr>
        <w:tc>
          <w:tcPr>
            <w:tcW w:w="26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600" w:type="dxa"/>
            <w:vAlign w:val="bottom"/>
          </w:tcPr>
          <w:p>
            <w:pPr>
              <w:jc w:val="right"/>
              <w:ind w:right="57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73"/>
        </w:trPr>
        <w:tc>
          <w:tcPr>
            <w:tcW w:w="260" w:type="dxa"/>
            <w:vAlign w:val="bottom"/>
            <w:tcBorders>
              <w:top w:val="single" w:sz="8" w:color="auto"/>
            </w:tcBorders>
          </w:tcPr>
          <w:p>
            <w:pPr>
              <w:jc w:val="right"/>
              <w:ind w:right="110"/>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4,550</w:t>
            </w:r>
          </w:p>
        </w:tc>
        <w:tc>
          <w:tcPr>
            <w:tcW w:w="100" w:type="dxa"/>
            <w:vAlign w:val="bottom"/>
          </w:tcPr>
          <w:p>
            <w:pPr>
              <w:spacing w:after="0"/>
              <w:rPr>
                <w:sz w:val="15"/>
                <w:szCs w:val="15"/>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15 %</w:t>
            </w:r>
          </w:p>
        </w:tc>
        <w:tc>
          <w:tcPr>
            <w:tcW w:w="0" w:type="dxa"/>
            <w:vAlign w:val="bottom"/>
          </w:tcPr>
          <w:p>
            <w:pPr>
              <w:spacing w:after="0"/>
              <w:rPr>
                <w:sz w:val="1"/>
                <w:szCs w:val="1"/>
                <w:color w:val="auto"/>
              </w:rPr>
            </w:pPr>
          </w:p>
        </w:tc>
      </w:tr>
      <w:tr>
        <w:trPr>
          <w:trHeight w:val="179"/>
        </w:trPr>
        <w:tc>
          <w:tcPr>
            <w:tcW w:w="2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4,145</w:t>
            </w:r>
          </w:p>
        </w:tc>
        <w:tc>
          <w:tcPr>
            <w:tcW w:w="10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13 %</w:t>
            </w:r>
          </w:p>
        </w:tc>
        <w:tc>
          <w:tcPr>
            <w:tcW w:w="0" w:type="dxa"/>
            <w:vAlign w:val="bottom"/>
          </w:tcPr>
          <w:p>
            <w:pPr>
              <w:spacing w:after="0"/>
              <w:rPr>
                <w:sz w:val="1"/>
                <w:szCs w:val="1"/>
                <w:color w:val="auto"/>
              </w:rPr>
            </w:pPr>
          </w:p>
        </w:tc>
      </w:tr>
      <w:tr>
        <w:trPr>
          <w:trHeight w:val="184"/>
        </w:trPr>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2,919</w:t>
            </w:r>
          </w:p>
        </w:tc>
        <w:tc>
          <w:tcPr>
            <w:tcW w:w="1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9 %</w:t>
            </w:r>
          </w:p>
        </w:tc>
        <w:tc>
          <w:tcPr>
            <w:tcW w:w="0" w:type="dxa"/>
            <w:vAlign w:val="bottom"/>
          </w:tcPr>
          <w:p>
            <w:pPr>
              <w:spacing w:after="0"/>
              <w:rPr>
                <w:sz w:val="1"/>
                <w:szCs w:val="1"/>
                <w:color w:val="auto"/>
              </w:rPr>
            </w:pPr>
          </w:p>
        </w:tc>
      </w:tr>
      <w:tr>
        <w:trPr>
          <w:trHeight w:val="184"/>
        </w:trPr>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2,622</w:t>
            </w:r>
          </w:p>
        </w:tc>
        <w:tc>
          <w:tcPr>
            <w:tcW w:w="1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8 %</w:t>
            </w:r>
          </w:p>
        </w:tc>
        <w:tc>
          <w:tcPr>
            <w:tcW w:w="0" w:type="dxa"/>
            <w:vAlign w:val="bottom"/>
          </w:tcPr>
          <w:p>
            <w:pPr>
              <w:spacing w:after="0"/>
              <w:rPr>
                <w:sz w:val="1"/>
                <w:szCs w:val="1"/>
                <w:color w:val="auto"/>
              </w:rPr>
            </w:pPr>
          </w:p>
        </w:tc>
      </w:tr>
      <w:tr>
        <w:trPr>
          <w:trHeight w:val="184"/>
        </w:trPr>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1,795</w:t>
            </w:r>
          </w:p>
        </w:tc>
        <w:tc>
          <w:tcPr>
            <w:tcW w:w="1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6 %</w:t>
            </w:r>
          </w:p>
        </w:tc>
        <w:tc>
          <w:tcPr>
            <w:tcW w:w="0" w:type="dxa"/>
            <w:vAlign w:val="bottom"/>
          </w:tcPr>
          <w:p>
            <w:pPr>
              <w:spacing w:after="0"/>
              <w:rPr>
                <w:sz w:val="1"/>
                <w:szCs w:val="1"/>
                <w:color w:val="auto"/>
              </w:rPr>
            </w:pPr>
          </w:p>
        </w:tc>
      </w:tr>
      <w:tr>
        <w:trPr>
          <w:trHeight w:val="184"/>
        </w:trPr>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1,701</w:t>
            </w:r>
          </w:p>
        </w:tc>
        <w:tc>
          <w:tcPr>
            <w:tcW w:w="1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6 %</w:t>
            </w:r>
          </w:p>
        </w:tc>
        <w:tc>
          <w:tcPr>
            <w:tcW w:w="0" w:type="dxa"/>
            <w:vAlign w:val="bottom"/>
          </w:tcPr>
          <w:p>
            <w:pPr>
              <w:spacing w:after="0"/>
              <w:rPr>
                <w:sz w:val="1"/>
                <w:szCs w:val="1"/>
                <w:color w:val="auto"/>
              </w:rPr>
            </w:pPr>
          </w:p>
        </w:tc>
      </w:tr>
      <w:tr>
        <w:trPr>
          <w:trHeight w:val="184"/>
        </w:trPr>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1,441</w:t>
            </w:r>
          </w:p>
        </w:tc>
        <w:tc>
          <w:tcPr>
            <w:tcW w:w="1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5 %</w:t>
            </w:r>
          </w:p>
        </w:tc>
        <w:tc>
          <w:tcPr>
            <w:tcW w:w="0" w:type="dxa"/>
            <w:vAlign w:val="bottom"/>
          </w:tcPr>
          <w:p>
            <w:pPr>
              <w:spacing w:after="0"/>
              <w:rPr>
                <w:sz w:val="1"/>
                <w:szCs w:val="1"/>
                <w:color w:val="auto"/>
              </w:rPr>
            </w:pPr>
          </w:p>
        </w:tc>
      </w:tr>
      <w:tr>
        <w:trPr>
          <w:trHeight w:val="184"/>
        </w:trPr>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947</w:t>
            </w:r>
          </w:p>
        </w:tc>
        <w:tc>
          <w:tcPr>
            <w:tcW w:w="1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3 %</w:t>
            </w:r>
          </w:p>
        </w:tc>
        <w:tc>
          <w:tcPr>
            <w:tcW w:w="0" w:type="dxa"/>
            <w:vAlign w:val="bottom"/>
          </w:tcPr>
          <w:p>
            <w:pPr>
              <w:spacing w:after="0"/>
              <w:rPr>
                <w:sz w:val="1"/>
                <w:szCs w:val="1"/>
                <w:color w:val="auto"/>
              </w:rPr>
            </w:pPr>
          </w:p>
        </w:tc>
      </w:tr>
      <w:tr>
        <w:trPr>
          <w:trHeight w:val="184"/>
        </w:trPr>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932</w:t>
            </w:r>
          </w:p>
        </w:tc>
        <w:tc>
          <w:tcPr>
            <w:tcW w:w="1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3 %</w:t>
            </w:r>
          </w:p>
        </w:tc>
        <w:tc>
          <w:tcPr>
            <w:tcW w:w="0" w:type="dxa"/>
            <w:vAlign w:val="bottom"/>
          </w:tcPr>
          <w:p>
            <w:pPr>
              <w:spacing w:after="0"/>
              <w:rPr>
                <w:sz w:val="1"/>
                <w:szCs w:val="1"/>
                <w:color w:val="auto"/>
              </w:rPr>
            </w:pPr>
          </w:p>
        </w:tc>
      </w:tr>
      <w:tr>
        <w:trPr>
          <w:trHeight w:val="190"/>
        </w:trPr>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760</w:t>
            </w:r>
          </w:p>
        </w:tc>
        <w:tc>
          <w:tcPr>
            <w:tcW w:w="100" w:type="dxa"/>
            <w:vAlign w:val="bottom"/>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180"/>
        </w:trPr>
        <w:tc>
          <w:tcPr>
            <w:tcW w:w="26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21,812</w:t>
            </w:r>
          </w:p>
        </w:tc>
        <w:tc>
          <w:tcPr>
            <w:tcW w:w="100" w:type="dxa"/>
            <w:vAlign w:val="bottom"/>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70 %</w:t>
            </w:r>
          </w:p>
        </w:tc>
        <w:tc>
          <w:tcPr>
            <w:tcW w:w="0" w:type="dxa"/>
            <w:vAlign w:val="bottom"/>
          </w:tcPr>
          <w:p>
            <w:pPr>
              <w:spacing w:after="0"/>
              <w:rPr>
                <w:sz w:val="1"/>
                <w:szCs w:val="1"/>
                <w:color w:val="auto"/>
              </w:rPr>
            </w:pPr>
          </w:p>
        </w:tc>
      </w:tr>
      <w:tr>
        <w:trPr>
          <w:trHeight w:val="22"/>
        </w:trPr>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7340" w:space="720"/>
            <w:col w:w="3180"/>
          </w:cols>
          <w:pgMar w:left="320" w:top="12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78740</wp:posOffset>
            </wp:positionV>
            <wp:extent cx="7160895"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75" w:name="page76"/>
    <w:bookmarkEnd w:id="7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The amortized cost and fair value of fixed maturity AFS securities by contractual maturities as of June 30, 2022 and December 31, 2021 (dollars in millions), are shown below. Actual maturities may differ from contractual maturities because issuers may have the right to call or prepay obligations.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7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2022</w:t>
            </w:r>
          </w:p>
        </w:tc>
        <w:tc>
          <w:tcPr>
            <w:tcW w:w="11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1010"/>
              <w:spacing w:after="0"/>
              <w:rPr>
                <w:sz w:val="20"/>
                <w:szCs w:val="20"/>
                <w:color w:val="auto"/>
              </w:rPr>
            </w:pPr>
            <w:r>
              <w:rPr>
                <w:rFonts w:ascii="Arial" w:cs="Arial" w:eastAsia="Arial" w:hAnsi="Arial"/>
                <w:sz w:val="14"/>
                <w:szCs w:val="14"/>
                <w:b w:val="1"/>
                <w:bCs w:val="1"/>
                <w:color w:val="auto"/>
              </w:rPr>
              <w:t>December 31, 2021</w:t>
            </w:r>
          </w:p>
        </w:tc>
      </w:tr>
      <w:tr>
        <w:trPr>
          <w:trHeight w:val="182"/>
        </w:trPr>
        <w:tc>
          <w:tcPr>
            <w:tcW w:w="4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Amortized Cost</w:t>
            </w:r>
          </w:p>
        </w:tc>
        <w:tc>
          <w:tcPr>
            <w:tcW w:w="360" w:type="dxa"/>
            <w:vAlign w:val="bottom"/>
          </w:tcPr>
          <w:p>
            <w:pPr>
              <w:spacing w:after="0"/>
              <w:rPr>
                <w:sz w:val="15"/>
                <w:szCs w:val="15"/>
                <w:color w:val="auto"/>
              </w:rPr>
            </w:pPr>
          </w:p>
        </w:tc>
        <w:tc>
          <w:tcPr>
            <w:tcW w:w="1100" w:type="dxa"/>
            <w:vAlign w:val="bottom"/>
          </w:tcPr>
          <w:p>
            <w:pPr>
              <w:jc w:val="right"/>
              <w:ind w:right="350"/>
              <w:spacing w:after="0"/>
              <w:rPr>
                <w:sz w:val="20"/>
                <w:szCs w:val="20"/>
                <w:color w:val="auto"/>
              </w:rPr>
            </w:pPr>
            <w:r>
              <w:rPr>
                <w:rFonts w:ascii="Arial" w:cs="Arial" w:eastAsia="Arial" w:hAnsi="Arial"/>
                <w:sz w:val="14"/>
                <w:szCs w:val="14"/>
                <w:b w:val="1"/>
                <w:bCs w:val="1"/>
                <w:color w:val="auto"/>
                <w:w w:val="98"/>
              </w:rPr>
              <w:t>Fair Value</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Amortized Cost</w:t>
            </w:r>
          </w:p>
        </w:tc>
        <w:tc>
          <w:tcPr>
            <w:tcW w:w="280" w:type="dxa"/>
            <w:vAlign w:val="bottom"/>
          </w:tcPr>
          <w:p>
            <w:pPr>
              <w:spacing w:after="0"/>
              <w:rPr>
                <w:sz w:val="15"/>
                <w:szCs w:val="15"/>
                <w:color w:val="auto"/>
              </w:rPr>
            </w:pPr>
          </w:p>
        </w:tc>
        <w:tc>
          <w:tcPr>
            <w:tcW w:w="1300" w:type="dxa"/>
            <w:vAlign w:val="bottom"/>
          </w:tcPr>
          <w:p>
            <w:pPr>
              <w:jc w:val="right"/>
              <w:ind w:right="410"/>
              <w:spacing w:after="0"/>
              <w:rPr>
                <w:sz w:val="20"/>
                <w:szCs w:val="20"/>
                <w:color w:val="auto"/>
              </w:rPr>
            </w:pPr>
            <w:r>
              <w:rPr>
                <w:rFonts w:ascii="Arial" w:cs="Arial" w:eastAsia="Arial" w:hAnsi="Arial"/>
                <w:sz w:val="14"/>
                <w:szCs w:val="14"/>
                <w:b w:val="1"/>
                <w:bCs w:val="1"/>
                <w:color w:val="auto"/>
              </w:rPr>
              <w:t>Fair Value</w:t>
            </w:r>
          </w:p>
        </w:tc>
      </w:tr>
      <w:tr>
        <w:trPr>
          <w:trHeight w:val="165"/>
        </w:trPr>
        <w:tc>
          <w:tcPr>
            <w:tcW w:w="4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94"/>
              </w:rPr>
              <w:t>Corporate, Non-structured Hybrids, Municipal and Government securities:</w:t>
            </w:r>
          </w:p>
        </w:tc>
        <w:tc>
          <w:tcPr>
            <w:tcW w:w="200" w:type="dxa"/>
            <w:vAlign w:val="bottom"/>
            <w:tcBorders>
              <w:top w:val="single" w:sz="8" w:color="auto"/>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r>
      <w:tr>
        <w:trPr>
          <w:trHeight w:val="182"/>
        </w:trPr>
        <w:tc>
          <w:tcPr>
            <w:tcW w:w="4720" w:type="dxa"/>
            <w:vAlign w:val="bottom"/>
          </w:tcPr>
          <w:p>
            <w:pPr>
              <w:ind w:left="20"/>
              <w:spacing w:after="0"/>
              <w:rPr>
                <w:sz w:val="20"/>
                <w:szCs w:val="20"/>
                <w:color w:val="auto"/>
              </w:rPr>
            </w:pPr>
            <w:r>
              <w:rPr>
                <w:rFonts w:ascii="Arial" w:cs="Arial" w:eastAsia="Arial" w:hAnsi="Arial"/>
                <w:sz w:val="14"/>
                <w:szCs w:val="14"/>
                <w:color w:val="auto"/>
              </w:rPr>
              <w:t>Due in one year or less</w:t>
            </w: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131</w:t>
            </w:r>
          </w:p>
        </w:tc>
        <w:tc>
          <w:tcPr>
            <w:tcW w:w="100" w:type="dxa"/>
            <w:vAlign w:val="bottom"/>
          </w:tcPr>
          <w:p>
            <w:pPr>
              <w:spacing w:after="0"/>
              <w:rPr>
                <w:sz w:val="15"/>
                <w:szCs w:val="15"/>
                <w:color w:val="auto"/>
              </w:rPr>
            </w:pPr>
          </w:p>
        </w:tc>
        <w:tc>
          <w:tcPr>
            <w:tcW w:w="360" w:type="dxa"/>
            <w:vAlign w:val="bottom"/>
          </w:tcPr>
          <w:p>
            <w:pPr>
              <w:jc w:val="right"/>
              <w:ind w:right="210"/>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131</w:t>
            </w:r>
          </w:p>
        </w:tc>
        <w:tc>
          <w:tcPr>
            <w:tcW w:w="80" w:type="dxa"/>
            <w:vAlign w:val="bottom"/>
          </w:tcPr>
          <w:p>
            <w:pPr>
              <w:spacing w:after="0"/>
              <w:rPr>
                <w:sz w:val="15"/>
                <w:szCs w:val="15"/>
                <w:color w:val="auto"/>
              </w:rPr>
            </w:pPr>
          </w:p>
        </w:tc>
        <w:tc>
          <w:tcPr>
            <w:tcW w:w="2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15"/>
                <w:szCs w:val="15"/>
                <w:color w:val="auto"/>
              </w:rPr>
            </w:pPr>
          </w:p>
        </w:tc>
        <w:tc>
          <w:tcPr>
            <w:tcW w:w="280" w:type="dxa"/>
            <w:vAlign w:val="bottom"/>
          </w:tcPr>
          <w:p>
            <w:pPr>
              <w:jc w:val="right"/>
              <w:ind w:right="130"/>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106</w:t>
            </w:r>
          </w:p>
        </w:tc>
      </w:tr>
      <w:tr>
        <w:trPr>
          <w:trHeight w:val="187"/>
        </w:trPr>
        <w:tc>
          <w:tcPr>
            <w:tcW w:w="4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Due after one year through five years</w:t>
            </w: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2,021</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1,754</w:t>
            </w:r>
          </w:p>
        </w:tc>
      </w:tr>
      <w:tr>
        <w:trPr>
          <w:trHeight w:val="182"/>
        </w:trPr>
        <w:tc>
          <w:tcPr>
            <w:tcW w:w="4720" w:type="dxa"/>
            <w:vAlign w:val="bottom"/>
          </w:tcPr>
          <w:p>
            <w:pPr>
              <w:ind w:left="20"/>
              <w:spacing w:after="0"/>
              <w:rPr>
                <w:sz w:val="20"/>
                <w:szCs w:val="20"/>
                <w:color w:val="auto"/>
              </w:rPr>
            </w:pPr>
            <w:r>
              <w:rPr>
                <w:rFonts w:ascii="Arial" w:cs="Arial" w:eastAsia="Arial" w:hAnsi="Arial"/>
                <w:sz w:val="14"/>
                <w:szCs w:val="14"/>
                <w:color w:val="auto"/>
              </w:rPr>
              <w:t>Due after five years through ten years</w:t>
            </w: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1,765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1,597</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2,141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2,201</w:t>
            </w:r>
          </w:p>
        </w:tc>
      </w:tr>
      <w:tr>
        <w:trPr>
          <w:trHeight w:val="187"/>
        </w:trPr>
        <w:tc>
          <w:tcPr>
            <w:tcW w:w="4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Due after ten years</w:t>
            </w:r>
          </w:p>
        </w:tc>
        <w:tc>
          <w:tcPr>
            <w:tcW w:w="20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13,642</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11,260</w:t>
            </w: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12,842</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13,515</w:t>
            </w:r>
          </w:p>
        </w:tc>
      </w:tr>
      <w:tr>
        <w:trPr>
          <w:trHeight w:val="175"/>
        </w:trPr>
        <w:tc>
          <w:tcPr>
            <w:tcW w:w="4720" w:type="dxa"/>
            <w:vAlign w:val="bottom"/>
          </w:tcPr>
          <w:p>
            <w:pPr>
              <w:ind w:left="220"/>
              <w:spacing w:after="0"/>
              <w:rPr>
                <w:sz w:val="20"/>
                <w:szCs w:val="20"/>
                <w:color w:val="auto"/>
              </w:rPr>
            </w:pPr>
            <w:r>
              <w:rPr>
                <w:rFonts w:ascii="Arial" w:cs="Arial" w:eastAsia="Arial" w:hAnsi="Arial"/>
                <w:sz w:val="14"/>
                <w:szCs w:val="14"/>
                <w:color w:val="auto"/>
              </w:rPr>
              <w:t>Subtotal</w:t>
            </w: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17,678</w:t>
            </w:r>
          </w:p>
        </w:tc>
        <w:tc>
          <w:tcPr>
            <w:tcW w:w="100" w:type="dxa"/>
            <w:vAlign w:val="bottom"/>
          </w:tcPr>
          <w:p>
            <w:pPr>
              <w:spacing w:after="0"/>
              <w:rPr>
                <w:sz w:val="15"/>
                <w:szCs w:val="15"/>
                <w:color w:val="auto"/>
              </w:rPr>
            </w:pPr>
          </w:p>
        </w:tc>
        <w:tc>
          <w:tcPr>
            <w:tcW w:w="360" w:type="dxa"/>
            <w:vAlign w:val="bottom"/>
          </w:tcPr>
          <w:p>
            <w:pPr>
              <w:jc w:val="right"/>
              <w:ind w:right="210"/>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15,009</w:t>
            </w:r>
          </w:p>
        </w:tc>
        <w:tc>
          <w:tcPr>
            <w:tcW w:w="80" w:type="dxa"/>
            <w:vAlign w:val="bottom"/>
          </w:tcPr>
          <w:p>
            <w:pPr>
              <w:spacing w:after="0"/>
              <w:rPr>
                <w:sz w:val="15"/>
                <w:szCs w:val="15"/>
                <w:color w:val="auto"/>
              </w:rPr>
            </w:pPr>
          </w:p>
        </w:tc>
        <w:tc>
          <w:tcPr>
            <w:tcW w:w="2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16,812</w:t>
            </w:r>
          </w:p>
        </w:tc>
        <w:tc>
          <w:tcPr>
            <w:tcW w:w="100" w:type="dxa"/>
            <w:vAlign w:val="bottom"/>
          </w:tcPr>
          <w:p>
            <w:pPr>
              <w:spacing w:after="0"/>
              <w:rPr>
                <w:sz w:val="15"/>
                <w:szCs w:val="15"/>
                <w:color w:val="auto"/>
              </w:rPr>
            </w:pPr>
          </w:p>
        </w:tc>
        <w:tc>
          <w:tcPr>
            <w:tcW w:w="280" w:type="dxa"/>
            <w:vAlign w:val="bottom"/>
          </w:tcPr>
          <w:p>
            <w:pPr>
              <w:jc w:val="right"/>
              <w:ind w:right="130"/>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17,576</w:t>
            </w:r>
          </w:p>
        </w:tc>
      </w:tr>
      <w:tr>
        <w:trPr>
          <w:trHeight w:val="187"/>
        </w:trPr>
        <w:tc>
          <w:tcPr>
            <w:tcW w:w="4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securities, which provide for periodic payments:</w:t>
            </w: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182"/>
        </w:trPr>
        <w:tc>
          <w:tcPr>
            <w:tcW w:w="4720" w:type="dxa"/>
            <w:vAlign w:val="bottom"/>
          </w:tcPr>
          <w:p>
            <w:pPr>
              <w:ind w:left="20"/>
              <w:spacing w:after="0"/>
              <w:rPr>
                <w:sz w:val="20"/>
                <w:szCs w:val="20"/>
                <w:color w:val="auto"/>
              </w:rPr>
            </w:pPr>
            <w:r>
              <w:rPr>
                <w:rFonts w:ascii="Arial" w:cs="Arial" w:eastAsia="Arial" w:hAnsi="Arial"/>
                <w:sz w:val="14"/>
                <w:szCs w:val="14"/>
                <w:color w:val="auto"/>
              </w:rPr>
              <w:t>Asset-backed securities</w:t>
            </w: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9,965</w:t>
            </w:r>
          </w:p>
        </w:tc>
        <w:tc>
          <w:tcPr>
            <w:tcW w:w="100" w:type="dxa"/>
            <w:vAlign w:val="bottom"/>
          </w:tcPr>
          <w:p>
            <w:pPr>
              <w:spacing w:after="0"/>
              <w:rPr>
                <w:sz w:val="15"/>
                <w:szCs w:val="15"/>
                <w:color w:val="auto"/>
              </w:rPr>
            </w:pPr>
          </w:p>
        </w:tc>
        <w:tc>
          <w:tcPr>
            <w:tcW w:w="360" w:type="dxa"/>
            <w:vAlign w:val="bottom"/>
          </w:tcPr>
          <w:p>
            <w:pPr>
              <w:jc w:val="right"/>
              <w:ind w:right="210"/>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9,448</w:t>
            </w:r>
          </w:p>
        </w:tc>
        <w:tc>
          <w:tcPr>
            <w:tcW w:w="80" w:type="dxa"/>
            <w:vAlign w:val="bottom"/>
          </w:tcPr>
          <w:p>
            <w:pPr>
              <w:spacing w:after="0"/>
              <w:rPr>
                <w:sz w:val="15"/>
                <w:szCs w:val="15"/>
                <w:color w:val="auto"/>
              </w:rPr>
            </w:pPr>
          </w:p>
        </w:tc>
        <w:tc>
          <w:tcPr>
            <w:tcW w:w="2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8,516</w:t>
            </w:r>
          </w:p>
        </w:tc>
        <w:tc>
          <w:tcPr>
            <w:tcW w:w="100" w:type="dxa"/>
            <w:vAlign w:val="bottom"/>
          </w:tcPr>
          <w:p>
            <w:pPr>
              <w:spacing w:after="0"/>
              <w:rPr>
                <w:sz w:val="15"/>
                <w:szCs w:val="15"/>
                <w:color w:val="auto"/>
              </w:rPr>
            </w:pPr>
          </w:p>
        </w:tc>
        <w:tc>
          <w:tcPr>
            <w:tcW w:w="280" w:type="dxa"/>
            <w:vAlign w:val="bottom"/>
          </w:tcPr>
          <w:p>
            <w:pPr>
              <w:jc w:val="right"/>
              <w:ind w:right="130"/>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8,695</w:t>
            </w:r>
          </w:p>
        </w:tc>
      </w:tr>
      <w:tr>
        <w:trPr>
          <w:trHeight w:val="187"/>
        </w:trPr>
        <w:tc>
          <w:tcPr>
            <w:tcW w:w="4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Commercial-mortgage-backed securities</w:t>
            </w: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3,046</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2,964</w:t>
            </w:r>
          </w:p>
        </w:tc>
      </w:tr>
      <w:tr>
        <w:trPr>
          <w:trHeight w:val="182"/>
        </w:trPr>
        <w:tc>
          <w:tcPr>
            <w:tcW w:w="4720" w:type="dxa"/>
            <w:vAlign w:val="bottom"/>
          </w:tcPr>
          <w:p>
            <w:pPr>
              <w:ind w:left="20"/>
              <w:spacing w:after="0"/>
              <w:rPr>
                <w:sz w:val="20"/>
                <w:szCs w:val="20"/>
                <w:color w:val="auto"/>
              </w:rPr>
            </w:pPr>
            <w:r>
              <w:rPr>
                <w:rFonts w:ascii="Arial" w:cs="Arial" w:eastAsia="Arial" w:hAnsi="Arial"/>
                <w:sz w:val="14"/>
                <w:szCs w:val="14"/>
                <w:color w:val="auto"/>
              </w:rPr>
              <w:t>Structured hybrids</w:t>
            </w:r>
          </w:p>
        </w:tc>
        <w:tc>
          <w:tcPr>
            <w:tcW w:w="200" w:type="dxa"/>
            <w:vAlign w:val="bottom"/>
          </w:tcPr>
          <w:p>
            <w:pPr>
              <w:spacing w:after="0"/>
              <w:rPr>
                <w:sz w:val="15"/>
                <w:szCs w:val="15"/>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187"/>
        </w:trPr>
        <w:tc>
          <w:tcPr>
            <w:tcW w:w="4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Residential mortgage-backed securities</w:t>
            </w:r>
          </w:p>
        </w:tc>
        <w:tc>
          <w:tcPr>
            <w:tcW w:w="20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969</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895</w:t>
            </w: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722</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722</w:t>
            </w:r>
          </w:p>
        </w:tc>
      </w:tr>
      <w:tr>
        <w:trPr>
          <w:trHeight w:val="175"/>
        </w:trPr>
        <w:tc>
          <w:tcPr>
            <w:tcW w:w="47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Subtotal</w:t>
            </w:r>
          </w:p>
        </w:tc>
        <w:tc>
          <w:tcPr>
            <w:tcW w:w="2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14,050</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13,389</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11,912</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12,386</w:t>
            </w:r>
          </w:p>
        </w:tc>
      </w:tr>
      <w:tr>
        <w:trPr>
          <w:trHeight w:val="205"/>
        </w:trPr>
        <w:tc>
          <w:tcPr>
            <w:tcW w:w="4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b w:val="1"/>
                <w:bCs w:val="1"/>
                <w:color w:val="auto"/>
              </w:rPr>
              <w:t>Total fixed maturity available-for-sale securities</w:t>
            </w:r>
          </w:p>
        </w:tc>
        <w:tc>
          <w:tcPr>
            <w:tcW w:w="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31,728</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28,398</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28,724</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29,962</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Non-Agency RMBS Exposure</w:t>
      </w:r>
    </w:p>
    <w:p>
      <w:pPr>
        <w:spacing w:after="0" w:line="167"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Our investment in non-agency RMBS securities is predicated on the conservative and adequate cushion between purchase price and NAIC 1 rating, general lack of sensitivity to interest rates, positive convexity to prepayment rates and correlation between the price of the securities and the unfolding recovery of the housing market.</w:t>
      </w:r>
    </w:p>
    <w:p>
      <w:pPr>
        <w:spacing w:after="0" w:line="111"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The fair value of our investments in subprime and Alt-A RMBS securities was $45 million and $62 million as of June 30, 2022, respectively, and $52 million and $75 million as of December 31, 2021, respectively.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firstLine="395"/>
        <w:spacing w:after="0" w:line="261" w:lineRule="auto"/>
        <w:rPr>
          <w:sz w:val="20"/>
          <w:szCs w:val="20"/>
          <w:color w:val="auto"/>
        </w:rPr>
      </w:pPr>
      <w:r>
        <w:rPr>
          <w:rFonts w:ascii="Arial" w:cs="Arial" w:eastAsia="Arial" w:hAnsi="Arial"/>
          <w:sz w:val="18"/>
          <w:szCs w:val="18"/>
          <w:color w:val="auto"/>
        </w:rPr>
        <w:t>The following tables summarize our exposure to subprime and Alt-A RMBS by credit quality using NAIC designations, NRSRO ratings and vintage year as of June 30, 2022 and December 31, 2021 (dollars in millions):</w:t>
      </w: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5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20" w:type="dxa"/>
            <w:vAlign w:val="bottom"/>
            <w:gridSpan w:val="4"/>
          </w:tcPr>
          <w:p>
            <w:pPr>
              <w:ind w:left="840"/>
              <w:spacing w:after="0"/>
              <w:rPr>
                <w:sz w:val="20"/>
                <w:szCs w:val="20"/>
                <w:color w:val="auto"/>
              </w:rPr>
            </w:pPr>
            <w:r>
              <w:rPr>
                <w:rFonts w:ascii="Arial" w:cs="Arial" w:eastAsia="Arial" w:hAnsi="Arial"/>
                <w:sz w:val="14"/>
                <w:szCs w:val="14"/>
                <w:b w:val="1"/>
                <w:bCs w:val="1"/>
                <w:color w:val="auto"/>
              </w:rPr>
              <w:t>June 30, 2022</w:t>
            </w:r>
          </w:p>
        </w:tc>
        <w:tc>
          <w:tcPr>
            <w:tcW w:w="240" w:type="dxa"/>
            <w:vAlign w:val="bottom"/>
          </w:tcPr>
          <w:p>
            <w:pPr>
              <w:spacing w:after="0"/>
              <w:rPr>
                <w:sz w:val="16"/>
                <w:szCs w:val="16"/>
                <w:color w:val="auto"/>
              </w:rPr>
            </w:pPr>
          </w:p>
        </w:tc>
        <w:tc>
          <w:tcPr>
            <w:tcW w:w="2740" w:type="dxa"/>
            <w:vAlign w:val="bottom"/>
            <w:gridSpan w:val="3"/>
          </w:tcPr>
          <w:p>
            <w:pPr>
              <w:jc w:val="right"/>
              <w:ind w:right="850"/>
              <w:spacing w:after="0"/>
              <w:rPr>
                <w:sz w:val="20"/>
                <w:szCs w:val="20"/>
                <w:color w:val="auto"/>
              </w:rPr>
            </w:pPr>
            <w:r>
              <w:rPr>
                <w:rFonts w:ascii="Arial" w:cs="Arial" w:eastAsia="Arial" w:hAnsi="Arial"/>
                <w:sz w:val="14"/>
                <w:szCs w:val="14"/>
                <w:b w:val="1"/>
                <w:bCs w:val="1"/>
                <w:color w:val="auto"/>
              </w:rPr>
              <w:t>December 31, 2021</w:t>
            </w:r>
          </w:p>
        </w:tc>
      </w:tr>
      <w:tr>
        <w:trPr>
          <w:trHeight w:val="184"/>
        </w:trPr>
        <w:tc>
          <w:tcPr>
            <w:tcW w:w="5120" w:type="dxa"/>
            <w:vAlign w:val="bottom"/>
          </w:tcPr>
          <w:p>
            <w:pPr>
              <w:ind w:left="20"/>
              <w:spacing w:after="0"/>
              <w:rPr>
                <w:sz w:val="20"/>
                <w:szCs w:val="20"/>
                <w:color w:val="auto"/>
              </w:rPr>
            </w:pPr>
            <w:r>
              <w:rPr>
                <w:rFonts w:ascii="Arial" w:cs="Arial" w:eastAsia="Arial" w:hAnsi="Arial"/>
                <w:sz w:val="14"/>
                <w:szCs w:val="14"/>
                <w:b w:val="1"/>
                <w:bCs w:val="1"/>
                <w:color w:val="auto"/>
              </w:rPr>
              <w:t>NAIC Designation:</w:t>
            </w:r>
          </w:p>
        </w:tc>
        <w:tc>
          <w:tcPr>
            <w:tcW w:w="2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Fair Value</w:t>
            </w:r>
          </w:p>
        </w:tc>
        <w:tc>
          <w:tcPr>
            <w:tcW w:w="1500" w:type="dxa"/>
            <w:vAlign w:val="bottom"/>
            <w:tcBorders>
              <w:top w:val="single" w:sz="8" w:color="auto"/>
            </w:tcBorders>
          </w:tcPr>
          <w:p>
            <w:pPr>
              <w:jc w:val="right"/>
              <w:ind w:right="210"/>
              <w:spacing w:after="0"/>
              <w:rPr>
                <w:sz w:val="20"/>
                <w:szCs w:val="20"/>
                <w:color w:val="auto"/>
              </w:rPr>
            </w:pPr>
            <w:r>
              <w:rPr>
                <w:rFonts w:ascii="Arial" w:cs="Arial" w:eastAsia="Arial" w:hAnsi="Arial"/>
                <w:sz w:val="14"/>
                <w:szCs w:val="14"/>
                <w:b w:val="1"/>
                <w:bCs w:val="1"/>
                <w:color w:val="auto"/>
              </w:rPr>
              <w:t>Percent of Total</w:t>
            </w:r>
          </w:p>
        </w:tc>
        <w:tc>
          <w:tcPr>
            <w:tcW w:w="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Fair Value</w:t>
            </w:r>
          </w:p>
        </w:tc>
        <w:tc>
          <w:tcPr>
            <w:tcW w:w="1500" w:type="dxa"/>
            <w:vAlign w:val="bottom"/>
            <w:tcBorders>
              <w:top w:val="single" w:sz="8" w:color="auto"/>
            </w:tcBorders>
          </w:tcPr>
          <w:p>
            <w:pPr>
              <w:jc w:val="right"/>
              <w:ind w:right="210"/>
              <w:spacing w:after="0"/>
              <w:rPr>
                <w:sz w:val="20"/>
                <w:szCs w:val="20"/>
                <w:color w:val="auto"/>
              </w:rPr>
            </w:pPr>
            <w:r>
              <w:rPr>
                <w:rFonts w:ascii="Arial" w:cs="Arial" w:eastAsia="Arial" w:hAnsi="Arial"/>
                <w:sz w:val="14"/>
                <w:szCs w:val="14"/>
                <w:b w:val="1"/>
                <w:bCs w:val="1"/>
                <w:color w:val="auto"/>
              </w:rPr>
              <w:t>Percent of Total</w:t>
            </w:r>
          </w:p>
        </w:tc>
      </w:tr>
      <w:tr>
        <w:trPr>
          <w:trHeight w:val="178"/>
        </w:trPr>
        <w:tc>
          <w:tcPr>
            <w:tcW w:w="5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1</w:t>
            </w:r>
          </w:p>
        </w:tc>
        <w:tc>
          <w:tcPr>
            <w:tcW w:w="24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0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90 %</w:t>
            </w: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116</w:t>
            </w:r>
          </w:p>
        </w:tc>
        <w:tc>
          <w:tcPr>
            <w:tcW w:w="8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91 %</w:t>
            </w:r>
          </w:p>
        </w:tc>
      </w:tr>
      <w:tr>
        <w:trPr>
          <w:trHeight w:val="182"/>
        </w:trPr>
        <w:tc>
          <w:tcPr>
            <w:tcW w:w="5120" w:type="dxa"/>
            <w:vAlign w:val="bottom"/>
          </w:tcPr>
          <w:p>
            <w:pPr>
              <w:ind w:left="20"/>
              <w:spacing w:after="0"/>
              <w:rPr>
                <w:sz w:val="20"/>
                <w:szCs w:val="20"/>
                <w:color w:val="auto"/>
              </w:rPr>
            </w:pPr>
            <w:r>
              <w:rPr>
                <w:rFonts w:ascii="Arial" w:cs="Arial" w:eastAsia="Arial" w:hAnsi="Arial"/>
                <w:sz w:val="14"/>
                <w:szCs w:val="14"/>
                <w:color w:val="auto"/>
              </w:rPr>
              <w:t>2</w:t>
            </w:r>
          </w:p>
        </w:tc>
        <w:tc>
          <w:tcPr>
            <w:tcW w:w="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4 %</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jc w:val="right"/>
              <w:ind w:right="10"/>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3 %</w:t>
            </w:r>
          </w:p>
        </w:tc>
      </w:tr>
      <w:tr>
        <w:trPr>
          <w:trHeight w:val="187"/>
        </w:trPr>
        <w:tc>
          <w:tcPr>
            <w:tcW w:w="5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3</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2 %</w:t>
            </w:r>
          </w:p>
        </w:tc>
      </w:tr>
      <w:tr>
        <w:trPr>
          <w:trHeight w:val="182"/>
        </w:trPr>
        <w:tc>
          <w:tcPr>
            <w:tcW w:w="5120" w:type="dxa"/>
            <w:vAlign w:val="bottom"/>
          </w:tcPr>
          <w:p>
            <w:pPr>
              <w:ind w:left="20"/>
              <w:spacing w:after="0"/>
              <w:rPr>
                <w:sz w:val="20"/>
                <w:szCs w:val="20"/>
                <w:color w:val="auto"/>
              </w:rPr>
            </w:pPr>
            <w:r>
              <w:rPr>
                <w:rFonts w:ascii="Arial" w:cs="Arial" w:eastAsia="Arial" w:hAnsi="Arial"/>
                <w:sz w:val="14"/>
                <w:szCs w:val="14"/>
                <w:color w:val="auto"/>
              </w:rPr>
              <w:t>4</w:t>
            </w:r>
          </w:p>
        </w:tc>
        <w:tc>
          <w:tcPr>
            <w:tcW w:w="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2 %</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jc w:val="right"/>
              <w:ind w:right="10"/>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1 %</w:t>
            </w:r>
          </w:p>
        </w:tc>
      </w:tr>
      <w:tr>
        <w:trPr>
          <w:trHeight w:val="187"/>
        </w:trPr>
        <w:tc>
          <w:tcPr>
            <w:tcW w:w="5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5</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3 %</w:t>
            </w:r>
          </w:p>
        </w:tc>
      </w:tr>
      <w:tr>
        <w:trPr>
          <w:trHeight w:val="182"/>
        </w:trPr>
        <w:tc>
          <w:tcPr>
            <w:tcW w:w="5120" w:type="dxa"/>
            <w:vAlign w:val="bottom"/>
          </w:tcPr>
          <w:p>
            <w:pPr>
              <w:ind w:left="20"/>
              <w:spacing w:after="0"/>
              <w:rPr>
                <w:sz w:val="20"/>
                <w:szCs w:val="20"/>
                <w:color w:val="auto"/>
              </w:rPr>
            </w:pPr>
            <w:r>
              <w:rPr>
                <w:rFonts w:ascii="Arial" w:cs="Arial" w:eastAsia="Arial" w:hAnsi="Arial"/>
                <w:sz w:val="14"/>
                <w:szCs w:val="14"/>
                <w:color w:val="auto"/>
              </w:rPr>
              <w:t>6</w:t>
            </w:r>
          </w:p>
        </w:tc>
        <w:tc>
          <w:tcPr>
            <w:tcW w:w="24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4"/>
                <w:szCs w:val="14"/>
                <w:color w:val="auto"/>
              </w:rPr>
              <w:t>— %</w:t>
            </w:r>
          </w:p>
        </w:tc>
        <w:tc>
          <w:tcPr>
            <w:tcW w:w="24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 %</w:t>
            </w:r>
          </w:p>
        </w:tc>
      </w:tr>
      <w:tr>
        <w:trPr>
          <w:trHeight w:val="205"/>
        </w:trPr>
        <w:tc>
          <w:tcPr>
            <w:tcW w:w="51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Total</w:t>
            </w:r>
          </w:p>
        </w:tc>
        <w:tc>
          <w:tcPr>
            <w:tcW w:w="24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127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157"/>
        </w:trPr>
        <w:tc>
          <w:tcPr>
            <w:tcW w:w="5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tcPr>
          <w:p>
            <w:pPr>
              <w:spacing w:after="0"/>
              <w:rPr>
                <w:sz w:val="13"/>
                <w:szCs w:val="13"/>
                <w:color w:val="auto"/>
              </w:rPr>
            </w:pPr>
          </w:p>
        </w:tc>
      </w:tr>
      <w:tr>
        <w:trPr>
          <w:trHeight w:val="184"/>
        </w:trPr>
        <w:tc>
          <w:tcPr>
            <w:tcW w:w="5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NRSRO:</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182"/>
        </w:trPr>
        <w:tc>
          <w:tcPr>
            <w:tcW w:w="5120" w:type="dxa"/>
            <w:vAlign w:val="bottom"/>
          </w:tcPr>
          <w:p>
            <w:pPr>
              <w:ind w:left="20"/>
              <w:spacing w:after="0"/>
              <w:rPr>
                <w:sz w:val="20"/>
                <w:szCs w:val="20"/>
                <w:color w:val="auto"/>
              </w:rPr>
            </w:pPr>
            <w:r>
              <w:rPr>
                <w:rFonts w:ascii="Arial" w:cs="Arial" w:eastAsia="Arial" w:hAnsi="Arial"/>
                <w:sz w:val="14"/>
                <w:szCs w:val="14"/>
                <w:color w:val="auto"/>
              </w:rPr>
              <w:t>AAA</w:t>
            </w:r>
          </w:p>
        </w:tc>
        <w:tc>
          <w:tcPr>
            <w:tcW w:w="24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4"/>
                <w:szCs w:val="14"/>
                <w:color w:val="auto"/>
              </w:rPr>
              <w:t>— %</w:t>
            </w:r>
          </w:p>
        </w:tc>
        <w:tc>
          <w:tcPr>
            <w:tcW w:w="24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 %</w:t>
            </w:r>
          </w:p>
        </w:tc>
      </w:tr>
      <w:tr>
        <w:trPr>
          <w:trHeight w:val="187"/>
        </w:trPr>
        <w:tc>
          <w:tcPr>
            <w:tcW w:w="5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AA</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13 %</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15</w:t>
            </w:r>
          </w:p>
        </w:tc>
        <w:tc>
          <w:tcPr>
            <w:tcW w:w="8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12 %</w:t>
            </w:r>
          </w:p>
        </w:tc>
      </w:tr>
      <w:tr>
        <w:trPr>
          <w:trHeight w:val="182"/>
        </w:trPr>
        <w:tc>
          <w:tcPr>
            <w:tcW w:w="5120" w:type="dxa"/>
            <w:vAlign w:val="bottom"/>
          </w:tcPr>
          <w:p>
            <w:pPr>
              <w:ind w:left="20"/>
              <w:spacing w:after="0"/>
              <w:rPr>
                <w:sz w:val="20"/>
                <w:szCs w:val="20"/>
                <w:color w:val="auto"/>
              </w:rPr>
            </w:pPr>
            <w:r>
              <w:rPr>
                <w:rFonts w:ascii="Arial" w:cs="Arial" w:eastAsia="Arial" w:hAnsi="Arial"/>
                <w:sz w:val="14"/>
                <w:szCs w:val="14"/>
                <w:color w:val="auto"/>
              </w:rPr>
              <w:t>A</w:t>
            </w:r>
          </w:p>
        </w:tc>
        <w:tc>
          <w:tcPr>
            <w:tcW w:w="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4 %</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jc w:val="right"/>
              <w:ind w:right="10"/>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4 %</w:t>
            </w:r>
          </w:p>
        </w:tc>
      </w:tr>
      <w:tr>
        <w:trPr>
          <w:trHeight w:val="187"/>
        </w:trPr>
        <w:tc>
          <w:tcPr>
            <w:tcW w:w="5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BBB</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8 %</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9 %</w:t>
            </w:r>
          </w:p>
        </w:tc>
      </w:tr>
      <w:tr>
        <w:trPr>
          <w:trHeight w:val="182"/>
        </w:trPr>
        <w:tc>
          <w:tcPr>
            <w:tcW w:w="5120" w:type="dxa"/>
            <w:vAlign w:val="bottom"/>
          </w:tcPr>
          <w:p>
            <w:pPr>
              <w:ind w:left="20"/>
              <w:spacing w:after="0"/>
              <w:rPr>
                <w:sz w:val="20"/>
                <w:szCs w:val="20"/>
                <w:color w:val="auto"/>
              </w:rPr>
            </w:pPr>
            <w:r>
              <w:rPr>
                <w:rFonts w:ascii="Arial" w:cs="Arial" w:eastAsia="Arial" w:hAnsi="Arial"/>
                <w:sz w:val="14"/>
                <w:szCs w:val="14"/>
                <w:color w:val="auto"/>
              </w:rPr>
              <w:t>Not rated - Above investment grade (a)</w:t>
            </w:r>
          </w:p>
        </w:tc>
        <w:tc>
          <w:tcPr>
            <w:tcW w:w="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20 %</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jc w:val="right"/>
              <w:ind w:right="10"/>
              <w:spacing w:after="0"/>
              <w:rPr>
                <w:sz w:val="20"/>
                <w:szCs w:val="20"/>
                <w:color w:val="auto"/>
              </w:rPr>
            </w:pPr>
            <w:r>
              <w:rPr>
                <w:rFonts w:ascii="Arial" w:cs="Arial" w:eastAsia="Arial" w:hAnsi="Arial"/>
                <w:sz w:val="14"/>
                <w:szCs w:val="14"/>
                <w:color w:val="auto"/>
              </w:rPr>
              <w:t>24</w:t>
            </w:r>
          </w:p>
        </w:tc>
        <w:tc>
          <w:tcPr>
            <w:tcW w:w="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19 %</w:t>
            </w:r>
          </w:p>
        </w:tc>
      </w:tr>
      <w:tr>
        <w:trPr>
          <w:trHeight w:val="184"/>
        </w:trPr>
        <w:tc>
          <w:tcPr>
            <w:tcW w:w="5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BB and below</w:t>
            </w:r>
          </w:p>
        </w:tc>
        <w:tc>
          <w:tcPr>
            <w:tcW w:w="2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55 %</w:t>
            </w:r>
          </w:p>
        </w:tc>
        <w:tc>
          <w:tcPr>
            <w:tcW w:w="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71</w:t>
            </w:r>
          </w:p>
        </w:tc>
        <w:tc>
          <w:tcPr>
            <w:tcW w:w="80" w:type="dxa"/>
            <w:vAlign w:val="bottom"/>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56 %</w:t>
            </w:r>
          </w:p>
        </w:tc>
      </w:tr>
      <w:tr>
        <w:trPr>
          <w:trHeight w:val="180"/>
        </w:trPr>
        <w:tc>
          <w:tcPr>
            <w:tcW w:w="5120" w:type="dxa"/>
            <w:vAlign w:val="bottom"/>
          </w:tcPr>
          <w:p>
            <w:pPr>
              <w:ind w:left="140"/>
              <w:spacing w:after="0"/>
              <w:rPr>
                <w:sz w:val="20"/>
                <w:szCs w:val="20"/>
                <w:color w:val="auto"/>
              </w:rPr>
            </w:pPr>
            <w:r>
              <w:rPr>
                <w:rFonts w:ascii="Arial" w:cs="Arial" w:eastAsia="Arial" w:hAnsi="Arial"/>
                <w:sz w:val="14"/>
                <w:szCs w:val="14"/>
                <w:b w:val="1"/>
                <w:bCs w:val="1"/>
                <w:color w:val="auto"/>
              </w:rPr>
              <w:t>Total</w:t>
            </w:r>
          </w:p>
        </w:tc>
        <w:tc>
          <w:tcPr>
            <w:tcW w:w="2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80" w:type="dxa"/>
            <w:vAlign w:val="bottom"/>
          </w:tcPr>
          <w:p>
            <w:pPr>
              <w:spacing w:after="0"/>
              <w:rPr>
                <w:sz w:val="15"/>
                <w:szCs w:val="15"/>
                <w:color w:val="auto"/>
              </w:rPr>
            </w:pPr>
          </w:p>
        </w:tc>
        <w:tc>
          <w:tcPr>
            <w:tcW w:w="2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127</w:t>
            </w:r>
          </w:p>
        </w:tc>
        <w:tc>
          <w:tcPr>
            <w:tcW w:w="80" w:type="dxa"/>
            <w:vAlign w:val="bottom"/>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100 %</w:t>
            </w: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77"/>
        </w:trPr>
        <w:tc>
          <w:tcPr>
            <w:tcW w:w="5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184"/>
        </w:trPr>
        <w:tc>
          <w:tcPr>
            <w:tcW w:w="5120" w:type="dxa"/>
            <w:vAlign w:val="bottom"/>
          </w:tcPr>
          <w:p>
            <w:pPr>
              <w:ind w:left="20"/>
              <w:spacing w:after="0"/>
              <w:rPr>
                <w:sz w:val="20"/>
                <w:szCs w:val="20"/>
                <w:color w:val="auto"/>
              </w:rPr>
            </w:pPr>
            <w:r>
              <w:rPr>
                <w:rFonts w:ascii="Arial" w:cs="Arial" w:eastAsia="Arial" w:hAnsi="Arial"/>
                <w:sz w:val="14"/>
                <w:szCs w:val="14"/>
                <w:b w:val="1"/>
                <w:bCs w:val="1"/>
                <w:color w:val="auto"/>
              </w:rPr>
              <w:t>Vintage:</w:t>
            </w: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5"/>
        </w:trPr>
        <w:tc>
          <w:tcPr>
            <w:tcW w:w="5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2007</w:t>
            </w: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24 %</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31</w:t>
            </w:r>
          </w:p>
        </w:tc>
        <w:tc>
          <w:tcPr>
            <w:tcW w:w="8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24 %</w:t>
            </w:r>
          </w:p>
        </w:tc>
      </w:tr>
      <w:tr>
        <w:trPr>
          <w:trHeight w:val="182"/>
        </w:trPr>
        <w:tc>
          <w:tcPr>
            <w:tcW w:w="5120" w:type="dxa"/>
            <w:vAlign w:val="bottom"/>
          </w:tcPr>
          <w:p>
            <w:pPr>
              <w:ind w:left="20"/>
              <w:spacing w:after="0"/>
              <w:rPr>
                <w:sz w:val="20"/>
                <w:szCs w:val="20"/>
                <w:color w:val="auto"/>
              </w:rPr>
            </w:pPr>
            <w:r>
              <w:rPr>
                <w:rFonts w:ascii="Arial" w:cs="Arial" w:eastAsia="Arial" w:hAnsi="Arial"/>
                <w:sz w:val="14"/>
                <w:szCs w:val="14"/>
                <w:color w:val="auto"/>
              </w:rPr>
              <w:t>2006</w:t>
            </w:r>
          </w:p>
        </w:tc>
        <w:tc>
          <w:tcPr>
            <w:tcW w:w="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27 %</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jc w:val="right"/>
              <w:ind w:right="10"/>
              <w:spacing w:after="0"/>
              <w:rPr>
                <w:sz w:val="20"/>
                <w:szCs w:val="20"/>
                <w:color w:val="auto"/>
              </w:rPr>
            </w:pPr>
            <w:r>
              <w:rPr>
                <w:rFonts w:ascii="Arial" w:cs="Arial" w:eastAsia="Arial" w:hAnsi="Arial"/>
                <w:sz w:val="14"/>
                <w:szCs w:val="14"/>
                <w:color w:val="auto"/>
              </w:rPr>
              <w:t>34</w:t>
            </w:r>
          </w:p>
        </w:tc>
        <w:tc>
          <w:tcPr>
            <w:tcW w:w="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27 %</w:t>
            </w:r>
          </w:p>
        </w:tc>
      </w:tr>
      <w:tr>
        <w:trPr>
          <w:trHeight w:val="187"/>
        </w:trPr>
        <w:tc>
          <w:tcPr>
            <w:tcW w:w="5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2005 and prior</w:t>
            </w:r>
          </w:p>
        </w:tc>
        <w:tc>
          <w:tcPr>
            <w:tcW w:w="2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49 %</w:t>
            </w:r>
          </w:p>
        </w:tc>
        <w:tc>
          <w:tcPr>
            <w:tcW w:w="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62</w:t>
            </w:r>
          </w:p>
        </w:tc>
        <w:tc>
          <w:tcPr>
            <w:tcW w:w="80" w:type="dxa"/>
            <w:vAlign w:val="bottom"/>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49 %</w:t>
            </w:r>
          </w:p>
        </w:tc>
      </w:tr>
      <w:tr>
        <w:trPr>
          <w:trHeight w:val="177"/>
        </w:trPr>
        <w:tc>
          <w:tcPr>
            <w:tcW w:w="5120" w:type="dxa"/>
            <w:vAlign w:val="bottom"/>
          </w:tcPr>
          <w:p>
            <w:pPr>
              <w:ind w:left="140"/>
              <w:spacing w:after="0"/>
              <w:rPr>
                <w:sz w:val="20"/>
                <w:szCs w:val="20"/>
                <w:color w:val="auto"/>
              </w:rPr>
            </w:pPr>
            <w:r>
              <w:rPr>
                <w:rFonts w:ascii="Arial" w:cs="Arial" w:eastAsia="Arial" w:hAnsi="Arial"/>
                <w:sz w:val="14"/>
                <w:szCs w:val="14"/>
                <w:b w:val="1"/>
                <w:bCs w:val="1"/>
                <w:color w:val="auto"/>
              </w:rPr>
              <w:t>Total</w:t>
            </w:r>
          </w:p>
        </w:tc>
        <w:tc>
          <w:tcPr>
            <w:tcW w:w="2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80" w:type="dxa"/>
            <w:vAlign w:val="bottom"/>
          </w:tcPr>
          <w:p>
            <w:pPr>
              <w:spacing w:after="0"/>
              <w:rPr>
                <w:sz w:val="15"/>
                <w:szCs w:val="15"/>
                <w:color w:val="auto"/>
              </w:rPr>
            </w:pPr>
          </w:p>
        </w:tc>
        <w:tc>
          <w:tcPr>
            <w:tcW w:w="2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127</w:t>
            </w:r>
          </w:p>
        </w:tc>
        <w:tc>
          <w:tcPr>
            <w:tcW w:w="80" w:type="dxa"/>
            <w:vAlign w:val="bottom"/>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100 %</w:t>
            </w:r>
          </w:p>
        </w:tc>
      </w:tr>
      <w:tr>
        <w:trPr>
          <w:trHeight w:val="20"/>
        </w:trPr>
        <w:tc>
          <w:tcPr>
            <w:tcW w:w="5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(a) Securities denoted as not-rated by an NRSRO were classified as investment or non-investment grade according to the securities' respective NAIC designation.</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ABS and CLO Exposures</w:t>
      </w:r>
    </w:p>
    <w:p>
      <w:pPr>
        <w:spacing w:after="0" w:line="167" w:lineRule="exact"/>
        <w:rPr>
          <w:sz w:val="20"/>
          <w:szCs w:val="20"/>
          <w:color w:val="auto"/>
        </w:rPr>
      </w:pPr>
    </w:p>
    <w:p>
      <w:pPr>
        <w:ind w:firstLine="395"/>
        <w:spacing w:after="0" w:line="261" w:lineRule="auto"/>
        <w:rPr>
          <w:sz w:val="20"/>
          <w:szCs w:val="20"/>
          <w:color w:val="auto"/>
        </w:rPr>
      </w:pPr>
      <w:r>
        <w:rPr>
          <w:rFonts w:ascii="Arial" w:cs="Arial" w:eastAsia="Arial" w:hAnsi="Arial"/>
          <w:sz w:val="18"/>
          <w:szCs w:val="18"/>
          <w:color w:val="auto"/>
        </w:rPr>
        <w:t>Our ABS exposures are largely diversified by underlying collateral and issuer type. Our CLO exposures are generally senior tranches of CLOs, which have leveraged loans as their underlying collateral.</w:t>
      </w:r>
    </w:p>
    <w:p>
      <w:pPr>
        <w:spacing w:after="0" w:line="89" w:lineRule="exact"/>
        <w:rPr>
          <w:sz w:val="20"/>
          <w:szCs w:val="20"/>
          <w:color w:val="auto"/>
        </w:rPr>
      </w:pPr>
    </w:p>
    <w:p>
      <w:pPr>
        <w:ind w:firstLine="395"/>
        <w:spacing w:after="0" w:line="324" w:lineRule="auto"/>
        <w:rPr>
          <w:sz w:val="20"/>
          <w:szCs w:val="20"/>
          <w:color w:val="auto"/>
        </w:rPr>
      </w:pPr>
      <w:r>
        <w:rPr>
          <w:rFonts w:ascii="Arial" w:cs="Arial" w:eastAsia="Arial" w:hAnsi="Arial"/>
          <w:sz w:val="16"/>
          <w:szCs w:val="16"/>
          <w:color w:val="auto"/>
        </w:rPr>
        <w:t>As of June 30, 2022, the CLO and ABS positions were trading at a net unrealized loss position of $(190) million and $(324) million, respectively. As of December 31, 2021, the CLO and ABS positions were trading at a net unrealized gain position of $145 million and $37 million,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Municipal Bond Exposure</w:t>
      </w:r>
    </w:p>
    <w:p>
      <w:pPr>
        <w:spacing w:after="0" w:line="141" w:lineRule="exact"/>
        <w:rPr>
          <w:sz w:val="20"/>
          <w:szCs w:val="20"/>
          <w:color w:val="auto"/>
        </w:rPr>
      </w:pPr>
    </w:p>
    <w:p>
      <w:pPr>
        <w:ind w:firstLine="395"/>
        <w:spacing w:after="0" w:line="324" w:lineRule="auto"/>
        <w:rPr>
          <w:sz w:val="20"/>
          <w:szCs w:val="20"/>
          <w:color w:val="auto"/>
        </w:rPr>
      </w:pPr>
      <w:r>
        <w:rPr>
          <w:rFonts w:ascii="Arial" w:cs="Arial" w:eastAsia="Arial" w:hAnsi="Arial"/>
          <w:sz w:val="16"/>
          <w:szCs w:val="16"/>
          <w:color w:val="auto"/>
        </w:rPr>
        <w:t>Our municipal bond exposure is a combination of general obligation bonds (fair value of $201 million and an amortized cost of $231 million as of June 30, 2022) and special revenue bonds (fair value of $1,004 million and an amortized cost of $1,147 million as of June 30, 2022).</w:t>
      </w:r>
    </w:p>
    <w:p>
      <w:pPr>
        <w:spacing w:after="0" w:line="43" w:lineRule="exact"/>
        <w:rPr>
          <w:sz w:val="20"/>
          <w:szCs w:val="20"/>
          <w:color w:val="auto"/>
        </w:rPr>
      </w:pPr>
    </w:p>
    <w:p>
      <w:pPr>
        <w:ind w:firstLine="395"/>
        <w:spacing w:after="0" w:line="261" w:lineRule="auto"/>
        <w:rPr>
          <w:sz w:val="20"/>
          <w:szCs w:val="20"/>
          <w:color w:val="auto"/>
        </w:rPr>
      </w:pPr>
      <w:r>
        <w:rPr>
          <w:rFonts w:ascii="Arial" w:cs="Arial" w:eastAsia="Arial" w:hAnsi="Arial"/>
          <w:sz w:val="18"/>
          <w:szCs w:val="18"/>
          <w:color w:val="auto"/>
        </w:rPr>
        <w:t>Across all municipal bonds, the largest issuer represented 6% of the category, less than 1% of the entire portfolio and is rated NAIC 1. Our focus within municipal bonds is on NAIC 1 rated instruments, and 92% of our municipal bond exposure is rated NAIC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Loans</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Commercial Mortgage Loans</w:t>
      </w:r>
    </w:p>
    <w:p>
      <w:pPr>
        <w:spacing w:after="0" w:line="109"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We diversify our commercial mortgage loans ("CMLs") portfolio by geographic region and property type to attempt to reduce concentration risk. We continuously evaluate CMLs based on relevant current information to ensure properties are performing at a level to secure the related debt. LTV and DSC ratios are utilized to assess the risk and quality of CMLs. As of June 30, 2022, our mortgage loans on real estate portfolio had a weighted average DSC ratio of 2.4 times, and a weighted average LTV ratio of 56%. See Note D to the unaudited Condensed Consolidated Financial Statements included in this report for additional information on our CMLs, including our distribution by property type, geographic region and LTV and DSC ratios.</w:t>
      </w:r>
    </w:p>
    <w:p>
      <w:pPr>
        <w:spacing w:after="0" w:line="58"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We consider a CML delinquent when a loan payment is greater than 30 days past due. For mortgage loans that are determined to require foreclosure, the carrying value is reduced to the fair value of the underlying collateral, net of estimated costs to obtain and sell at the point of foreclosure. At June 30, 2022 we had one CML that was delinquent in principal or interest payments and none in the process of foreclosure. At December 31, 2021 we had no CMLs that were delinquent in principal or interest payments or in process of foreclosure.</w:t>
      </w:r>
    </w:p>
    <w:p>
      <w:pPr>
        <w:spacing w:after="0" w:line="85"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Residential Mortgage Loans</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F&amp;G's residential mortgage loans ("RMLs") are closed end, amortizing loans and 100% of the properties are in the United States. F&amp;G diversifies its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RML portfolio by state to attempt to reduce concentration risk. RMLs have a primary credit quality indicator of either a performing or nonperforming loan.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F&amp;G defines non-performing RMLs as those that are 90 or more days past due and/or in nonaccrual status.</w:t>
      </w:r>
    </w:p>
    <w:p>
      <w:pPr>
        <w:spacing w:after="0" w:line="97"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Loans are placed on nonaccrual status when they are over 90 days delinquent. If a loan becomes over 90 days delinquent, it is our general policy to initiate foreclosure proceedings unless a workout arrangement to bring the loan current can be put in place. See Note D to the unaudited Condensed Consolidated Financial Statements included in this report for additional information on our RMLs.</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78740</wp:posOffset>
            </wp:positionV>
            <wp:extent cx="7160895"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78" w:name="page79"/>
    <w:bookmarkEnd w:id="7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Unrealized Losses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amortized cost and fair value of the fixed maturity securities and the equity securities that were in an unrealized loss position as of June 30, 2022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were as follows (in millions):</w:t>
      </w:r>
    </w:p>
    <w:p>
      <w:pPr>
        <w:spacing w:after="0" w:line="232" w:lineRule="exact"/>
        <w:rPr>
          <w:sz w:val="20"/>
          <w:szCs w:val="20"/>
          <w:color w:val="auto"/>
        </w:rPr>
      </w:pPr>
    </w:p>
    <w:tbl>
      <w:tblPr>
        <w:tblLayout w:type="fixed"/>
        <w:tblInd w:w="400" w:type="dxa"/>
        <w:tblCellMar>
          <w:top w:w="0" w:type="dxa"/>
          <w:left w:w="0" w:type="dxa"/>
          <w:bottom w:w="0" w:type="dxa"/>
          <w:right w:w="0" w:type="dxa"/>
        </w:tblCellMar>
      </w:tblPr>
      <w:tr>
        <w:trPr>
          <w:trHeight w:val="188"/>
        </w:trPr>
        <w:tc>
          <w:tcPr>
            <w:tcW w:w="356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w w:val="87"/>
              </w:rPr>
              <w:t>June 30, 2022</w:t>
            </w:r>
          </w:p>
        </w:tc>
        <w:tc>
          <w:tcPr>
            <w:tcW w:w="8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560" w:type="dxa"/>
            <w:vAlign w:val="bottom"/>
          </w:tcPr>
          <w:p>
            <w:pPr>
              <w:spacing w:after="0"/>
              <w:rPr>
                <w:sz w:val="11"/>
                <w:szCs w:val="11"/>
                <w:color w:val="auto"/>
              </w:rPr>
            </w:pPr>
          </w:p>
        </w:tc>
        <w:tc>
          <w:tcPr>
            <w:tcW w:w="1260" w:type="dxa"/>
            <w:vAlign w:val="bottom"/>
            <w:gridSpan w:val="2"/>
          </w:tcPr>
          <w:p>
            <w:pPr>
              <w:ind w:left="460"/>
              <w:spacing w:after="0" w:line="130" w:lineRule="exact"/>
              <w:rPr>
                <w:sz w:val="20"/>
                <w:szCs w:val="20"/>
                <w:color w:val="auto"/>
              </w:rPr>
            </w:pPr>
            <w:r>
              <w:rPr>
                <w:rFonts w:ascii="Arial" w:cs="Arial" w:eastAsia="Arial" w:hAnsi="Arial"/>
                <w:sz w:val="14"/>
                <w:szCs w:val="14"/>
                <w:b w:val="1"/>
                <w:bCs w:val="1"/>
                <w:color w:val="auto"/>
              </w:rPr>
              <w:t>Number of</w:t>
            </w:r>
          </w:p>
        </w:tc>
        <w:tc>
          <w:tcPr>
            <w:tcW w:w="500" w:type="dxa"/>
            <w:vAlign w:val="bottom"/>
          </w:tcPr>
          <w:p>
            <w:pPr>
              <w:spacing w:after="0"/>
              <w:rPr>
                <w:sz w:val="11"/>
                <w:szCs w:val="11"/>
                <w:color w:val="auto"/>
              </w:rPr>
            </w:pPr>
          </w:p>
        </w:tc>
        <w:tc>
          <w:tcPr>
            <w:tcW w:w="1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Amortized Cost</w:t>
            </w:r>
          </w:p>
        </w:tc>
        <w:tc>
          <w:tcPr>
            <w:tcW w:w="500" w:type="dxa"/>
            <w:vAlign w:val="bottom"/>
          </w:tcPr>
          <w:p>
            <w:pPr>
              <w:spacing w:after="0"/>
              <w:rPr>
                <w:sz w:val="11"/>
                <w:szCs w:val="11"/>
                <w:color w:val="auto"/>
              </w:rPr>
            </w:pPr>
          </w:p>
        </w:tc>
        <w:tc>
          <w:tcPr>
            <w:tcW w:w="1060" w:type="dxa"/>
            <w:vAlign w:val="bottom"/>
            <w:gridSpan w:val="2"/>
          </w:tcPr>
          <w:p>
            <w:pPr>
              <w:ind w:left="20"/>
              <w:spacing w:after="0" w:line="130" w:lineRule="exact"/>
              <w:rPr>
                <w:sz w:val="20"/>
                <w:szCs w:val="20"/>
                <w:color w:val="auto"/>
              </w:rPr>
            </w:pPr>
            <w:r>
              <w:rPr>
                <w:rFonts w:ascii="Arial" w:cs="Arial" w:eastAsia="Arial" w:hAnsi="Arial"/>
                <w:sz w:val="14"/>
                <w:szCs w:val="14"/>
                <w:b w:val="1"/>
                <w:bCs w:val="1"/>
                <w:color w:val="auto"/>
              </w:rPr>
              <w:t>Allowance for</w:t>
            </w:r>
          </w:p>
        </w:tc>
        <w:tc>
          <w:tcPr>
            <w:tcW w:w="1660" w:type="dxa"/>
            <w:vAlign w:val="bottom"/>
            <w:gridSpan w:val="3"/>
            <w:vMerge w:val="restart"/>
          </w:tcPr>
          <w:p>
            <w:pPr>
              <w:ind w:left="440"/>
              <w:spacing w:after="0"/>
              <w:rPr>
                <w:sz w:val="20"/>
                <w:szCs w:val="20"/>
                <w:color w:val="auto"/>
              </w:rPr>
            </w:pPr>
            <w:r>
              <w:rPr>
                <w:rFonts w:ascii="Arial" w:cs="Arial" w:eastAsia="Arial" w:hAnsi="Arial"/>
                <w:sz w:val="14"/>
                <w:szCs w:val="14"/>
                <w:b w:val="1"/>
                <w:bCs w:val="1"/>
                <w:color w:val="auto"/>
                <w:w w:val="97"/>
              </w:rPr>
              <w:t>Unrealized Losses</w:t>
            </w:r>
          </w:p>
        </w:tc>
        <w:tc>
          <w:tcPr>
            <w:tcW w:w="5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Fair Valu</w:t>
            </w:r>
          </w:p>
        </w:tc>
        <w:tc>
          <w:tcPr>
            <w:tcW w:w="0" w:type="dxa"/>
            <w:vAlign w:val="bottom"/>
          </w:tcPr>
          <w:p>
            <w:pPr>
              <w:spacing w:after="0"/>
              <w:rPr>
                <w:sz w:val="1"/>
                <w:szCs w:val="1"/>
                <w:color w:val="auto"/>
              </w:rPr>
            </w:pPr>
          </w:p>
        </w:tc>
      </w:tr>
      <w:tr>
        <w:trPr>
          <w:trHeight w:val="184"/>
        </w:trPr>
        <w:tc>
          <w:tcPr>
            <w:tcW w:w="3560" w:type="dxa"/>
            <w:vAlign w:val="bottom"/>
          </w:tcPr>
          <w:p>
            <w:pPr>
              <w:spacing w:after="0"/>
              <w:rPr>
                <w:sz w:val="15"/>
                <w:szCs w:val="15"/>
                <w:color w:val="auto"/>
              </w:rPr>
            </w:pPr>
          </w:p>
        </w:tc>
        <w:tc>
          <w:tcPr>
            <w:tcW w:w="1260" w:type="dxa"/>
            <w:vAlign w:val="bottom"/>
            <w:gridSpan w:val="2"/>
          </w:tcPr>
          <w:p>
            <w:pPr>
              <w:ind w:left="300"/>
              <w:spacing w:after="0"/>
              <w:rPr>
                <w:sz w:val="20"/>
                <w:szCs w:val="20"/>
                <w:color w:val="auto"/>
              </w:rPr>
            </w:pPr>
            <w:r>
              <w:rPr>
                <w:rFonts w:ascii="Arial" w:cs="Arial" w:eastAsia="Arial" w:hAnsi="Arial"/>
                <w:sz w:val="14"/>
                <w:szCs w:val="14"/>
                <w:b w:val="1"/>
                <w:bCs w:val="1"/>
                <w:color w:val="auto"/>
              </w:rPr>
              <w:t>securities</w:t>
            </w:r>
          </w:p>
        </w:tc>
        <w:tc>
          <w:tcPr>
            <w:tcW w:w="50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560" w:type="dxa"/>
            <w:vAlign w:val="bottom"/>
            <w:gridSpan w:val="3"/>
          </w:tcPr>
          <w:p>
            <w:pPr>
              <w:ind w:left="40"/>
              <w:spacing w:after="0"/>
              <w:rPr>
                <w:sz w:val="20"/>
                <w:szCs w:val="20"/>
                <w:color w:val="auto"/>
              </w:rPr>
            </w:pPr>
            <w:r>
              <w:rPr>
                <w:rFonts w:ascii="Arial" w:cs="Arial" w:eastAsia="Arial" w:hAnsi="Arial"/>
                <w:sz w:val="14"/>
                <w:szCs w:val="14"/>
                <w:b w:val="1"/>
                <w:bCs w:val="1"/>
                <w:color w:val="auto"/>
                <w:w w:val="94"/>
              </w:rPr>
              <w:t>Expected Credit Losses</w:t>
            </w:r>
          </w:p>
        </w:tc>
        <w:tc>
          <w:tcPr>
            <w:tcW w:w="1660" w:type="dxa"/>
            <w:vAlign w:val="bottom"/>
            <w:gridSpan w:val="3"/>
            <w:vMerge w:val="continue"/>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3560" w:type="dxa"/>
            <w:vAlign w:val="bottom"/>
            <w:tcBorders>
              <w:top w:val="single" w:sz="8" w:color="CCEEFF"/>
            </w:tcBorders>
            <w:shd w:val="clear" w:color="auto" w:fill="CCEEFF"/>
          </w:tcPr>
          <w:p>
            <w:pPr>
              <w:ind w:left="420"/>
              <w:spacing w:after="0" w:line="159" w:lineRule="exact"/>
              <w:rPr>
                <w:sz w:val="20"/>
                <w:szCs w:val="20"/>
                <w:color w:val="auto"/>
              </w:rPr>
            </w:pPr>
            <w:r>
              <w:rPr>
                <w:rFonts w:ascii="Arial" w:cs="Arial" w:eastAsia="Arial" w:hAnsi="Arial"/>
                <w:sz w:val="14"/>
                <w:szCs w:val="14"/>
                <w:color w:val="auto"/>
              </w:rPr>
              <w:t>Fixed maturity securities, available for sale:</w:t>
            </w:r>
          </w:p>
        </w:tc>
        <w:tc>
          <w:tcPr>
            <w:tcW w:w="1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560" w:type="dxa"/>
            <w:vAlign w:val="bottom"/>
          </w:tcPr>
          <w:p>
            <w:pPr>
              <w:ind w:left="640"/>
              <w:spacing w:after="0"/>
              <w:rPr>
                <w:sz w:val="20"/>
                <w:szCs w:val="20"/>
                <w:color w:val="auto"/>
              </w:rPr>
            </w:pPr>
            <w:r>
              <w:rPr>
                <w:rFonts w:ascii="Arial" w:cs="Arial" w:eastAsia="Arial" w:hAnsi="Arial"/>
                <w:sz w:val="14"/>
                <w:szCs w:val="14"/>
                <w:color w:val="auto"/>
              </w:rPr>
              <w:t>United States Government full faith and credit</w:t>
            </w:r>
          </w:p>
        </w:tc>
        <w:tc>
          <w:tcPr>
            <w:tcW w:w="116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800" w:type="dxa"/>
            <w:vAlign w:val="bottom"/>
          </w:tcPr>
          <w:p>
            <w:pPr>
              <w:ind w:left="4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5"/>
                <w:szCs w:val="15"/>
                <w:color w:val="auto"/>
              </w:rPr>
            </w:pPr>
          </w:p>
        </w:tc>
        <w:tc>
          <w:tcPr>
            <w:tcW w:w="5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560" w:type="dxa"/>
            <w:vAlign w:val="bottom"/>
            <w:shd w:val="clear" w:color="auto" w:fill="CCEEFF"/>
          </w:tcPr>
          <w:p>
            <w:pPr>
              <w:ind w:left="640"/>
              <w:spacing w:after="0"/>
              <w:rPr>
                <w:sz w:val="20"/>
                <w:szCs w:val="20"/>
                <w:color w:val="auto"/>
              </w:rPr>
            </w:pPr>
            <w:r>
              <w:rPr>
                <w:rFonts w:ascii="Arial" w:cs="Arial" w:eastAsia="Arial" w:hAnsi="Arial"/>
                <w:sz w:val="14"/>
                <w:szCs w:val="14"/>
                <w:color w:val="auto"/>
                <w:w w:val="98"/>
              </w:rPr>
              <w:t>United States Government sponsored agencies</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560" w:type="dxa"/>
            <w:vAlign w:val="bottom"/>
          </w:tcPr>
          <w:p>
            <w:pPr>
              <w:ind w:left="640"/>
              <w:spacing w:after="0"/>
              <w:rPr>
                <w:sz w:val="20"/>
                <w:szCs w:val="20"/>
                <w:color w:val="auto"/>
              </w:rPr>
            </w:pPr>
            <w:r>
              <w:rPr>
                <w:rFonts w:ascii="Arial" w:cs="Arial" w:eastAsia="Arial" w:hAnsi="Arial"/>
                <w:sz w:val="14"/>
                <w:szCs w:val="14"/>
                <w:color w:val="auto"/>
                <w:w w:val="94"/>
              </w:rPr>
              <w:t>United States municipalities, states and territories</w:t>
            </w:r>
          </w:p>
        </w:tc>
        <w:tc>
          <w:tcPr>
            <w:tcW w:w="1160" w:type="dxa"/>
            <w:vAlign w:val="bottom"/>
          </w:tcPr>
          <w:p>
            <w:pPr>
              <w:jc w:val="right"/>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1,362</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(178)</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7"/>
        </w:trPr>
        <w:tc>
          <w:tcPr>
            <w:tcW w:w="3560" w:type="dxa"/>
            <w:vAlign w:val="bottom"/>
            <w:shd w:val="clear" w:color="auto" w:fill="CCEEFF"/>
          </w:tcPr>
          <w:p>
            <w:pPr>
              <w:ind w:left="680"/>
              <w:spacing w:after="0"/>
              <w:rPr>
                <w:sz w:val="20"/>
                <w:szCs w:val="20"/>
                <w:color w:val="auto"/>
              </w:rPr>
            </w:pPr>
            <w:r>
              <w:rPr>
                <w:rFonts w:ascii="Arial" w:cs="Arial" w:eastAsia="Arial" w:hAnsi="Arial"/>
                <w:sz w:val="14"/>
                <w:szCs w:val="14"/>
                <w:color w:val="auto"/>
              </w:rPr>
              <w:t>Foreign Governments</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560" w:type="dxa"/>
            <w:vAlign w:val="bottom"/>
          </w:tcPr>
          <w:p>
            <w:pPr>
              <w:ind w:left="420"/>
              <w:spacing w:after="0"/>
              <w:rPr>
                <w:sz w:val="20"/>
                <w:szCs w:val="20"/>
                <w:color w:val="auto"/>
              </w:rPr>
            </w:pPr>
            <w:r>
              <w:rPr>
                <w:rFonts w:ascii="Arial" w:cs="Arial" w:eastAsia="Arial" w:hAnsi="Arial"/>
                <w:sz w:val="14"/>
                <w:szCs w:val="14"/>
                <w:color w:val="auto"/>
              </w:rPr>
              <w:t>Corporate securities:</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560" w:type="dxa"/>
            <w:vAlign w:val="bottom"/>
            <w:shd w:val="clear" w:color="auto" w:fill="CCEEFF"/>
          </w:tcPr>
          <w:p>
            <w:pPr>
              <w:ind w:left="640"/>
              <w:spacing w:after="0"/>
              <w:rPr>
                <w:sz w:val="20"/>
                <w:szCs w:val="20"/>
                <w:color w:val="auto"/>
              </w:rPr>
            </w:pPr>
            <w:r>
              <w:rPr>
                <w:rFonts w:ascii="Arial" w:cs="Arial" w:eastAsia="Arial" w:hAnsi="Arial"/>
                <w:sz w:val="14"/>
                <w:szCs w:val="14"/>
                <w:color w:val="auto"/>
              </w:rPr>
              <w:t>Finance, insurance and real estate</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538</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4,954</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(663)</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2"/>
        </w:trPr>
        <w:tc>
          <w:tcPr>
            <w:tcW w:w="3560" w:type="dxa"/>
            <w:vAlign w:val="bottom"/>
          </w:tcPr>
          <w:p>
            <w:pPr>
              <w:ind w:left="640"/>
              <w:spacing w:after="0"/>
              <w:rPr>
                <w:sz w:val="20"/>
                <w:szCs w:val="20"/>
                <w:color w:val="auto"/>
              </w:rPr>
            </w:pPr>
            <w:r>
              <w:rPr>
                <w:rFonts w:ascii="Arial" w:cs="Arial" w:eastAsia="Arial" w:hAnsi="Arial"/>
                <w:sz w:val="14"/>
                <w:szCs w:val="14"/>
                <w:color w:val="auto"/>
              </w:rPr>
              <w:t>Manufacturing, construction and mining</w:t>
            </w:r>
          </w:p>
        </w:tc>
        <w:tc>
          <w:tcPr>
            <w:tcW w:w="1160" w:type="dxa"/>
            <w:vAlign w:val="bottom"/>
          </w:tcPr>
          <w:p>
            <w:pPr>
              <w:jc w:val="right"/>
              <w:spacing w:after="0"/>
              <w:rPr>
                <w:sz w:val="20"/>
                <w:szCs w:val="20"/>
                <w:color w:val="auto"/>
              </w:rPr>
            </w:pPr>
            <w:r>
              <w:rPr>
                <w:rFonts w:ascii="Arial" w:cs="Arial" w:eastAsia="Arial" w:hAnsi="Arial"/>
                <w:sz w:val="14"/>
                <w:szCs w:val="14"/>
                <w:color w:val="auto"/>
              </w:rPr>
              <w:t>141</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876</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(138)</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560" w:type="dxa"/>
            <w:vAlign w:val="bottom"/>
            <w:shd w:val="clear" w:color="auto" w:fill="CCEEFF"/>
          </w:tcPr>
          <w:p>
            <w:pPr>
              <w:ind w:left="640"/>
              <w:spacing w:after="0"/>
              <w:rPr>
                <w:sz w:val="20"/>
                <w:szCs w:val="20"/>
                <w:color w:val="auto"/>
              </w:rPr>
            </w:pPr>
            <w:r>
              <w:rPr>
                <w:rFonts w:ascii="Arial" w:cs="Arial" w:eastAsia="Arial" w:hAnsi="Arial"/>
                <w:sz w:val="14"/>
                <w:szCs w:val="14"/>
                <w:color w:val="auto"/>
              </w:rPr>
              <w:t>Utilities, energy and related sectors</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2,782</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(527)</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2"/>
        </w:trPr>
        <w:tc>
          <w:tcPr>
            <w:tcW w:w="3560" w:type="dxa"/>
            <w:vAlign w:val="bottom"/>
          </w:tcPr>
          <w:p>
            <w:pPr>
              <w:ind w:left="640"/>
              <w:spacing w:after="0"/>
              <w:rPr>
                <w:sz w:val="20"/>
                <w:szCs w:val="20"/>
                <w:color w:val="auto"/>
              </w:rPr>
            </w:pPr>
            <w:r>
              <w:rPr>
                <w:rFonts w:ascii="Arial" w:cs="Arial" w:eastAsia="Arial" w:hAnsi="Arial"/>
                <w:sz w:val="14"/>
                <w:szCs w:val="14"/>
                <w:color w:val="auto"/>
              </w:rPr>
              <w:t>Wholesale/retail trade</w:t>
            </w:r>
          </w:p>
        </w:tc>
        <w:tc>
          <w:tcPr>
            <w:tcW w:w="1160" w:type="dxa"/>
            <w:vAlign w:val="bottom"/>
          </w:tcPr>
          <w:p>
            <w:pPr>
              <w:jc w:val="right"/>
              <w:spacing w:after="0"/>
              <w:rPr>
                <w:sz w:val="20"/>
                <w:szCs w:val="20"/>
                <w:color w:val="auto"/>
              </w:rPr>
            </w:pPr>
            <w:r>
              <w:rPr>
                <w:rFonts w:ascii="Arial" w:cs="Arial" w:eastAsia="Arial" w:hAnsi="Arial"/>
                <w:sz w:val="14"/>
                <w:szCs w:val="14"/>
                <w:color w:val="auto"/>
              </w:rPr>
              <w:t>390</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2,485</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(463)</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7"/>
        </w:trPr>
        <w:tc>
          <w:tcPr>
            <w:tcW w:w="3560" w:type="dxa"/>
            <w:vAlign w:val="bottom"/>
            <w:shd w:val="clear" w:color="auto" w:fill="CCEEFF"/>
          </w:tcPr>
          <w:p>
            <w:pPr>
              <w:ind w:left="640"/>
              <w:spacing w:after="0"/>
              <w:rPr>
                <w:sz w:val="20"/>
                <w:szCs w:val="20"/>
                <w:color w:val="auto"/>
              </w:rPr>
            </w:pPr>
            <w:r>
              <w:rPr>
                <w:rFonts w:ascii="Arial" w:cs="Arial" w:eastAsia="Arial" w:hAnsi="Arial"/>
                <w:sz w:val="14"/>
                <w:szCs w:val="14"/>
                <w:color w:val="auto"/>
              </w:rPr>
              <w:t>Services, media and other</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3,223</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(637)</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2"/>
        </w:trPr>
        <w:tc>
          <w:tcPr>
            <w:tcW w:w="3560" w:type="dxa"/>
            <w:vAlign w:val="bottom"/>
          </w:tcPr>
          <w:p>
            <w:pPr>
              <w:ind w:left="420"/>
              <w:spacing w:after="0"/>
              <w:rPr>
                <w:sz w:val="20"/>
                <w:szCs w:val="20"/>
                <w:color w:val="auto"/>
              </w:rPr>
            </w:pPr>
            <w:r>
              <w:rPr>
                <w:rFonts w:ascii="Arial" w:cs="Arial" w:eastAsia="Arial" w:hAnsi="Arial"/>
                <w:sz w:val="14"/>
                <w:szCs w:val="14"/>
                <w:color w:val="auto"/>
              </w:rPr>
              <w:t>Hybrid securities</w:t>
            </w:r>
          </w:p>
        </w:tc>
        <w:tc>
          <w:tcPr>
            <w:tcW w:w="1160" w:type="dxa"/>
            <w:vAlign w:val="bottom"/>
          </w:tcPr>
          <w:p>
            <w:pPr>
              <w:jc w:val="right"/>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733</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(64)</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560" w:type="dxa"/>
            <w:vAlign w:val="bottom"/>
            <w:shd w:val="clear" w:color="auto" w:fill="CCEEFF"/>
          </w:tcPr>
          <w:p>
            <w:pPr>
              <w:ind w:left="420"/>
              <w:spacing w:after="0"/>
              <w:rPr>
                <w:sz w:val="20"/>
                <w:szCs w:val="20"/>
                <w:color w:val="auto"/>
              </w:rPr>
            </w:pPr>
            <w:r>
              <w:rPr>
                <w:rFonts w:ascii="Arial" w:cs="Arial" w:eastAsia="Arial" w:hAnsi="Arial"/>
                <w:sz w:val="14"/>
                <w:szCs w:val="14"/>
                <w:color w:val="auto"/>
                <w:w w:val="98"/>
              </w:rPr>
              <w:t>Non-agency residential mortgage backed securities</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865</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60" w:type="dxa"/>
            <w:vAlign w:val="bottom"/>
            <w:shd w:val="clear" w:color="auto" w:fill="CCEEFF"/>
          </w:tcPr>
          <w:p>
            <w:pPr>
              <w:ind w:left="780"/>
              <w:spacing w:after="0"/>
              <w:rPr>
                <w:sz w:val="20"/>
                <w:szCs w:val="20"/>
                <w:color w:val="auto"/>
              </w:rPr>
            </w:pPr>
            <w:r>
              <w:rPr>
                <w:rFonts w:ascii="Arial" w:cs="Arial" w:eastAsia="Arial" w:hAnsi="Arial"/>
                <w:sz w:val="14"/>
                <w:szCs w:val="14"/>
                <w:color w:val="auto"/>
                <w:w w:val="93"/>
              </w:rPr>
              <w:t>(2)</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560" w:type="dxa"/>
            <w:vAlign w:val="bottom"/>
          </w:tcPr>
          <w:p>
            <w:pPr>
              <w:ind w:left="420"/>
              <w:spacing w:after="0"/>
              <w:rPr>
                <w:sz w:val="20"/>
                <w:szCs w:val="20"/>
                <w:color w:val="auto"/>
              </w:rPr>
            </w:pPr>
            <w:r>
              <w:rPr>
                <w:rFonts w:ascii="Arial" w:cs="Arial" w:eastAsia="Arial" w:hAnsi="Arial"/>
                <w:sz w:val="14"/>
                <w:szCs w:val="14"/>
                <w:color w:val="auto"/>
              </w:rPr>
              <w:t>Commercial mortgage backed securities</w:t>
            </w:r>
          </w:p>
        </w:tc>
        <w:tc>
          <w:tcPr>
            <w:tcW w:w="1160" w:type="dxa"/>
            <w:vAlign w:val="bottom"/>
          </w:tcPr>
          <w:p>
            <w:pPr>
              <w:jc w:val="right"/>
              <w:spacing w:after="0"/>
              <w:rPr>
                <w:sz w:val="20"/>
                <w:szCs w:val="20"/>
                <w:color w:val="auto"/>
              </w:rPr>
            </w:pPr>
            <w:r>
              <w:rPr>
                <w:rFonts w:ascii="Arial" w:cs="Arial" w:eastAsia="Arial" w:hAnsi="Arial"/>
                <w:sz w:val="14"/>
                <w:szCs w:val="14"/>
                <w:color w:val="auto"/>
              </w:rPr>
              <w:t>260</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1,995</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(161)</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7"/>
        </w:trPr>
        <w:tc>
          <w:tcPr>
            <w:tcW w:w="35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Asset backed securities</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880</w:t>
            </w:r>
          </w:p>
        </w:tc>
        <w:tc>
          <w:tcPr>
            <w:tcW w:w="10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9,156</w:t>
            </w:r>
          </w:p>
        </w:tc>
        <w:tc>
          <w:tcPr>
            <w:tcW w:w="10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4"/>
                <w:szCs w:val="14"/>
                <w:color w:val="auto"/>
                <w:w w:val="93"/>
              </w:rPr>
              <w:t>(2)</w:t>
            </w:r>
          </w:p>
        </w:tc>
        <w:tc>
          <w:tcPr>
            <w:tcW w:w="100" w:type="dxa"/>
            <w:vAlign w:val="bottom"/>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(561)</w:t>
            </w:r>
          </w:p>
        </w:tc>
        <w:tc>
          <w:tcPr>
            <w:tcW w:w="12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75"/>
        </w:trPr>
        <w:tc>
          <w:tcPr>
            <w:tcW w:w="3560" w:type="dxa"/>
            <w:vAlign w:val="bottom"/>
          </w:tcPr>
          <w:p>
            <w:pPr>
              <w:ind w:left="540"/>
              <w:spacing w:after="0"/>
              <w:rPr>
                <w:sz w:val="20"/>
                <w:szCs w:val="20"/>
                <w:color w:val="auto"/>
              </w:rPr>
            </w:pPr>
            <w:r>
              <w:rPr>
                <w:rFonts w:ascii="Arial" w:cs="Arial" w:eastAsia="Arial" w:hAnsi="Arial"/>
                <w:sz w:val="14"/>
                <w:szCs w:val="14"/>
                <w:b w:val="1"/>
                <w:bCs w:val="1"/>
                <w:color w:val="auto"/>
                <w:w w:val="95"/>
              </w:rPr>
              <w:t>Total fixed maturity available for sale securities</w:t>
            </w:r>
          </w:p>
        </w:tc>
        <w:tc>
          <w:tcPr>
            <w:tcW w:w="1160" w:type="dxa"/>
            <w:vAlign w:val="bottom"/>
          </w:tcPr>
          <w:p>
            <w:pPr>
              <w:jc w:val="right"/>
              <w:spacing w:after="0"/>
              <w:rPr>
                <w:sz w:val="20"/>
                <w:szCs w:val="20"/>
                <w:color w:val="auto"/>
              </w:rPr>
            </w:pPr>
            <w:r>
              <w:rPr>
                <w:rFonts w:ascii="Arial" w:cs="Arial" w:eastAsia="Arial" w:hAnsi="Arial"/>
                <w:sz w:val="14"/>
                <w:szCs w:val="14"/>
                <w:color w:val="auto"/>
              </w:rPr>
              <w:t>3,458</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28,733</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tcPr>
          <w:p>
            <w:pPr>
              <w:ind w:left="780"/>
              <w:spacing w:after="0"/>
              <w:rPr>
                <w:sz w:val="20"/>
                <w:szCs w:val="20"/>
                <w:color w:val="auto"/>
              </w:rPr>
            </w:pPr>
            <w:r>
              <w:rPr>
                <w:rFonts w:ascii="Arial" w:cs="Arial" w:eastAsia="Arial" w:hAnsi="Arial"/>
                <w:sz w:val="14"/>
                <w:szCs w:val="14"/>
                <w:color w:val="auto"/>
                <w:w w:val="93"/>
              </w:rPr>
              <w:t>(4)</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(3,501)</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84"/>
        </w:trPr>
        <w:tc>
          <w:tcPr>
            <w:tcW w:w="35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Equity securities</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930</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560" w:type="dxa"/>
            <w:vAlign w:val="bottom"/>
          </w:tcPr>
          <w:p>
            <w:pPr>
              <w:ind w:left="540"/>
              <w:spacing w:after="0"/>
              <w:rPr>
                <w:sz w:val="20"/>
                <w:szCs w:val="20"/>
                <w:color w:val="auto"/>
              </w:rPr>
            </w:pPr>
            <w:r>
              <w:rPr>
                <w:rFonts w:ascii="Arial" w:cs="Arial" w:eastAsia="Arial" w:hAnsi="Arial"/>
                <w:sz w:val="14"/>
                <w:szCs w:val="14"/>
                <w:b w:val="1"/>
                <w:bCs w:val="1"/>
                <w:color w:val="auto"/>
              </w:rPr>
              <w:t>Total investments</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3,522</w:t>
            </w:r>
          </w:p>
        </w:tc>
        <w:tc>
          <w:tcPr>
            <w:tcW w:w="100" w:type="dxa"/>
            <w:vAlign w:val="bottom"/>
          </w:tcPr>
          <w:p>
            <w:pPr>
              <w:spacing w:after="0"/>
              <w:rPr>
                <w:sz w:val="15"/>
                <w:szCs w:val="15"/>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29,663</w:t>
            </w:r>
          </w:p>
        </w:tc>
        <w:tc>
          <w:tcPr>
            <w:tcW w:w="100" w:type="dxa"/>
            <w:vAlign w:val="bottom"/>
          </w:tcPr>
          <w:p>
            <w:pPr>
              <w:spacing w:after="0"/>
              <w:rPr>
                <w:sz w:val="15"/>
                <w:szCs w:val="15"/>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4"/>
                <w:szCs w:val="14"/>
                <w:color w:val="auto"/>
                <w:w w:val="93"/>
              </w:rPr>
              <w:t>(4)</w:t>
            </w:r>
          </w:p>
        </w:tc>
        <w:tc>
          <w:tcPr>
            <w:tcW w:w="100" w:type="dxa"/>
            <w:vAlign w:val="bottom"/>
          </w:tcPr>
          <w:p>
            <w:pPr>
              <w:spacing w:after="0"/>
              <w:rPr>
                <w:sz w:val="15"/>
                <w:szCs w:val="15"/>
                <w:color w:val="auto"/>
              </w:rPr>
            </w:pPr>
          </w:p>
        </w:tc>
        <w:tc>
          <w:tcPr>
            <w:tcW w:w="80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(3,658)</w:t>
            </w:r>
          </w:p>
        </w:tc>
        <w:tc>
          <w:tcPr>
            <w:tcW w:w="120" w:type="dxa"/>
            <w:vAlign w:val="bottom"/>
          </w:tcPr>
          <w:p>
            <w:pPr>
              <w:spacing w:after="0"/>
              <w:rPr>
                <w:sz w:val="15"/>
                <w:szCs w:val="15"/>
                <w:color w:val="auto"/>
              </w:rPr>
            </w:pPr>
          </w:p>
        </w:tc>
        <w:tc>
          <w:tcPr>
            <w:tcW w:w="5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tbl>
      <w:tblPr>
        <w:tblLayout w:type="fixed"/>
        <w:tblInd w:w="400" w:type="dxa"/>
        <w:tblCellMar>
          <w:top w:w="0" w:type="dxa"/>
          <w:left w:w="0" w:type="dxa"/>
          <w:bottom w:w="0" w:type="dxa"/>
          <w:right w:w="0" w:type="dxa"/>
        </w:tblCellMar>
      </w:tblPr>
      <w:tr>
        <w:trPr>
          <w:trHeight w:val="188"/>
        </w:trPr>
        <w:tc>
          <w:tcPr>
            <w:tcW w:w="356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8"/>
              </w:rPr>
              <w:t>December 31, 2021</w:t>
            </w:r>
          </w:p>
        </w:tc>
        <w:tc>
          <w:tcPr>
            <w:tcW w:w="5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560" w:type="dxa"/>
            <w:vAlign w:val="bottom"/>
          </w:tcPr>
          <w:p>
            <w:pPr>
              <w:spacing w:after="0"/>
              <w:rPr>
                <w:sz w:val="11"/>
                <w:szCs w:val="11"/>
                <w:color w:val="auto"/>
              </w:rPr>
            </w:pPr>
          </w:p>
        </w:tc>
        <w:tc>
          <w:tcPr>
            <w:tcW w:w="1260" w:type="dxa"/>
            <w:vAlign w:val="bottom"/>
            <w:gridSpan w:val="2"/>
          </w:tcPr>
          <w:p>
            <w:pPr>
              <w:ind w:left="460"/>
              <w:spacing w:after="0" w:line="130" w:lineRule="exact"/>
              <w:rPr>
                <w:sz w:val="20"/>
                <w:szCs w:val="20"/>
                <w:color w:val="auto"/>
              </w:rPr>
            </w:pPr>
            <w:r>
              <w:rPr>
                <w:rFonts w:ascii="Arial" w:cs="Arial" w:eastAsia="Arial" w:hAnsi="Arial"/>
                <w:sz w:val="14"/>
                <w:szCs w:val="14"/>
                <w:b w:val="1"/>
                <w:bCs w:val="1"/>
                <w:color w:val="auto"/>
              </w:rPr>
              <w:t>Number of</w:t>
            </w:r>
          </w:p>
        </w:tc>
        <w:tc>
          <w:tcPr>
            <w:tcW w:w="500" w:type="dxa"/>
            <w:vAlign w:val="bottom"/>
          </w:tcPr>
          <w:p>
            <w:pPr>
              <w:spacing w:after="0"/>
              <w:rPr>
                <w:sz w:val="11"/>
                <w:szCs w:val="11"/>
                <w:color w:val="auto"/>
              </w:rPr>
            </w:pPr>
          </w:p>
        </w:tc>
        <w:tc>
          <w:tcPr>
            <w:tcW w:w="1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Amortized Cost</w:t>
            </w:r>
          </w:p>
        </w:tc>
        <w:tc>
          <w:tcPr>
            <w:tcW w:w="500" w:type="dxa"/>
            <w:vAlign w:val="bottom"/>
          </w:tcPr>
          <w:p>
            <w:pPr>
              <w:spacing w:after="0"/>
              <w:rPr>
                <w:sz w:val="11"/>
                <w:szCs w:val="11"/>
                <w:color w:val="auto"/>
              </w:rPr>
            </w:pPr>
          </w:p>
        </w:tc>
        <w:tc>
          <w:tcPr>
            <w:tcW w:w="1340" w:type="dxa"/>
            <w:vAlign w:val="bottom"/>
            <w:gridSpan w:val="3"/>
          </w:tcPr>
          <w:p>
            <w:pPr>
              <w:ind w:left="20"/>
              <w:spacing w:after="0" w:line="130" w:lineRule="exact"/>
              <w:rPr>
                <w:sz w:val="20"/>
                <w:szCs w:val="20"/>
                <w:color w:val="auto"/>
              </w:rPr>
            </w:pPr>
            <w:r>
              <w:rPr>
                <w:rFonts w:ascii="Arial" w:cs="Arial" w:eastAsia="Arial" w:hAnsi="Arial"/>
                <w:sz w:val="14"/>
                <w:szCs w:val="14"/>
                <w:b w:val="1"/>
                <w:bCs w:val="1"/>
                <w:color w:val="auto"/>
              </w:rPr>
              <w:t>Allowance for</w:t>
            </w:r>
          </w:p>
        </w:tc>
        <w:tc>
          <w:tcPr>
            <w:tcW w:w="138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w w:val="97"/>
              </w:rPr>
              <w:t>Unrealized Losses</w:t>
            </w:r>
          </w:p>
        </w:tc>
        <w:tc>
          <w:tcPr>
            <w:tcW w:w="5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Fair Valu</w:t>
            </w:r>
          </w:p>
        </w:tc>
        <w:tc>
          <w:tcPr>
            <w:tcW w:w="0" w:type="dxa"/>
            <w:vAlign w:val="bottom"/>
          </w:tcPr>
          <w:p>
            <w:pPr>
              <w:spacing w:after="0"/>
              <w:rPr>
                <w:sz w:val="1"/>
                <w:szCs w:val="1"/>
                <w:color w:val="auto"/>
              </w:rPr>
            </w:pPr>
          </w:p>
        </w:tc>
      </w:tr>
      <w:tr>
        <w:trPr>
          <w:trHeight w:val="183"/>
        </w:trPr>
        <w:tc>
          <w:tcPr>
            <w:tcW w:w="3560" w:type="dxa"/>
            <w:vAlign w:val="bottom"/>
          </w:tcPr>
          <w:p>
            <w:pPr>
              <w:spacing w:after="0"/>
              <w:rPr>
                <w:sz w:val="15"/>
                <w:szCs w:val="15"/>
                <w:color w:val="auto"/>
              </w:rPr>
            </w:pPr>
          </w:p>
        </w:tc>
        <w:tc>
          <w:tcPr>
            <w:tcW w:w="1260" w:type="dxa"/>
            <w:vAlign w:val="bottom"/>
            <w:gridSpan w:val="2"/>
          </w:tcPr>
          <w:p>
            <w:pPr>
              <w:ind w:left="300"/>
              <w:spacing w:after="0"/>
              <w:rPr>
                <w:sz w:val="20"/>
                <w:szCs w:val="20"/>
                <w:color w:val="auto"/>
              </w:rPr>
            </w:pPr>
            <w:r>
              <w:rPr>
                <w:rFonts w:ascii="Arial" w:cs="Arial" w:eastAsia="Arial" w:hAnsi="Arial"/>
                <w:sz w:val="14"/>
                <w:szCs w:val="14"/>
                <w:b w:val="1"/>
                <w:bCs w:val="1"/>
                <w:color w:val="auto"/>
              </w:rPr>
              <w:t>securities</w:t>
            </w:r>
          </w:p>
        </w:tc>
        <w:tc>
          <w:tcPr>
            <w:tcW w:w="50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840" w:type="dxa"/>
            <w:vAlign w:val="bottom"/>
            <w:gridSpan w:val="4"/>
          </w:tcPr>
          <w:p>
            <w:pPr>
              <w:ind w:left="40"/>
              <w:spacing w:after="0"/>
              <w:rPr>
                <w:sz w:val="20"/>
                <w:szCs w:val="20"/>
                <w:color w:val="auto"/>
              </w:rPr>
            </w:pPr>
            <w:r>
              <w:rPr>
                <w:rFonts w:ascii="Arial" w:cs="Arial" w:eastAsia="Arial" w:hAnsi="Arial"/>
                <w:sz w:val="14"/>
                <w:szCs w:val="14"/>
                <w:b w:val="1"/>
                <w:bCs w:val="1"/>
                <w:color w:val="auto"/>
              </w:rPr>
              <w:t>Expected Credit Losses</w:t>
            </w:r>
          </w:p>
        </w:tc>
        <w:tc>
          <w:tcPr>
            <w:tcW w:w="1380" w:type="dxa"/>
            <w:vAlign w:val="bottom"/>
            <w:gridSpan w:val="3"/>
            <w:vMerge w:val="continue"/>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560" w:type="dxa"/>
            <w:vAlign w:val="bottom"/>
          </w:tcPr>
          <w:p>
            <w:pPr>
              <w:ind w:left="420"/>
              <w:spacing w:after="0" w:line="159" w:lineRule="exact"/>
              <w:rPr>
                <w:sz w:val="20"/>
                <w:szCs w:val="20"/>
                <w:color w:val="auto"/>
              </w:rPr>
            </w:pPr>
            <w:r>
              <w:rPr>
                <w:rFonts w:ascii="Arial" w:cs="Arial" w:eastAsia="Arial" w:hAnsi="Arial"/>
                <w:sz w:val="14"/>
                <w:szCs w:val="14"/>
                <w:color w:val="auto"/>
              </w:rPr>
              <w:t>Fixed maturity securities, available for sale:</w:t>
            </w:r>
          </w:p>
        </w:tc>
        <w:tc>
          <w:tcPr>
            <w:tcW w:w="11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3560" w:type="dxa"/>
            <w:vAlign w:val="bottom"/>
            <w:shd w:val="clear" w:color="auto" w:fill="CCEEFF"/>
          </w:tcPr>
          <w:p>
            <w:pPr>
              <w:ind w:left="640"/>
              <w:spacing w:after="0"/>
              <w:rPr>
                <w:sz w:val="20"/>
                <w:szCs w:val="20"/>
                <w:color w:val="auto"/>
              </w:rPr>
            </w:pPr>
            <w:r>
              <w:rPr>
                <w:rFonts w:ascii="Arial" w:cs="Arial" w:eastAsia="Arial" w:hAnsi="Arial"/>
                <w:sz w:val="14"/>
                <w:szCs w:val="14"/>
                <w:color w:val="auto"/>
              </w:rPr>
              <w:t>United States Government full faith and credit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3"/>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560" w:type="dxa"/>
            <w:vAlign w:val="bottom"/>
          </w:tcPr>
          <w:p>
            <w:pPr>
              <w:ind w:left="640"/>
              <w:spacing w:after="0"/>
              <w:rPr>
                <w:sz w:val="20"/>
                <w:szCs w:val="20"/>
                <w:color w:val="auto"/>
              </w:rPr>
            </w:pPr>
            <w:r>
              <w:rPr>
                <w:rFonts w:ascii="Arial" w:cs="Arial" w:eastAsia="Arial" w:hAnsi="Arial"/>
                <w:sz w:val="14"/>
                <w:szCs w:val="14"/>
                <w:color w:val="auto"/>
                <w:w w:val="98"/>
              </w:rPr>
              <w:t>United States Government sponsored agencies</w:t>
            </w:r>
          </w:p>
        </w:tc>
        <w:tc>
          <w:tcPr>
            <w:tcW w:w="1160" w:type="dxa"/>
            <w:vAlign w:val="bottom"/>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40" w:type="dxa"/>
            <w:vAlign w:val="bottom"/>
            <w:gridSpan w:val="3"/>
          </w:tcPr>
          <w:p>
            <w:pPr>
              <w:ind w:left="76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560" w:type="dxa"/>
            <w:vAlign w:val="bottom"/>
            <w:shd w:val="clear" w:color="auto" w:fill="CCEEFF"/>
          </w:tcPr>
          <w:p>
            <w:pPr>
              <w:ind w:left="640"/>
              <w:spacing w:after="0"/>
              <w:rPr>
                <w:sz w:val="20"/>
                <w:szCs w:val="20"/>
                <w:color w:val="auto"/>
              </w:rPr>
            </w:pPr>
            <w:r>
              <w:rPr>
                <w:rFonts w:ascii="Arial" w:cs="Arial" w:eastAsia="Arial" w:hAnsi="Arial"/>
                <w:sz w:val="14"/>
                <w:szCs w:val="14"/>
                <w:color w:val="auto"/>
                <w:w w:val="94"/>
              </w:rPr>
              <w:t>United States municipalities, states and territories</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503</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340" w:type="dxa"/>
            <w:vAlign w:val="bottom"/>
            <w:gridSpan w:val="3"/>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560" w:type="dxa"/>
            <w:vAlign w:val="bottom"/>
          </w:tcPr>
          <w:p>
            <w:pPr>
              <w:ind w:left="680"/>
              <w:spacing w:after="0"/>
              <w:rPr>
                <w:sz w:val="20"/>
                <w:szCs w:val="20"/>
                <w:color w:val="auto"/>
              </w:rPr>
            </w:pPr>
            <w:r>
              <w:rPr>
                <w:rFonts w:ascii="Arial" w:cs="Arial" w:eastAsia="Arial" w:hAnsi="Arial"/>
                <w:sz w:val="14"/>
                <w:szCs w:val="14"/>
                <w:color w:val="auto"/>
              </w:rPr>
              <w:t>Foreign Governments</w:t>
            </w:r>
          </w:p>
        </w:tc>
        <w:tc>
          <w:tcPr>
            <w:tcW w:w="116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40" w:type="dxa"/>
            <w:vAlign w:val="bottom"/>
            <w:gridSpan w:val="3"/>
          </w:tcPr>
          <w:p>
            <w:pPr>
              <w:ind w:left="76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5"/>
                <w:szCs w:val="15"/>
                <w:color w:val="auto"/>
              </w:rPr>
            </w:pPr>
          </w:p>
        </w:tc>
        <w:tc>
          <w:tcPr>
            <w:tcW w:w="80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5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Corporate securities:</w:t>
            </w: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560" w:type="dxa"/>
            <w:vAlign w:val="bottom"/>
          </w:tcPr>
          <w:p>
            <w:pPr>
              <w:ind w:left="640"/>
              <w:spacing w:after="0"/>
              <w:rPr>
                <w:sz w:val="20"/>
                <w:szCs w:val="20"/>
                <w:color w:val="auto"/>
              </w:rPr>
            </w:pPr>
            <w:r>
              <w:rPr>
                <w:rFonts w:ascii="Arial" w:cs="Arial" w:eastAsia="Arial" w:hAnsi="Arial"/>
                <w:sz w:val="14"/>
                <w:szCs w:val="14"/>
                <w:color w:val="auto"/>
              </w:rPr>
              <w:t>Finance, insurance and real estate</w:t>
            </w:r>
          </w:p>
        </w:tc>
        <w:tc>
          <w:tcPr>
            <w:tcW w:w="1160" w:type="dxa"/>
            <w:vAlign w:val="bottom"/>
          </w:tcPr>
          <w:p>
            <w:pPr>
              <w:jc w:val="right"/>
              <w:spacing w:after="0"/>
              <w:rPr>
                <w:sz w:val="20"/>
                <w:szCs w:val="20"/>
                <w:color w:val="auto"/>
              </w:rPr>
            </w:pPr>
            <w:r>
              <w:rPr>
                <w:rFonts w:ascii="Arial" w:cs="Arial" w:eastAsia="Arial" w:hAnsi="Arial"/>
                <w:sz w:val="14"/>
                <w:szCs w:val="14"/>
                <w:color w:val="auto"/>
              </w:rPr>
              <w:t>366</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1,365</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40" w:type="dxa"/>
            <w:vAlign w:val="bottom"/>
            <w:gridSpan w:val="3"/>
          </w:tcPr>
          <w:p>
            <w:pPr>
              <w:ind w:left="76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7"/>
        </w:trPr>
        <w:tc>
          <w:tcPr>
            <w:tcW w:w="3560" w:type="dxa"/>
            <w:vAlign w:val="bottom"/>
            <w:shd w:val="clear" w:color="auto" w:fill="CCEEFF"/>
          </w:tcPr>
          <w:p>
            <w:pPr>
              <w:ind w:left="640"/>
              <w:spacing w:after="0"/>
              <w:rPr>
                <w:sz w:val="20"/>
                <w:szCs w:val="20"/>
                <w:color w:val="auto"/>
              </w:rPr>
            </w:pPr>
            <w:r>
              <w:rPr>
                <w:rFonts w:ascii="Arial" w:cs="Arial" w:eastAsia="Arial" w:hAnsi="Arial"/>
                <w:sz w:val="14"/>
                <w:szCs w:val="14"/>
                <w:color w:val="auto"/>
              </w:rPr>
              <w:t>Manufacturing, construction and mining</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340" w:type="dxa"/>
            <w:vAlign w:val="bottom"/>
            <w:gridSpan w:val="3"/>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560" w:type="dxa"/>
            <w:vAlign w:val="bottom"/>
          </w:tcPr>
          <w:p>
            <w:pPr>
              <w:ind w:left="640"/>
              <w:spacing w:after="0"/>
              <w:rPr>
                <w:sz w:val="20"/>
                <w:szCs w:val="20"/>
                <w:color w:val="auto"/>
              </w:rPr>
            </w:pPr>
            <w:r>
              <w:rPr>
                <w:rFonts w:ascii="Arial" w:cs="Arial" w:eastAsia="Arial" w:hAnsi="Arial"/>
                <w:sz w:val="14"/>
                <w:szCs w:val="14"/>
                <w:color w:val="auto"/>
              </w:rPr>
              <w:t>Utilities, energy and related sectors</w:t>
            </w:r>
          </w:p>
        </w:tc>
        <w:tc>
          <w:tcPr>
            <w:tcW w:w="1160" w:type="dxa"/>
            <w:vAlign w:val="bottom"/>
          </w:tcPr>
          <w:p>
            <w:pPr>
              <w:jc w:val="right"/>
              <w:spacing w:after="0"/>
              <w:rPr>
                <w:sz w:val="20"/>
                <w:szCs w:val="20"/>
                <w:color w:val="auto"/>
              </w:rPr>
            </w:pPr>
            <w:r>
              <w:rPr>
                <w:rFonts w:ascii="Arial" w:cs="Arial" w:eastAsia="Arial" w:hAnsi="Arial"/>
                <w:sz w:val="14"/>
                <w:szCs w:val="14"/>
                <w:color w:val="auto"/>
              </w:rPr>
              <w:t>280</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1,243</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40" w:type="dxa"/>
            <w:vAlign w:val="bottom"/>
            <w:gridSpan w:val="3"/>
          </w:tcPr>
          <w:p>
            <w:pPr>
              <w:ind w:left="76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7"/>
        </w:trPr>
        <w:tc>
          <w:tcPr>
            <w:tcW w:w="3560" w:type="dxa"/>
            <w:vAlign w:val="bottom"/>
            <w:shd w:val="clear" w:color="auto" w:fill="CCEEFF"/>
          </w:tcPr>
          <w:p>
            <w:pPr>
              <w:ind w:left="640"/>
              <w:spacing w:after="0"/>
              <w:rPr>
                <w:sz w:val="20"/>
                <w:szCs w:val="20"/>
                <w:color w:val="auto"/>
              </w:rPr>
            </w:pPr>
            <w:r>
              <w:rPr>
                <w:rFonts w:ascii="Arial" w:cs="Arial" w:eastAsia="Arial" w:hAnsi="Arial"/>
                <w:sz w:val="14"/>
                <w:szCs w:val="14"/>
                <w:color w:val="auto"/>
              </w:rPr>
              <w:t>Wholesale/retail trade</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1,188</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340" w:type="dxa"/>
            <w:vAlign w:val="bottom"/>
            <w:gridSpan w:val="3"/>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2"/>
        </w:trPr>
        <w:tc>
          <w:tcPr>
            <w:tcW w:w="3560" w:type="dxa"/>
            <w:vAlign w:val="bottom"/>
          </w:tcPr>
          <w:p>
            <w:pPr>
              <w:ind w:left="640"/>
              <w:spacing w:after="0"/>
              <w:rPr>
                <w:sz w:val="20"/>
                <w:szCs w:val="20"/>
                <w:color w:val="auto"/>
              </w:rPr>
            </w:pPr>
            <w:r>
              <w:rPr>
                <w:rFonts w:ascii="Arial" w:cs="Arial" w:eastAsia="Arial" w:hAnsi="Arial"/>
                <w:sz w:val="14"/>
                <w:szCs w:val="14"/>
                <w:color w:val="auto"/>
              </w:rPr>
              <w:t>Services, media and other</w:t>
            </w:r>
          </w:p>
        </w:tc>
        <w:tc>
          <w:tcPr>
            <w:tcW w:w="1160" w:type="dxa"/>
            <w:vAlign w:val="bottom"/>
          </w:tcPr>
          <w:p>
            <w:pPr>
              <w:jc w:val="right"/>
              <w:spacing w:after="0"/>
              <w:rPr>
                <w:sz w:val="20"/>
                <w:szCs w:val="20"/>
                <w:color w:val="auto"/>
              </w:rPr>
            </w:pPr>
            <w:r>
              <w:rPr>
                <w:rFonts w:ascii="Arial" w:cs="Arial" w:eastAsia="Arial" w:hAnsi="Arial"/>
                <w:sz w:val="14"/>
                <w:szCs w:val="14"/>
                <w:color w:val="auto"/>
              </w:rPr>
              <w:t>339</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1,486</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40" w:type="dxa"/>
            <w:vAlign w:val="bottom"/>
            <w:gridSpan w:val="3"/>
          </w:tcPr>
          <w:p>
            <w:pPr>
              <w:ind w:left="76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7"/>
        </w:trPr>
        <w:tc>
          <w:tcPr>
            <w:tcW w:w="35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Hybrid securities</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340" w:type="dxa"/>
            <w:vAlign w:val="bottom"/>
            <w:gridSpan w:val="3"/>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560" w:type="dxa"/>
            <w:vAlign w:val="bottom"/>
          </w:tcPr>
          <w:p>
            <w:pPr>
              <w:ind w:left="420"/>
              <w:spacing w:after="0"/>
              <w:rPr>
                <w:sz w:val="20"/>
                <w:szCs w:val="20"/>
                <w:color w:val="auto"/>
              </w:rPr>
            </w:pPr>
            <w:r>
              <w:rPr>
                <w:rFonts w:ascii="Arial" w:cs="Arial" w:eastAsia="Arial" w:hAnsi="Arial"/>
                <w:sz w:val="14"/>
                <w:szCs w:val="14"/>
                <w:color w:val="auto"/>
                <w:w w:val="98"/>
              </w:rPr>
              <w:t>Non-agency residential mortgage backed securities</w:t>
            </w:r>
          </w:p>
        </w:tc>
        <w:tc>
          <w:tcPr>
            <w:tcW w:w="1160" w:type="dxa"/>
            <w:vAlign w:val="bottom"/>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316</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tcPr>
          <w:p>
            <w:pPr>
              <w:ind w:left="780"/>
              <w:spacing w:after="0"/>
              <w:rPr>
                <w:sz w:val="20"/>
                <w:szCs w:val="20"/>
                <w:color w:val="auto"/>
              </w:rPr>
            </w:pPr>
            <w:r>
              <w:rPr>
                <w:rFonts w:ascii="Arial" w:cs="Arial" w:eastAsia="Arial" w:hAnsi="Arial"/>
                <w:sz w:val="14"/>
                <w:szCs w:val="14"/>
                <w:color w:val="auto"/>
                <w:w w:val="93"/>
              </w:rPr>
              <w:t>(2)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5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Commercial mortgage backed securities</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616</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60" w:type="dxa"/>
            <w:vAlign w:val="bottom"/>
            <w:shd w:val="clear" w:color="auto" w:fill="CCEEFF"/>
          </w:tcPr>
          <w:p>
            <w:pPr>
              <w:ind w:left="780"/>
              <w:spacing w:after="0"/>
              <w:rPr>
                <w:sz w:val="20"/>
                <w:szCs w:val="20"/>
                <w:color w:val="auto"/>
              </w:rPr>
            </w:pPr>
            <w:r>
              <w:rPr>
                <w:rFonts w:ascii="Arial" w:cs="Arial" w:eastAsia="Arial" w:hAnsi="Arial"/>
                <w:sz w:val="14"/>
                <w:szCs w:val="14"/>
                <w:color w:val="auto"/>
                <w:w w:val="93"/>
              </w:rPr>
              <w:t>(1)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560" w:type="dxa"/>
            <w:vAlign w:val="bottom"/>
            <w:tcBorders>
              <w:bottom w:val="single" w:sz="8" w:color="CCEEFF"/>
            </w:tcBorders>
          </w:tcPr>
          <w:p>
            <w:pPr>
              <w:ind w:left="420"/>
              <w:spacing w:after="0"/>
              <w:rPr>
                <w:sz w:val="20"/>
                <w:szCs w:val="20"/>
                <w:color w:val="auto"/>
              </w:rPr>
            </w:pPr>
            <w:r>
              <w:rPr>
                <w:rFonts w:ascii="Arial" w:cs="Arial" w:eastAsia="Arial" w:hAnsi="Arial"/>
                <w:sz w:val="14"/>
                <w:szCs w:val="14"/>
                <w:color w:val="auto"/>
              </w:rPr>
              <w:t>Asset backed securities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375</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4,603</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ind w:left="780"/>
              <w:spacing w:after="0"/>
              <w:rPr>
                <w:sz w:val="20"/>
                <w:szCs w:val="20"/>
                <w:color w:val="auto"/>
              </w:rPr>
            </w:pPr>
            <w:r>
              <w:rPr>
                <w:rFonts w:ascii="Arial" w:cs="Arial" w:eastAsia="Arial" w:hAnsi="Arial"/>
                <w:sz w:val="14"/>
                <w:szCs w:val="14"/>
                <w:color w:val="auto"/>
                <w:w w:val="93"/>
              </w:rPr>
              <w:t>(2)</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12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0"/>
        </w:trPr>
        <w:tc>
          <w:tcPr>
            <w:tcW w:w="3560" w:type="dxa"/>
            <w:vAlign w:val="bottom"/>
            <w:shd w:val="clear" w:color="auto" w:fill="CCEEFF"/>
          </w:tcPr>
          <w:p>
            <w:pPr>
              <w:ind w:left="540"/>
              <w:spacing w:after="0"/>
              <w:rPr>
                <w:sz w:val="20"/>
                <w:szCs w:val="20"/>
                <w:color w:val="auto"/>
              </w:rPr>
            </w:pPr>
            <w:r>
              <w:rPr>
                <w:rFonts w:ascii="Arial" w:cs="Arial" w:eastAsia="Arial" w:hAnsi="Arial"/>
                <w:sz w:val="14"/>
                <w:szCs w:val="14"/>
                <w:b w:val="1"/>
                <w:bCs w:val="1"/>
                <w:color w:val="auto"/>
                <w:w w:val="95"/>
              </w:rPr>
              <w:t>Total fixed maturity available for sale securities</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2,036</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11,709</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60" w:type="dxa"/>
            <w:vAlign w:val="bottom"/>
            <w:shd w:val="clear" w:color="auto" w:fill="CCEEFF"/>
          </w:tcPr>
          <w:p>
            <w:pPr>
              <w:ind w:left="780"/>
              <w:spacing w:after="0"/>
              <w:rPr>
                <w:sz w:val="20"/>
                <w:szCs w:val="20"/>
                <w:color w:val="auto"/>
              </w:rPr>
            </w:pPr>
            <w:r>
              <w:rPr>
                <w:rFonts w:ascii="Arial" w:cs="Arial" w:eastAsia="Arial" w:hAnsi="Arial"/>
                <w:sz w:val="14"/>
                <w:szCs w:val="14"/>
                <w:color w:val="auto"/>
                <w:w w:val="93"/>
              </w:rPr>
              <w:t>(5)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2"/>
        </w:trPr>
        <w:tc>
          <w:tcPr>
            <w:tcW w:w="3560" w:type="dxa"/>
            <w:vAlign w:val="bottom"/>
          </w:tcPr>
          <w:p>
            <w:pPr>
              <w:ind w:left="420"/>
              <w:spacing w:after="0"/>
              <w:rPr>
                <w:sz w:val="20"/>
                <w:szCs w:val="20"/>
                <w:color w:val="auto"/>
              </w:rPr>
            </w:pPr>
            <w:r>
              <w:rPr>
                <w:rFonts w:ascii="Arial" w:cs="Arial" w:eastAsia="Arial" w:hAnsi="Arial"/>
                <w:sz w:val="14"/>
                <w:szCs w:val="14"/>
                <w:color w:val="auto"/>
              </w:rPr>
              <w:t>Equity securities</w:t>
            </w:r>
          </w:p>
        </w:tc>
        <w:tc>
          <w:tcPr>
            <w:tcW w:w="116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259</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40" w:type="dxa"/>
            <w:vAlign w:val="bottom"/>
            <w:gridSpan w:val="3"/>
          </w:tcPr>
          <w:p>
            <w:pPr>
              <w:ind w:left="76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56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Arial" w:cs="Arial" w:eastAsia="Arial" w:hAnsi="Arial"/>
                <w:sz w:val="14"/>
                <w:szCs w:val="14"/>
                <w:b w:val="1"/>
                <w:bCs w:val="1"/>
                <w:color w:val="auto"/>
              </w:rPr>
              <w:t>Total investments</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11,968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ind w:left="780"/>
              <w:spacing w:after="0"/>
              <w:rPr>
                <w:sz w:val="20"/>
                <w:szCs w:val="20"/>
                <w:color w:val="auto"/>
              </w:rPr>
            </w:pPr>
            <w:r>
              <w:rPr>
                <w:rFonts w:ascii="Arial" w:cs="Arial" w:eastAsia="Arial" w:hAnsi="Arial"/>
                <w:sz w:val="14"/>
                <w:szCs w:val="14"/>
                <w:color w:val="auto"/>
                <w:w w:val="93"/>
              </w:rPr>
              <w:t>(5)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The gross unrealized loss position on the fixed maturity available-for-sale fixed and equity portfolio was $3,658 million and $249 million as of June 30, 2022 and December 31, 2021, respectively. Most components of the portfolio exhibited price depreciation caused by higher treasury rates and wider spreads. The total amortized cost of all securities in an unrealized loss position was $29,663 million and $11,968 million as of June 30, 2022 and December 31, 2021, respectively. The average market value/book value of the investment category with the largest unrealized loss position was 80% for Services, media and other as of June 30, 2022. In the aggregate, Services, media and other represented 17% of the total unrealized loss position as of June 30, 2022. The average market value/book value of the investment category with the largest unrealized loss position was 96% for Utilities, energy and related sectors as of December 31, 2021. In aggregate, Utilities, energy and related sectors represented 18% of the total unrealized loss position as of December 31, 2021.</w:t>
      </w:r>
    </w:p>
    <w:p>
      <w:pPr>
        <w:spacing w:after="0" w:line="79"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color w:val="auto"/>
        </w:rPr>
        <w:t>The amortized cost and fair value of fixed maturity available for sale securities under watch list analysis and the number of months in a loss position with investment grade securities (NRSRO rating of BBB/Baa or higher) as of June 30, 2022 and December 31, 2021, were as follows (dollars in millions):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5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0"/>
              </w:rPr>
              <w:t>June 30, 2022</w:t>
            </w:r>
          </w:p>
        </w:tc>
        <w:tc>
          <w:tcPr>
            <w:tcW w:w="10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4500" w:type="dxa"/>
            <w:vAlign w:val="bottom"/>
          </w:tcPr>
          <w:p>
            <w:pPr>
              <w:spacing w:after="0"/>
              <w:rPr>
                <w:sz w:val="11"/>
                <w:szCs w:val="11"/>
                <w:color w:val="auto"/>
              </w:rPr>
            </w:pPr>
          </w:p>
        </w:tc>
        <w:tc>
          <w:tcPr>
            <w:tcW w:w="1000" w:type="dxa"/>
            <w:vAlign w:val="bottom"/>
          </w:tcPr>
          <w:p>
            <w:pPr>
              <w:jc w:val="center"/>
              <w:ind w:left="190"/>
              <w:spacing w:after="0" w:line="130" w:lineRule="exact"/>
              <w:rPr>
                <w:sz w:val="20"/>
                <w:szCs w:val="20"/>
                <w:color w:val="auto"/>
              </w:rPr>
            </w:pPr>
            <w:r>
              <w:rPr>
                <w:rFonts w:ascii="Arial" w:cs="Arial" w:eastAsia="Arial" w:hAnsi="Arial"/>
                <w:sz w:val="14"/>
                <w:szCs w:val="14"/>
                <w:b w:val="1"/>
                <w:bCs w:val="1"/>
                <w:color w:val="auto"/>
                <w:w w:val="94"/>
              </w:rPr>
              <w:t>Number of</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Amortized Cost</w:t>
            </w:r>
          </w:p>
        </w:tc>
        <w:tc>
          <w:tcPr>
            <w:tcW w:w="160" w:type="dxa"/>
            <w:vAlign w:val="bottom"/>
          </w:tcPr>
          <w:p>
            <w:pPr>
              <w:spacing w:after="0"/>
              <w:rPr>
                <w:sz w:val="11"/>
                <w:szCs w:val="11"/>
                <w:color w:val="auto"/>
              </w:rPr>
            </w:pPr>
          </w:p>
        </w:tc>
        <w:tc>
          <w:tcPr>
            <w:tcW w:w="12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Fair Value</w:t>
            </w:r>
          </w:p>
        </w:tc>
        <w:tc>
          <w:tcPr>
            <w:tcW w:w="1040" w:type="dxa"/>
            <w:vAlign w:val="bottom"/>
          </w:tcPr>
          <w:p>
            <w:pPr>
              <w:jc w:val="right"/>
              <w:spacing w:after="0" w:line="130" w:lineRule="exact"/>
              <w:rPr>
                <w:sz w:val="20"/>
                <w:szCs w:val="20"/>
                <w:color w:val="auto"/>
              </w:rPr>
            </w:pPr>
            <w:r>
              <w:rPr>
                <w:rFonts w:ascii="Arial" w:cs="Arial" w:eastAsia="Arial" w:hAnsi="Arial"/>
                <w:sz w:val="14"/>
                <w:szCs w:val="14"/>
                <w:b w:val="1"/>
                <w:bCs w:val="1"/>
                <w:color w:val="auto"/>
              </w:rPr>
              <w:t>Allowance for</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ind w:right="50"/>
              <w:spacing w:after="0" w:line="130" w:lineRule="exact"/>
              <w:rPr>
                <w:sz w:val="20"/>
                <w:szCs w:val="20"/>
                <w:color w:val="auto"/>
              </w:rPr>
            </w:pPr>
            <w:r>
              <w:rPr>
                <w:rFonts w:ascii="Arial" w:cs="Arial" w:eastAsia="Arial" w:hAnsi="Arial"/>
                <w:sz w:val="14"/>
                <w:szCs w:val="14"/>
                <w:b w:val="1"/>
                <w:bCs w:val="1"/>
                <w:color w:val="auto"/>
                <w:w w:val="88"/>
              </w:rPr>
              <w:t>Gross Unrealized</w:t>
            </w:r>
          </w:p>
        </w:tc>
        <w:tc>
          <w:tcPr>
            <w:tcW w:w="0" w:type="dxa"/>
            <w:vAlign w:val="bottom"/>
          </w:tcPr>
          <w:p>
            <w:pPr>
              <w:spacing w:after="0"/>
              <w:rPr>
                <w:sz w:val="1"/>
                <w:szCs w:val="1"/>
                <w:color w:val="auto"/>
              </w:rPr>
            </w:pPr>
          </w:p>
        </w:tc>
      </w:tr>
      <w:tr>
        <w:trPr>
          <w:trHeight w:val="184"/>
        </w:trPr>
        <w:tc>
          <w:tcPr>
            <w:tcW w:w="4500" w:type="dxa"/>
            <w:vAlign w:val="bottom"/>
          </w:tcPr>
          <w:p>
            <w:pPr>
              <w:spacing w:after="0"/>
              <w:rPr>
                <w:sz w:val="15"/>
                <w:szCs w:val="15"/>
                <w:color w:val="auto"/>
              </w:rPr>
            </w:pPr>
          </w:p>
        </w:tc>
        <w:tc>
          <w:tcPr>
            <w:tcW w:w="1000" w:type="dxa"/>
            <w:vAlign w:val="bottom"/>
          </w:tcPr>
          <w:p>
            <w:pPr>
              <w:jc w:val="center"/>
              <w:ind w:left="210"/>
              <w:spacing w:after="0"/>
              <w:rPr>
                <w:sz w:val="20"/>
                <w:szCs w:val="20"/>
                <w:color w:val="auto"/>
              </w:rPr>
            </w:pPr>
            <w:r>
              <w:rPr>
                <w:rFonts w:ascii="Arial" w:cs="Arial" w:eastAsia="Arial" w:hAnsi="Arial"/>
                <w:sz w:val="14"/>
                <w:szCs w:val="14"/>
                <w:b w:val="1"/>
                <w:bCs w:val="1"/>
                <w:color w:val="auto"/>
                <w:w w:val="85"/>
              </w:rPr>
              <w:t>securities</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040" w:type="dxa"/>
            <w:vAlign w:val="bottom"/>
          </w:tcPr>
          <w:p>
            <w:pPr>
              <w:jc w:val="right"/>
              <w:ind w:right="10"/>
              <w:spacing w:after="0"/>
              <w:rPr>
                <w:sz w:val="20"/>
                <w:szCs w:val="20"/>
                <w:color w:val="auto"/>
              </w:rPr>
            </w:pPr>
            <w:r>
              <w:rPr>
                <w:rFonts w:ascii="Arial" w:cs="Arial" w:eastAsia="Arial" w:hAnsi="Arial"/>
                <w:sz w:val="14"/>
                <w:szCs w:val="14"/>
                <w:b w:val="1"/>
                <w:bCs w:val="1"/>
                <w:color w:val="auto"/>
              </w:rPr>
              <w:t>Credit Loss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ind w:right="370"/>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165"/>
        </w:trPr>
        <w:tc>
          <w:tcPr>
            <w:tcW w:w="4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Investment grade:</w:t>
            </w:r>
          </w:p>
        </w:tc>
        <w:tc>
          <w:tcPr>
            <w:tcW w:w="100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500" w:type="dxa"/>
            <w:vAlign w:val="bottom"/>
            <w:gridSpan w:val="2"/>
          </w:tcPr>
          <w:p>
            <w:pPr>
              <w:ind w:left="20"/>
              <w:spacing w:after="0"/>
              <w:rPr>
                <w:sz w:val="20"/>
                <w:szCs w:val="20"/>
                <w:color w:val="auto"/>
              </w:rPr>
            </w:pPr>
            <w:r>
              <w:rPr>
                <w:rFonts w:ascii="Arial" w:cs="Arial" w:eastAsia="Arial" w:hAnsi="Arial"/>
                <w:sz w:val="14"/>
                <w:szCs w:val="14"/>
                <w:color w:val="auto"/>
              </w:rPr>
              <w:t>Less than six months</w:t>
            </w:r>
          </w:p>
        </w:tc>
        <w:tc>
          <w:tcPr>
            <w:tcW w:w="26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117</w:t>
            </w:r>
          </w:p>
        </w:tc>
        <w:tc>
          <w:tcPr>
            <w:tcW w:w="12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94</w:t>
            </w:r>
          </w:p>
        </w:tc>
        <w:tc>
          <w:tcPr>
            <w:tcW w:w="120" w:type="dxa"/>
            <w:vAlign w:val="bottom"/>
          </w:tcPr>
          <w:p>
            <w:pPr>
              <w:spacing w:after="0"/>
              <w:rPr>
                <w:sz w:val="15"/>
                <w:szCs w:val="15"/>
                <w:color w:val="auto"/>
              </w:rPr>
            </w:pPr>
          </w:p>
        </w:tc>
        <w:tc>
          <w:tcPr>
            <w:tcW w:w="1040" w:type="dxa"/>
            <w:vAlign w:val="bottom"/>
          </w:tcPr>
          <w:p>
            <w:pPr>
              <w:jc w:val="right"/>
              <w:ind w:right="890"/>
              <w:spacing w:after="0"/>
              <w:rPr>
                <w:sz w:val="20"/>
                <w:szCs w:val="20"/>
                <w:color w:val="auto"/>
              </w:rPr>
            </w:pPr>
            <w:r>
              <w:rPr>
                <w:rFonts w:ascii="Arial" w:cs="Arial" w:eastAsia="Arial" w:hAnsi="Arial"/>
                <w:sz w:val="14"/>
                <w:szCs w:val="14"/>
                <w:color w:val="auto"/>
                <w:w w:val="76"/>
              </w:rPr>
              <w:t>$</w:t>
            </w:r>
          </w:p>
        </w:tc>
        <w:tc>
          <w:tcPr>
            <w:tcW w:w="320" w:type="dxa"/>
            <w:vAlign w:val="bottom"/>
            <w:gridSpan w:val="2"/>
          </w:tcPr>
          <w:p>
            <w:pPr>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87"/>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Six months or more and less than twelve months</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82"/>
        </w:trPr>
        <w:tc>
          <w:tcPr>
            <w:tcW w:w="5500" w:type="dxa"/>
            <w:vAlign w:val="bottom"/>
            <w:gridSpan w:val="2"/>
          </w:tcPr>
          <w:p>
            <w:pPr>
              <w:ind w:left="20"/>
              <w:spacing w:after="0"/>
              <w:rPr>
                <w:sz w:val="20"/>
                <w:szCs w:val="20"/>
                <w:color w:val="auto"/>
              </w:rPr>
            </w:pPr>
            <w:r>
              <w:rPr>
                <w:rFonts w:ascii="Arial" w:cs="Arial" w:eastAsia="Arial" w:hAnsi="Arial"/>
                <w:sz w:val="14"/>
                <w:szCs w:val="14"/>
                <w:color w:val="auto"/>
              </w:rPr>
              <w:t>Twelve months or greater</w:t>
            </w:r>
          </w:p>
        </w:tc>
        <w:tc>
          <w:tcPr>
            <w:tcW w:w="26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267</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187</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gridSpan w:val="2"/>
          </w:tcPr>
          <w:p>
            <w:pP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77"/>
        </w:trPr>
        <w:tc>
          <w:tcPr>
            <w:tcW w:w="45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 investment grade</w:t>
            </w:r>
          </w:p>
        </w:tc>
        <w:tc>
          <w:tcPr>
            <w:tcW w:w="1000" w:type="dxa"/>
            <w:vAlign w:val="bottom"/>
            <w:tcBorders>
              <w:top w:val="single" w:sz="8" w:color="auto"/>
              <w:bottom w:val="single" w:sz="8" w:color="auto"/>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572</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408</w:t>
            </w:r>
          </w:p>
        </w:tc>
        <w:tc>
          <w:tcPr>
            <w:tcW w:w="12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180"/>
        </w:trPr>
        <w:tc>
          <w:tcPr>
            <w:tcW w:w="4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Below investment grade:</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500" w:type="dxa"/>
            <w:vAlign w:val="bottom"/>
            <w:gridSpan w:val="2"/>
          </w:tcPr>
          <w:p>
            <w:pPr>
              <w:ind w:left="20"/>
              <w:spacing w:after="0"/>
              <w:rPr>
                <w:sz w:val="20"/>
                <w:szCs w:val="20"/>
                <w:color w:val="auto"/>
              </w:rPr>
            </w:pPr>
            <w:r>
              <w:rPr>
                <w:rFonts w:ascii="Arial" w:cs="Arial" w:eastAsia="Arial" w:hAnsi="Arial"/>
                <w:sz w:val="14"/>
                <w:szCs w:val="14"/>
                <w:color w:val="auto"/>
              </w:rPr>
              <w:t>Less than six months</w:t>
            </w:r>
          </w:p>
        </w:tc>
        <w:tc>
          <w:tcPr>
            <w:tcW w:w="260" w:type="dxa"/>
            <w:vAlign w:val="bottom"/>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gridSpan w:val="2"/>
          </w:tcPr>
          <w:p>
            <w:pP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87"/>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Six months or more and less than twelve months</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2"/>
        </w:trPr>
        <w:tc>
          <w:tcPr>
            <w:tcW w:w="5500" w:type="dxa"/>
            <w:vAlign w:val="bottom"/>
            <w:gridSpan w:val="2"/>
          </w:tcPr>
          <w:p>
            <w:pPr>
              <w:ind w:left="20"/>
              <w:spacing w:after="0"/>
              <w:rPr>
                <w:sz w:val="20"/>
                <w:szCs w:val="20"/>
                <w:color w:val="auto"/>
              </w:rPr>
            </w:pPr>
            <w:r>
              <w:rPr>
                <w:rFonts w:ascii="Arial" w:cs="Arial" w:eastAsia="Arial" w:hAnsi="Arial"/>
                <w:sz w:val="14"/>
                <w:szCs w:val="14"/>
                <w:color w:val="auto"/>
              </w:rPr>
              <w:t>Twelve months or greater</w:t>
            </w:r>
          </w:p>
        </w:tc>
        <w:tc>
          <w:tcPr>
            <w:tcW w:w="26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gridSpan w:val="2"/>
          </w:tcPr>
          <w:p>
            <w:pP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0"/>
        </w:trPr>
        <w:tc>
          <w:tcPr>
            <w:tcW w:w="45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 below investment grade</w:t>
            </w:r>
          </w:p>
        </w:tc>
        <w:tc>
          <w:tcPr>
            <w:tcW w:w="1000" w:type="dxa"/>
            <w:vAlign w:val="bottom"/>
            <w:tcBorders>
              <w:top w:val="single" w:sz="8" w:color="auto"/>
              <w:bottom w:val="single" w:sz="8" w:color="auto"/>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2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77"/>
        </w:trPr>
        <w:tc>
          <w:tcPr>
            <w:tcW w:w="550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jc w:val="right"/>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664</w:t>
            </w:r>
          </w:p>
        </w:tc>
        <w:tc>
          <w:tcPr>
            <w:tcW w:w="12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476</w:t>
            </w:r>
          </w:p>
        </w:tc>
        <w:tc>
          <w:tcPr>
            <w:tcW w:w="120" w:type="dxa"/>
            <w:vAlign w:val="bottom"/>
          </w:tcPr>
          <w:p>
            <w:pPr>
              <w:spacing w:after="0"/>
              <w:rPr>
                <w:sz w:val="15"/>
                <w:szCs w:val="15"/>
                <w:color w:val="auto"/>
              </w:rPr>
            </w:pPr>
          </w:p>
        </w:tc>
        <w:tc>
          <w:tcPr>
            <w:tcW w:w="1040" w:type="dxa"/>
            <w:vAlign w:val="bottom"/>
          </w:tcPr>
          <w:p>
            <w:pPr>
              <w:jc w:val="right"/>
              <w:ind w:right="890"/>
              <w:spacing w:after="0"/>
              <w:rPr>
                <w:sz w:val="20"/>
                <w:szCs w:val="20"/>
                <w:color w:val="auto"/>
              </w:rPr>
            </w:pPr>
            <w:r>
              <w:rPr>
                <w:rFonts w:ascii="Arial" w:cs="Arial" w:eastAsia="Arial" w:hAnsi="Arial"/>
                <w:sz w:val="14"/>
                <w:szCs w:val="14"/>
                <w:color w:val="auto"/>
                <w:w w:val="76"/>
              </w:rPr>
              <w:t>$</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(188)</w:t>
            </w:r>
          </w:p>
        </w:tc>
        <w:tc>
          <w:tcPr>
            <w:tcW w:w="0" w:type="dxa"/>
            <w:vAlign w:val="bottom"/>
          </w:tcPr>
          <w:p>
            <w:pPr>
              <w:spacing w:after="0"/>
              <w:rPr>
                <w:sz w:val="1"/>
                <w:szCs w:val="1"/>
                <w:color w:val="auto"/>
              </w:rPr>
            </w:pPr>
          </w:p>
        </w:tc>
      </w:tr>
      <w:tr>
        <w:trPr>
          <w:trHeight w:val="20"/>
        </w:trPr>
        <w:tc>
          <w:tcPr>
            <w:tcW w:w="450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5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0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0"/>
              </w:rPr>
              <w:t>December 31, 2021</w:t>
            </w: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4500" w:type="dxa"/>
            <w:vAlign w:val="bottom"/>
            <w:shd w:val="clear" w:color="auto" w:fill="CCEEFF"/>
          </w:tcPr>
          <w:p>
            <w:pPr>
              <w:spacing w:after="0"/>
              <w:rPr>
                <w:sz w:val="10"/>
                <w:szCs w:val="10"/>
                <w:color w:val="auto"/>
              </w:rPr>
            </w:pPr>
          </w:p>
        </w:tc>
        <w:tc>
          <w:tcPr>
            <w:tcW w:w="1000" w:type="dxa"/>
            <w:vAlign w:val="bottom"/>
            <w:shd w:val="clear" w:color="auto" w:fill="CCEEFF"/>
          </w:tcPr>
          <w:p>
            <w:pPr>
              <w:jc w:val="center"/>
              <w:ind w:left="190"/>
              <w:spacing w:after="0" w:line="125" w:lineRule="exact"/>
              <w:rPr>
                <w:sz w:val="20"/>
                <w:szCs w:val="20"/>
                <w:color w:val="auto"/>
              </w:rPr>
            </w:pPr>
            <w:r>
              <w:rPr>
                <w:rFonts w:ascii="Arial" w:cs="Arial" w:eastAsia="Arial" w:hAnsi="Arial"/>
                <w:sz w:val="14"/>
                <w:szCs w:val="14"/>
                <w:b w:val="1"/>
                <w:bCs w:val="1"/>
                <w:color w:val="auto"/>
                <w:w w:val="94"/>
              </w:rPr>
              <w:t>Number of</w:t>
            </w: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4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Amortized Cost</w:t>
            </w:r>
          </w:p>
        </w:tc>
        <w:tc>
          <w:tcPr>
            <w:tcW w:w="200" w:type="dxa"/>
            <w:vAlign w:val="bottom"/>
            <w:shd w:val="clear" w:color="auto" w:fill="CCEEFF"/>
          </w:tcPr>
          <w:p>
            <w:pPr>
              <w:spacing w:after="0"/>
              <w:rPr>
                <w:sz w:val="10"/>
                <w:szCs w:val="10"/>
                <w:color w:val="auto"/>
              </w:rPr>
            </w:pPr>
          </w:p>
        </w:tc>
        <w:tc>
          <w:tcPr>
            <w:tcW w:w="1180" w:type="dxa"/>
            <w:vAlign w:val="bottom"/>
            <w:gridSpan w:val="2"/>
            <w:vMerge w:val="restart"/>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w w:val="92"/>
              </w:rPr>
              <w:t>Fair Value</w:t>
            </w:r>
          </w:p>
        </w:tc>
        <w:tc>
          <w:tcPr>
            <w:tcW w:w="140" w:type="dxa"/>
            <w:vAlign w:val="bottom"/>
            <w:shd w:val="clear" w:color="auto" w:fill="CCEEFF"/>
          </w:tcPr>
          <w:p>
            <w:pPr>
              <w:spacing w:after="0"/>
              <w:rPr>
                <w:sz w:val="10"/>
                <w:szCs w:val="10"/>
                <w:color w:val="auto"/>
              </w:rPr>
            </w:pPr>
          </w:p>
        </w:tc>
        <w:tc>
          <w:tcPr>
            <w:tcW w:w="1220" w:type="dxa"/>
            <w:vAlign w:val="bottom"/>
            <w:gridSpan w:val="2"/>
            <w:shd w:val="clear" w:color="auto" w:fill="CCEEFF"/>
          </w:tcPr>
          <w:p>
            <w:pPr>
              <w:ind w:left="60"/>
              <w:spacing w:after="0" w:line="125" w:lineRule="exact"/>
              <w:rPr>
                <w:sz w:val="20"/>
                <w:szCs w:val="20"/>
                <w:color w:val="auto"/>
              </w:rPr>
            </w:pPr>
            <w:r>
              <w:rPr>
                <w:rFonts w:ascii="Arial" w:cs="Arial" w:eastAsia="Arial" w:hAnsi="Arial"/>
                <w:sz w:val="14"/>
                <w:szCs w:val="14"/>
                <w:b w:val="1"/>
                <w:bCs w:val="1"/>
                <w:color w:val="auto"/>
              </w:rPr>
              <w:t>Allowance for</w:t>
            </w:r>
          </w:p>
        </w:tc>
        <w:tc>
          <w:tcPr>
            <w:tcW w:w="100" w:type="dxa"/>
            <w:vAlign w:val="bottom"/>
            <w:shd w:val="clear" w:color="auto" w:fill="CCEEFF"/>
          </w:tcPr>
          <w:p>
            <w:pPr>
              <w:spacing w:after="0"/>
              <w:rPr>
                <w:sz w:val="10"/>
                <w:szCs w:val="10"/>
                <w:color w:val="auto"/>
              </w:rPr>
            </w:pPr>
          </w:p>
        </w:tc>
        <w:tc>
          <w:tcPr>
            <w:tcW w:w="1160" w:type="dxa"/>
            <w:vAlign w:val="bottom"/>
            <w:shd w:val="clear" w:color="auto" w:fill="CCEEFF"/>
          </w:tcPr>
          <w:p>
            <w:pPr>
              <w:ind w:left="20"/>
              <w:spacing w:after="0" w:line="125" w:lineRule="exact"/>
              <w:rPr>
                <w:sz w:val="20"/>
                <w:szCs w:val="20"/>
                <w:color w:val="auto"/>
              </w:rPr>
            </w:pPr>
            <w:r>
              <w:rPr>
                <w:rFonts w:ascii="Arial" w:cs="Arial" w:eastAsia="Arial" w:hAnsi="Arial"/>
                <w:sz w:val="14"/>
                <w:szCs w:val="14"/>
                <w:b w:val="1"/>
                <w:bCs w:val="1"/>
                <w:color w:val="auto"/>
                <w:w w:val="97"/>
              </w:rPr>
              <w:t>Gross Unrealized</w:t>
            </w:r>
          </w:p>
        </w:tc>
        <w:tc>
          <w:tcPr>
            <w:tcW w:w="0" w:type="dxa"/>
            <w:vAlign w:val="bottom"/>
          </w:tcPr>
          <w:p>
            <w:pPr>
              <w:spacing w:after="0"/>
              <w:rPr>
                <w:sz w:val="1"/>
                <w:szCs w:val="1"/>
                <w:color w:val="auto"/>
              </w:rPr>
            </w:pPr>
          </w:p>
        </w:tc>
      </w:tr>
      <w:tr>
        <w:trPr>
          <w:trHeight w:val="184"/>
        </w:trPr>
        <w:tc>
          <w:tcPr>
            <w:tcW w:w="4500" w:type="dxa"/>
            <w:vAlign w:val="bottom"/>
            <w:shd w:val="clear" w:color="auto" w:fill="CCEEFF"/>
          </w:tcPr>
          <w:p>
            <w:pPr>
              <w:spacing w:after="0"/>
              <w:rPr>
                <w:sz w:val="16"/>
                <w:szCs w:val="16"/>
                <w:color w:val="auto"/>
              </w:rPr>
            </w:pPr>
          </w:p>
        </w:tc>
        <w:tc>
          <w:tcPr>
            <w:tcW w:w="1000" w:type="dxa"/>
            <w:vAlign w:val="bottom"/>
            <w:shd w:val="clear" w:color="auto" w:fill="CCEEFF"/>
          </w:tcPr>
          <w:p>
            <w:pPr>
              <w:jc w:val="center"/>
              <w:ind w:left="210"/>
              <w:spacing w:after="0"/>
              <w:rPr>
                <w:sz w:val="20"/>
                <w:szCs w:val="20"/>
                <w:color w:val="auto"/>
              </w:rPr>
            </w:pPr>
            <w:r>
              <w:rPr>
                <w:rFonts w:ascii="Arial" w:cs="Arial" w:eastAsia="Arial" w:hAnsi="Arial"/>
                <w:sz w:val="14"/>
                <w:szCs w:val="14"/>
                <w:b w:val="1"/>
                <w:bCs w:val="1"/>
                <w:color w:val="auto"/>
                <w:w w:val="85"/>
              </w:rPr>
              <w:t>securities</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Credit Loss</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ind w:left="340"/>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164"/>
        </w:trPr>
        <w:tc>
          <w:tcPr>
            <w:tcW w:w="4500" w:type="dxa"/>
            <w:vAlign w:val="bottom"/>
          </w:tcPr>
          <w:p>
            <w:pPr>
              <w:ind w:left="20"/>
              <w:spacing w:after="0"/>
              <w:rPr>
                <w:sz w:val="20"/>
                <w:szCs w:val="20"/>
                <w:color w:val="auto"/>
              </w:rPr>
            </w:pPr>
            <w:r>
              <w:rPr>
                <w:rFonts w:ascii="Arial" w:cs="Arial" w:eastAsia="Arial" w:hAnsi="Arial"/>
                <w:sz w:val="14"/>
                <w:szCs w:val="14"/>
                <w:b w:val="1"/>
                <w:bCs w:val="1"/>
                <w:color w:val="auto"/>
              </w:rPr>
              <w:t>Investment grade:</w:t>
            </w:r>
          </w:p>
        </w:tc>
        <w:tc>
          <w:tcPr>
            <w:tcW w:w="100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Less than six months</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ind w:left="980"/>
              <w:spacing w:after="0"/>
              <w:rPr>
                <w:sz w:val="20"/>
                <w:szCs w:val="20"/>
                <w:color w:val="auto"/>
              </w:rPr>
            </w:pPr>
            <w:r>
              <w:rPr>
                <w:rFonts w:ascii="Arial" w:cs="Arial" w:eastAsia="Arial" w:hAnsi="Arial"/>
                <w:sz w:val="14"/>
                <w:szCs w:val="14"/>
                <w:color w:val="auto"/>
                <w:w w:val="93"/>
              </w:rPr>
              <w:t>(3)</w:t>
            </w:r>
          </w:p>
        </w:tc>
        <w:tc>
          <w:tcPr>
            <w:tcW w:w="0" w:type="dxa"/>
            <w:vAlign w:val="bottom"/>
          </w:tcPr>
          <w:p>
            <w:pPr>
              <w:spacing w:after="0"/>
              <w:rPr>
                <w:sz w:val="1"/>
                <w:szCs w:val="1"/>
                <w:color w:val="auto"/>
              </w:rPr>
            </w:pPr>
          </w:p>
        </w:tc>
      </w:tr>
      <w:tr>
        <w:trPr>
          <w:trHeight w:val="182"/>
        </w:trPr>
        <w:tc>
          <w:tcPr>
            <w:tcW w:w="5500" w:type="dxa"/>
            <w:vAlign w:val="bottom"/>
            <w:gridSpan w:val="2"/>
          </w:tcPr>
          <w:p>
            <w:pPr>
              <w:ind w:left="20"/>
              <w:spacing w:after="0"/>
              <w:rPr>
                <w:sz w:val="20"/>
                <w:szCs w:val="20"/>
                <w:color w:val="auto"/>
              </w:rPr>
            </w:pPr>
            <w:r>
              <w:rPr>
                <w:rFonts w:ascii="Arial" w:cs="Arial" w:eastAsia="Arial" w:hAnsi="Arial"/>
                <w:sz w:val="14"/>
                <w:szCs w:val="14"/>
                <w:color w:val="auto"/>
              </w:rPr>
              <w:t>Six months or more and less than twelve months</w:t>
            </w:r>
          </w:p>
        </w:tc>
        <w:tc>
          <w:tcPr>
            <w:tcW w:w="26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60" w:type="dxa"/>
            <w:vAlign w:val="bottom"/>
          </w:tcPr>
          <w:p>
            <w:pPr>
              <w:ind w:left="980"/>
              <w:spacing w:after="0"/>
              <w:rPr>
                <w:sz w:val="20"/>
                <w:szCs w:val="20"/>
                <w:color w:val="auto"/>
              </w:rPr>
            </w:pPr>
            <w:r>
              <w:rPr>
                <w:rFonts w:ascii="Arial" w:cs="Arial" w:eastAsia="Arial" w:hAnsi="Arial"/>
                <w:sz w:val="14"/>
                <w:szCs w:val="14"/>
                <w:color w:val="auto"/>
                <w:w w:val="93"/>
              </w:rPr>
              <w:t>(2)</w:t>
            </w:r>
          </w:p>
        </w:tc>
        <w:tc>
          <w:tcPr>
            <w:tcW w:w="0" w:type="dxa"/>
            <w:vAlign w:val="bottom"/>
          </w:tcPr>
          <w:p>
            <w:pPr>
              <w:spacing w:after="0"/>
              <w:rPr>
                <w:sz w:val="1"/>
                <w:szCs w:val="1"/>
                <w:color w:val="auto"/>
              </w:rPr>
            </w:pPr>
          </w:p>
        </w:tc>
      </w:tr>
      <w:tr>
        <w:trPr>
          <w:trHeight w:val="187"/>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Twelve months or greater</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45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Total investment grade</w:t>
            </w:r>
          </w:p>
        </w:tc>
        <w:tc>
          <w:tcPr>
            <w:tcW w:w="100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116</w:t>
            </w:r>
          </w:p>
        </w:tc>
        <w:tc>
          <w:tcPr>
            <w:tcW w:w="12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111</w:t>
            </w:r>
          </w:p>
        </w:tc>
        <w:tc>
          <w:tcPr>
            <w:tcW w:w="12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ind w:left="980"/>
              <w:spacing w:after="0"/>
              <w:rPr>
                <w:sz w:val="20"/>
                <w:szCs w:val="20"/>
                <w:color w:val="auto"/>
              </w:rPr>
            </w:pPr>
            <w:r>
              <w:rPr>
                <w:rFonts w:ascii="Arial" w:cs="Arial" w:eastAsia="Arial" w:hAnsi="Arial"/>
                <w:sz w:val="14"/>
                <w:szCs w:val="14"/>
                <w:color w:val="auto"/>
                <w:w w:val="93"/>
              </w:rPr>
              <w:t>(5)</w:t>
            </w:r>
          </w:p>
        </w:tc>
        <w:tc>
          <w:tcPr>
            <w:tcW w:w="0" w:type="dxa"/>
            <w:vAlign w:val="bottom"/>
          </w:tcPr>
          <w:p>
            <w:pPr>
              <w:spacing w:after="0"/>
              <w:rPr>
                <w:sz w:val="1"/>
                <w:szCs w:val="1"/>
                <w:color w:val="auto"/>
              </w:rPr>
            </w:pPr>
          </w:p>
        </w:tc>
      </w:tr>
      <w:tr>
        <w:trPr>
          <w:trHeight w:val="180"/>
        </w:trPr>
        <w:tc>
          <w:tcPr>
            <w:tcW w:w="45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500" w:type="dxa"/>
            <w:vAlign w:val="bottom"/>
            <w:gridSpan w:val="2"/>
          </w:tcPr>
          <w:p>
            <w:pPr>
              <w:ind w:left="20"/>
              <w:spacing w:after="0"/>
              <w:rPr>
                <w:sz w:val="20"/>
                <w:szCs w:val="20"/>
                <w:color w:val="auto"/>
              </w:rPr>
            </w:pPr>
            <w:r>
              <w:rPr>
                <w:rFonts w:ascii="Arial" w:cs="Arial" w:eastAsia="Arial" w:hAnsi="Arial"/>
                <w:sz w:val="14"/>
                <w:szCs w:val="14"/>
                <w:b w:val="1"/>
                <w:bCs w:val="1"/>
                <w:color w:val="auto"/>
              </w:rPr>
              <w:t>Below investment grade:</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Less than six months</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5500" w:type="dxa"/>
            <w:vAlign w:val="bottom"/>
            <w:gridSpan w:val="2"/>
          </w:tcPr>
          <w:p>
            <w:pPr>
              <w:ind w:left="20"/>
              <w:spacing w:after="0"/>
              <w:rPr>
                <w:sz w:val="20"/>
                <w:szCs w:val="20"/>
                <w:color w:val="auto"/>
              </w:rPr>
            </w:pPr>
            <w:r>
              <w:rPr>
                <w:rFonts w:ascii="Arial" w:cs="Arial" w:eastAsia="Arial" w:hAnsi="Arial"/>
                <w:sz w:val="14"/>
                <w:szCs w:val="14"/>
                <w:color w:val="auto"/>
              </w:rPr>
              <w:t>Six months or more and less than twelve months</w:t>
            </w: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2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60" w:type="dxa"/>
            <w:vAlign w:val="bottom"/>
          </w:tcPr>
          <w:p>
            <w:pPr>
              <w:ind w:left="9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Twelve months or greater</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ind w:left="980"/>
              <w:spacing w:after="0"/>
              <w:rPr>
                <w:sz w:val="20"/>
                <w:szCs w:val="20"/>
                <w:color w:val="auto"/>
              </w:rPr>
            </w:pPr>
            <w:r>
              <w:rPr>
                <w:rFonts w:ascii="Arial" w:cs="Arial" w:eastAsia="Arial" w:hAnsi="Arial"/>
                <w:sz w:val="14"/>
                <w:szCs w:val="14"/>
                <w:color w:val="auto"/>
                <w:w w:val="93"/>
              </w:rPr>
              <w:t>(2)</w:t>
            </w:r>
          </w:p>
        </w:tc>
        <w:tc>
          <w:tcPr>
            <w:tcW w:w="0" w:type="dxa"/>
            <w:vAlign w:val="bottom"/>
          </w:tcPr>
          <w:p>
            <w:pPr>
              <w:spacing w:after="0"/>
              <w:rPr>
                <w:sz w:val="1"/>
                <w:szCs w:val="1"/>
                <w:color w:val="auto"/>
              </w:rPr>
            </w:pPr>
          </w:p>
        </w:tc>
      </w:tr>
      <w:tr>
        <w:trPr>
          <w:trHeight w:val="175"/>
        </w:trPr>
        <w:tc>
          <w:tcPr>
            <w:tcW w:w="45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Total below investment grade</w:t>
            </w:r>
          </w:p>
        </w:tc>
        <w:tc>
          <w:tcPr>
            <w:tcW w:w="100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2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2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ind w:left="980"/>
              <w:spacing w:after="0"/>
              <w:rPr>
                <w:sz w:val="20"/>
                <w:szCs w:val="20"/>
                <w:color w:val="auto"/>
              </w:rPr>
            </w:pPr>
            <w:r>
              <w:rPr>
                <w:rFonts w:ascii="Arial" w:cs="Arial" w:eastAsia="Arial" w:hAnsi="Arial"/>
                <w:sz w:val="14"/>
                <w:szCs w:val="14"/>
                <w:color w:val="auto"/>
                <w:w w:val="93"/>
              </w:rPr>
              <w:t>(2)</w:t>
            </w:r>
          </w:p>
        </w:tc>
        <w:tc>
          <w:tcPr>
            <w:tcW w:w="0" w:type="dxa"/>
            <w:vAlign w:val="bottom"/>
          </w:tcPr>
          <w:p>
            <w:pPr>
              <w:spacing w:after="0"/>
              <w:rPr>
                <w:sz w:val="1"/>
                <w:szCs w:val="1"/>
                <w:color w:val="auto"/>
              </w:rPr>
            </w:pPr>
          </w:p>
        </w:tc>
      </w:tr>
      <w:tr>
        <w:trPr>
          <w:trHeight w:val="200"/>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ind w:left="980"/>
              <w:spacing w:after="0"/>
              <w:rPr>
                <w:sz w:val="20"/>
                <w:szCs w:val="20"/>
                <w:color w:val="auto"/>
              </w:rPr>
            </w:pPr>
            <w:r>
              <w:rPr>
                <w:rFonts w:ascii="Arial" w:cs="Arial" w:eastAsia="Arial" w:hAnsi="Arial"/>
                <w:sz w:val="14"/>
                <w:szCs w:val="14"/>
                <w:color w:val="auto"/>
                <w:w w:val="93"/>
              </w:rPr>
              <w:t>(7)</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Expected Credit Losses and Watch List</w:t>
      </w:r>
    </w:p>
    <w:p>
      <w:pPr>
        <w:spacing w:after="0" w:line="15" w:lineRule="exact"/>
        <w:rPr>
          <w:sz w:val="20"/>
          <w:szCs w:val="20"/>
          <w:color w:val="auto"/>
        </w:rPr>
      </w:pPr>
    </w:p>
    <w:p>
      <w:pPr>
        <w:jc w:val="both"/>
        <w:ind w:firstLine="395"/>
        <w:spacing w:after="0" w:line="283" w:lineRule="auto"/>
        <w:rPr>
          <w:sz w:val="20"/>
          <w:szCs w:val="20"/>
          <w:color w:val="auto"/>
        </w:rPr>
      </w:pPr>
      <w:r>
        <w:rPr>
          <w:rFonts w:ascii="Arial" w:cs="Arial" w:eastAsia="Arial" w:hAnsi="Arial"/>
          <w:sz w:val="16"/>
          <w:szCs w:val="16"/>
          <w:color w:val="auto"/>
        </w:rPr>
        <w:t>F&amp;G prepares a watch list to identify securities to evaluate for expected credit losses. Factors used in preparing the watch list include fair values relative to amortized cost, ratings and negative ratings actions and other factors. Detailed analysis is performed for each security on the watch list to further assess the presence of credit impairment loss indicators and, where present, calculate an allowance for expected credit loss or direct write-down of a security’s amortized cost. At June 30, 2022, our watch list included sixty-eight securities in an unrealized loss position with an amortized cost of $664 million, allowance for expected credit losses of $0 million, unrealized losses of $188 million and a fair value of $476 million.</w:t>
      </w:r>
    </w:p>
    <w:p>
      <w:pPr>
        <w:spacing w:after="0" w:line="88"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At December 31, 2021, our watch list included seven securities in an unrealized loss position with an amortized cost of $132 million, allowance for expected credit losses of $0 million, unrealized losses of $7 million and a fair value of $125 million.</w:t>
      </w:r>
    </w:p>
    <w:p>
      <w:pPr>
        <w:spacing w:after="0" w:line="8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watch list excludes structured securities as we have separate processes to evaluate the credit quality on the structured securities.</w:t>
      </w:r>
    </w:p>
    <w:p>
      <w:pPr>
        <w:spacing w:after="0" w:line="122"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There were 25 and 36 structured securities with a fair value of $21 million and $45 million to which we had potential credit exposure as of June 30, 2022 and December 31, 2021, respectively. Our analysis of these structured securities, which included cash flow testing, resulted in allowances for expected credit losses of $5 million and $8 million as of June 30, 2022 and December 31, 2021, respectively.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Exposure to Sovereign Debt</w:t>
      </w:r>
    </w:p>
    <w:p>
      <w:pPr>
        <w:spacing w:after="0" w:line="161" w:lineRule="exact"/>
        <w:rPr>
          <w:sz w:val="20"/>
          <w:szCs w:val="20"/>
          <w:color w:val="auto"/>
        </w:rPr>
      </w:pPr>
    </w:p>
    <w:p>
      <w:pPr>
        <w:jc w:val="both"/>
        <w:ind w:firstLine="316"/>
        <w:spacing w:after="0" w:line="261" w:lineRule="auto"/>
        <w:rPr>
          <w:sz w:val="20"/>
          <w:szCs w:val="20"/>
          <w:color w:val="auto"/>
        </w:rPr>
      </w:pPr>
      <w:r>
        <w:rPr>
          <w:rFonts w:ascii="Arial" w:cs="Arial" w:eastAsia="Arial" w:hAnsi="Arial"/>
          <w:sz w:val="18"/>
          <w:szCs w:val="18"/>
          <w:color w:val="auto"/>
        </w:rPr>
        <w:t>There have been no material changes in the exposure to sovereign debt described in our Annual Report on Form 10-K for the year ended December 31, 2021.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Investment Income</w:t>
      </w:r>
    </w:p>
    <w:p>
      <w:pPr>
        <w:spacing w:after="0" w:line="175"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For discussion regarding our net investment income and net investment gains (losses) refer to Note D to the unaudited Condensed Consolidated Financial Statements included in Item 1 of Part I of this Report.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AFS Securities</w:t>
      </w:r>
    </w:p>
    <w:p>
      <w:pPr>
        <w:spacing w:after="0" w:line="122"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For additional information regarding our AFS securities, including the amortized cost, gross unrealized gains (losses), and fair value as well as the amortized cost and fair value of fixed maturity AFS securities by contractual maturities, as of June 30, 2022 and December 31, 2021, refer to Note D to the unaudited Condensed Consolidated Financial Statements included in Item 1 of Part I of this Report.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Financial Instruments</w:t>
      </w:r>
    </w:p>
    <w:p>
      <w:pPr>
        <w:spacing w:after="0" w:line="240" w:lineRule="exact"/>
        <w:rPr>
          <w:sz w:val="20"/>
          <w:szCs w:val="20"/>
          <w:color w:val="auto"/>
        </w:rPr>
      </w:pPr>
    </w:p>
    <w:p>
      <w:pPr>
        <w:ind w:right="700" w:firstLine="316"/>
        <w:spacing w:after="0" w:line="261" w:lineRule="auto"/>
        <w:rPr>
          <w:sz w:val="20"/>
          <w:szCs w:val="20"/>
          <w:color w:val="auto"/>
        </w:rPr>
      </w:pPr>
      <w:r>
        <w:rPr>
          <w:rFonts w:ascii="Arial" w:cs="Arial" w:eastAsia="Arial" w:hAnsi="Arial"/>
          <w:sz w:val="18"/>
          <w:szCs w:val="18"/>
          <w:color w:val="auto"/>
        </w:rPr>
        <w:t>For certain information regarding our concentrations of financial instruments, refer to Note D to the unaudited Condensed Consolidated Financial Statements included in Item 1 of Part I of this Report.</w:t>
      </w:r>
    </w:p>
    <w:p>
      <w:pPr>
        <w:spacing w:after="0" w:line="129" w:lineRule="exact"/>
        <w:rPr>
          <w:sz w:val="20"/>
          <w:szCs w:val="20"/>
          <w:color w:val="auto"/>
        </w:rPr>
      </w:pPr>
    </w:p>
    <w:p>
      <w:pPr>
        <w:jc w:val="both"/>
        <w:ind w:firstLine="316"/>
        <w:spacing w:after="0" w:line="261" w:lineRule="auto"/>
        <w:rPr>
          <w:sz w:val="20"/>
          <w:szCs w:val="20"/>
          <w:color w:val="auto"/>
        </w:rPr>
      </w:pPr>
      <w:r>
        <w:rPr>
          <w:rFonts w:ascii="Arial" w:cs="Arial" w:eastAsia="Arial" w:hAnsi="Arial"/>
          <w:sz w:val="18"/>
          <w:szCs w:val="18"/>
          <w:color w:val="auto"/>
        </w:rPr>
        <w:t>There have been no other material changes in the concentrations of financial instruments described in our Annual Report on Form 10-K for the year ended December 31, 2021.</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122"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We are exposed to credit loss in the event of nonperformance by our counterparties on call options. We attempt to reduce this credit risk by purchasing such options from large, well-established financial institutions.</w:t>
      </w:r>
    </w:p>
    <w:p>
      <w:pPr>
        <w:spacing w:after="0" w:line="102"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We also hold cash and cash equivalents received from counterparties for call option collateral, as well as U.S. Government securities pledged as call option collateral, if our counterparty’s net exposures exceed pre-determined thresholds.</w:t>
      </w:r>
    </w:p>
    <w:p>
      <w:pPr>
        <w:spacing w:after="0" w:line="89"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We are required to pay counterparties the effective federal funds rate each day for cash collateral posted to F&amp;G for daily mark to market margin changes. We reduce the negative interest cost associated with cash collateral posted from counterparties under various ISDA agreements by reinvesting derivative cash collateral. This program permits collateral cash received to be invested in short term Treasury securities, bank deposits and commercial paper rated A1/P1, which are included in Cash and cash equivalents in the accompanying unaudited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right="100" w:firstLine="395"/>
        <w:spacing w:after="0" w:line="261" w:lineRule="auto"/>
        <w:rPr>
          <w:sz w:val="20"/>
          <w:szCs w:val="20"/>
          <w:color w:val="auto"/>
        </w:rPr>
      </w:pPr>
      <w:r>
        <w:rPr>
          <w:rFonts w:ascii="Arial" w:cs="Arial" w:eastAsia="Arial" w:hAnsi="Arial"/>
          <w:sz w:val="18"/>
          <w:szCs w:val="18"/>
          <w:color w:val="auto"/>
        </w:rPr>
        <w:t>See Note E to the unaudited Condensed Consolidated Financial Statements included in Item 1 of Part I of this Report for additional information regarding our derivatives and our exposure to credit loss on call options.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15" w:lineRule="exact"/>
        <w:rPr>
          <w:sz w:val="20"/>
          <w:szCs w:val="20"/>
          <w:color w:val="auto"/>
        </w:rPr>
      </w:pPr>
    </w:p>
    <w:p>
      <w:pPr>
        <w:jc w:val="both"/>
        <w:ind w:right="100" w:firstLine="237"/>
        <w:spacing w:after="0" w:line="309" w:lineRule="auto"/>
        <w:rPr>
          <w:sz w:val="20"/>
          <w:szCs w:val="20"/>
          <w:color w:val="auto"/>
        </w:rPr>
      </w:pPr>
      <w:r>
        <w:rPr>
          <w:rFonts w:ascii="Arial" w:cs="Arial" w:eastAsia="Arial" w:hAnsi="Arial"/>
          <w:sz w:val="16"/>
          <w:szCs w:val="16"/>
          <w:color w:val="auto"/>
        </w:rPr>
        <w:t>The Corporate and Other segment consists of the operations of the parent holding company and our real estate technology subsidiaries. This segment also includes certain other unallocated corporate overhead expenses and eliminations of revenues and expenses between it and our Title segment.</w:t>
      </w:r>
    </w:p>
    <w:p>
      <w:pPr>
        <w:spacing w:after="0" w:line="4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presents the results of operations of our Corporate and Other segment (in millions):</w:t>
      </w:r>
    </w:p>
    <w:p>
      <w:pPr>
        <w:spacing w:after="0" w:line="138" w:lineRule="exact"/>
        <w:rPr>
          <w:sz w:val="20"/>
          <w:szCs w:val="20"/>
          <w:color w:val="auto"/>
        </w:rPr>
      </w:pPr>
    </w:p>
    <w:tbl>
      <w:tblPr>
        <w:tblLayout w:type="fixed"/>
        <w:tblInd w:w="240" w:type="dxa"/>
        <w:tblCellMar>
          <w:top w:w="0" w:type="dxa"/>
          <w:left w:w="0" w:type="dxa"/>
          <w:bottom w:w="0" w:type="dxa"/>
          <w:right w:w="0" w:type="dxa"/>
        </w:tblCellMar>
      </w:tblPr>
      <w:tr>
        <w:trPr>
          <w:trHeight w:val="188"/>
        </w:trPr>
        <w:tc>
          <w:tcPr>
            <w:tcW w:w="4880" w:type="dxa"/>
            <w:vAlign w:val="bottom"/>
          </w:tcPr>
          <w:p>
            <w:pPr>
              <w:spacing w:after="0"/>
              <w:rPr>
                <w:sz w:val="16"/>
                <w:szCs w:val="16"/>
                <w:color w:val="auto"/>
              </w:rPr>
            </w:pPr>
          </w:p>
        </w:tc>
        <w:tc>
          <w:tcPr>
            <w:tcW w:w="2660" w:type="dxa"/>
            <w:vAlign w:val="bottom"/>
            <w:tcBorders>
              <w:bottom w:val="single" w:sz="8" w:color="auto"/>
            </w:tcBorders>
            <w:gridSpan w:val="4"/>
          </w:tcPr>
          <w:p>
            <w:pPr>
              <w:jc w:val="right"/>
              <w:ind w:right="58"/>
              <w:spacing w:after="0"/>
              <w:rPr>
                <w:sz w:val="20"/>
                <w:szCs w:val="20"/>
                <w:color w:val="auto"/>
              </w:rPr>
            </w:pPr>
            <w:r>
              <w:rPr>
                <w:rFonts w:ascii="Arial" w:cs="Arial" w:eastAsia="Arial" w:hAnsi="Arial"/>
                <w:sz w:val="14"/>
                <w:szCs w:val="14"/>
                <w:b w:val="1"/>
                <w:bCs w:val="1"/>
                <w:color w:val="auto"/>
              </w:rPr>
              <w:t>Three months ended June 30,</w:t>
            </w:r>
          </w:p>
        </w:tc>
        <w:tc>
          <w:tcPr>
            <w:tcW w:w="4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1"/>
        </w:trPr>
        <w:tc>
          <w:tcPr>
            <w:tcW w:w="4880" w:type="dxa"/>
            <w:vAlign w:val="bottom"/>
          </w:tcPr>
          <w:p>
            <w:pPr>
              <w:spacing w:after="0"/>
              <w:rPr>
                <w:sz w:val="15"/>
                <w:szCs w:val="15"/>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8"/>
        </w:trPr>
        <w:tc>
          <w:tcPr>
            <w:tcW w:w="4880" w:type="dxa"/>
            <w:vAlign w:val="bottom"/>
          </w:tcPr>
          <w:p>
            <w:pPr>
              <w:ind w:left="260"/>
              <w:spacing w:after="0"/>
              <w:rPr>
                <w:sz w:val="20"/>
                <w:szCs w:val="20"/>
                <w:color w:val="auto"/>
              </w:rPr>
            </w:pPr>
            <w:r>
              <w:rPr>
                <w:rFonts w:ascii="Arial" w:cs="Arial" w:eastAsia="Arial" w:hAnsi="Arial"/>
                <w:sz w:val="18"/>
                <w:szCs w:val="18"/>
                <w:color w:val="auto"/>
              </w:rPr>
              <w:t>Revenues:</w:t>
            </w: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8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Escrow, title-related and other fees</w:t>
            </w:r>
          </w:p>
        </w:tc>
        <w:tc>
          <w:tcPr>
            <w:tcW w:w="1060" w:type="dxa"/>
            <w:vAlign w:val="bottom"/>
            <w:shd w:val="clear" w:color="auto" w:fill="CCEEFF"/>
          </w:tcPr>
          <w:p>
            <w:pPr>
              <w:jc w:val="right"/>
              <w:ind w:right="641"/>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658"/>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3"/>
        </w:trPr>
        <w:tc>
          <w:tcPr>
            <w:tcW w:w="4880" w:type="dxa"/>
            <w:vAlign w:val="bottom"/>
          </w:tcPr>
          <w:p>
            <w:pPr>
              <w:ind w:left="460"/>
              <w:spacing w:after="0"/>
              <w:rPr>
                <w:sz w:val="20"/>
                <w:szCs w:val="20"/>
                <w:color w:val="auto"/>
              </w:rPr>
            </w:pPr>
            <w:r>
              <w:rPr>
                <w:rFonts w:ascii="Arial" w:cs="Arial" w:eastAsia="Arial" w:hAnsi="Arial"/>
                <w:sz w:val="18"/>
                <w:szCs w:val="18"/>
                <w:color w:val="auto"/>
              </w:rPr>
              <w:t>Interest and investment income</w:t>
            </w:r>
          </w:p>
        </w:tc>
        <w:tc>
          <w:tcPr>
            <w:tcW w:w="10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48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Recognized gains and losses, net</w:t>
            </w:r>
          </w:p>
        </w:tc>
        <w:tc>
          <w:tcPr>
            <w:tcW w:w="10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7"/>
        </w:trPr>
        <w:tc>
          <w:tcPr>
            <w:tcW w:w="4880" w:type="dxa"/>
            <w:vAlign w:val="bottom"/>
          </w:tcPr>
          <w:p>
            <w:pPr>
              <w:ind w:left="740"/>
              <w:spacing w:after="0"/>
              <w:rPr>
                <w:sz w:val="20"/>
                <w:szCs w:val="20"/>
                <w:color w:val="auto"/>
              </w:rPr>
            </w:pPr>
            <w:r>
              <w:rPr>
                <w:rFonts w:ascii="Arial" w:cs="Arial" w:eastAsia="Arial" w:hAnsi="Arial"/>
                <w:sz w:val="18"/>
                <w:szCs w:val="18"/>
                <w:color w:val="auto"/>
              </w:rPr>
              <w:t>Total revenues</w:t>
            </w:r>
          </w:p>
        </w:tc>
        <w:tc>
          <w:tcPr>
            <w:tcW w:w="10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4"/>
        </w:trPr>
        <w:tc>
          <w:tcPr>
            <w:tcW w:w="48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Expenses:</w:t>
            </w:r>
          </w:p>
        </w:tc>
        <w:tc>
          <w:tcPr>
            <w:tcW w:w="10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80" w:type="dxa"/>
            <w:vAlign w:val="bottom"/>
          </w:tcPr>
          <w:p>
            <w:pPr>
              <w:ind w:left="460"/>
              <w:spacing w:after="0"/>
              <w:rPr>
                <w:sz w:val="20"/>
                <w:szCs w:val="20"/>
                <w:color w:val="auto"/>
              </w:rPr>
            </w:pPr>
            <w:r>
              <w:rPr>
                <w:rFonts w:ascii="Arial" w:cs="Arial" w:eastAsia="Arial" w:hAnsi="Arial"/>
                <w:sz w:val="18"/>
                <w:szCs w:val="18"/>
                <w:color w:val="auto"/>
              </w:rPr>
              <w:t>Personnel costs</w:t>
            </w:r>
          </w:p>
        </w:tc>
        <w:tc>
          <w:tcPr>
            <w:tcW w:w="10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4"/>
        </w:trPr>
        <w:tc>
          <w:tcPr>
            <w:tcW w:w="48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Other operating expenses</w:t>
            </w:r>
          </w:p>
        </w:tc>
        <w:tc>
          <w:tcPr>
            <w:tcW w:w="10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3"/>
        </w:trPr>
        <w:tc>
          <w:tcPr>
            <w:tcW w:w="4880" w:type="dxa"/>
            <w:vAlign w:val="bottom"/>
          </w:tcPr>
          <w:p>
            <w:pPr>
              <w:ind w:left="460"/>
              <w:spacing w:after="0"/>
              <w:rPr>
                <w:sz w:val="20"/>
                <w:szCs w:val="20"/>
                <w:color w:val="auto"/>
              </w:rPr>
            </w:pPr>
            <w:r>
              <w:rPr>
                <w:rFonts w:ascii="Arial" w:cs="Arial" w:eastAsia="Arial" w:hAnsi="Arial"/>
                <w:sz w:val="18"/>
                <w:szCs w:val="18"/>
                <w:color w:val="auto"/>
              </w:rPr>
              <w:t>Depreciation and amortization</w:t>
            </w:r>
          </w:p>
        </w:tc>
        <w:tc>
          <w:tcPr>
            <w:tcW w:w="10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4"/>
        </w:trPr>
        <w:tc>
          <w:tcPr>
            <w:tcW w:w="48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Interest expense</w:t>
            </w:r>
          </w:p>
        </w:tc>
        <w:tc>
          <w:tcPr>
            <w:tcW w:w="10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7"/>
        </w:trPr>
        <w:tc>
          <w:tcPr>
            <w:tcW w:w="4880" w:type="dxa"/>
            <w:vAlign w:val="bottom"/>
            <w:tcBorders>
              <w:bottom w:val="single" w:sz="8" w:color="CCEEFF"/>
            </w:tcBorders>
          </w:tcPr>
          <w:p>
            <w:pPr>
              <w:ind w:left="740"/>
              <w:spacing w:after="0"/>
              <w:rPr>
                <w:sz w:val="20"/>
                <w:szCs w:val="20"/>
                <w:color w:val="auto"/>
              </w:rPr>
            </w:pPr>
            <w:r>
              <w:rPr>
                <w:rFonts w:ascii="Arial" w:cs="Arial" w:eastAsia="Arial" w:hAnsi="Arial"/>
                <w:sz w:val="18"/>
                <w:szCs w:val="18"/>
                <w:color w:val="auto"/>
              </w:rPr>
              <w:t>Total expenses</w:t>
            </w:r>
          </w:p>
        </w:tc>
        <w:tc>
          <w:tcPr>
            <w:tcW w:w="10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6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152"/>
        </w:trPr>
        <w:tc>
          <w:tcPr>
            <w:tcW w:w="4880" w:type="dxa"/>
            <w:vAlign w:val="bottom"/>
            <w:shd w:val="clear" w:color="auto" w:fill="CCEEFF"/>
          </w:tcPr>
          <w:p>
            <w:pPr>
              <w:ind w:left="260"/>
              <w:spacing w:after="0" w:line="152" w:lineRule="exact"/>
              <w:rPr>
                <w:sz w:val="20"/>
                <w:szCs w:val="20"/>
                <w:color w:val="auto"/>
              </w:rPr>
            </w:pPr>
            <w:r>
              <w:rPr>
                <w:rFonts w:ascii="Arial" w:cs="Arial" w:eastAsia="Arial" w:hAnsi="Arial"/>
                <w:sz w:val="16"/>
                <w:szCs w:val="16"/>
                <w:color w:val="auto"/>
              </w:rPr>
              <w:t>Loss from continuing operations, before income taxes and equity</w:t>
            </w:r>
          </w:p>
        </w:tc>
        <w:tc>
          <w:tcPr>
            <w:tcW w:w="1060" w:type="dxa"/>
            <w:vAlign w:val="bottom"/>
            <w:vMerge w:val="restart"/>
            <w:shd w:val="clear" w:color="auto" w:fill="CCEEFF"/>
          </w:tcPr>
          <w:p>
            <w:pPr>
              <w:jc w:val="right"/>
              <w:ind w:right="641"/>
              <w:spacing w:after="0"/>
              <w:rPr>
                <w:sz w:val="20"/>
                <w:szCs w:val="20"/>
                <w:color w:val="auto"/>
              </w:rPr>
            </w:pPr>
            <w:r>
              <w:rPr>
                <w:rFonts w:ascii="Arial" w:cs="Arial" w:eastAsia="Arial" w:hAnsi="Arial"/>
                <w:sz w:val="18"/>
                <w:szCs w:val="18"/>
                <w:color w:val="auto"/>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ind w:right="658"/>
              <w:spacing w:after="0"/>
              <w:rPr>
                <w:sz w:val="20"/>
                <w:szCs w:val="20"/>
                <w:color w:val="auto"/>
              </w:rPr>
            </w:pPr>
            <w:r>
              <w:rPr>
                <w:rFonts w:ascii="Arial" w:cs="Arial" w:eastAsia="Arial" w:hAnsi="Arial"/>
                <w:sz w:val="18"/>
                <w:szCs w:val="18"/>
                <w:color w:val="auto"/>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6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7"/>
        </w:trPr>
        <w:tc>
          <w:tcPr>
            <w:tcW w:w="48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in earnings of unconsolidated affiliates</w:t>
            </w: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4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4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vMerge w:val="continue"/>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3" w:lineRule="exact"/>
        <w:rPr>
          <w:sz w:val="20"/>
          <w:szCs w:val="20"/>
          <w:color w:val="auto"/>
        </w:rPr>
      </w:pPr>
    </w:p>
    <w:p>
      <w:pPr>
        <w:jc w:val="both"/>
        <w:ind w:right="100" w:firstLine="237"/>
        <w:spacing w:after="0" w:line="261" w:lineRule="auto"/>
        <w:rPr>
          <w:sz w:val="20"/>
          <w:szCs w:val="20"/>
          <w:color w:val="auto"/>
        </w:rPr>
      </w:pPr>
      <w:r>
        <w:rPr>
          <w:rFonts w:ascii="Arial" w:cs="Arial" w:eastAsia="Arial" w:hAnsi="Arial"/>
          <w:sz w:val="18"/>
          <w:szCs w:val="18"/>
          <w:color w:val="auto"/>
        </w:rPr>
        <w:t>The revenue in the Corporate and Other segment represents revenue generated by our non-title real estate technology subsidiaries as well as mark-to-market valuation changes on certain corporate deferred compensation plans.</w:t>
      </w:r>
    </w:p>
    <w:p>
      <w:pPr>
        <w:spacing w:after="0" w:line="76" w:lineRule="exact"/>
        <w:rPr>
          <w:sz w:val="20"/>
          <w:szCs w:val="20"/>
          <w:color w:val="auto"/>
        </w:rPr>
      </w:pPr>
    </w:p>
    <w:p>
      <w:pPr>
        <w:jc w:val="both"/>
        <w:ind w:right="100" w:firstLine="237"/>
        <w:spacing w:after="0" w:line="287" w:lineRule="auto"/>
        <w:rPr>
          <w:sz w:val="20"/>
          <w:szCs w:val="20"/>
          <w:color w:val="auto"/>
        </w:rPr>
      </w:pPr>
      <w:r>
        <w:rPr>
          <w:rFonts w:ascii="Arial" w:cs="Arial" w:eastAsia="Arial" w:hAnsi="Arial"/>
          <w:sz w:val="16"/>
          <w:szCs w:val="16"/>
          <w:color w:val="auto"/>
        </w:rPr>
        <w:t>Total revenues in the Corporate and Other segment decreased $46 million, or 82%, in the three months ended June 30, 2022 and decreased $54 million, or 55% in the six months ended June 30, 2022 from the corresponding periods in 2021. The decrease in the three-month period is primarily attributable to a decrease in valuations associated with our deferred compensation plan assets of $44 million when compared to the corresponding period in 2021. The decrease in the six-month period is primarily attributable to decreases in valuations associated with our deferred compensation plan assets of $60 million, partially offset by other immaterial items when compared to the corresponding period in 2021.</w:t>
      </w:r>
    </w:p>
    <w:p>
      <w:pPr>
        <w:spacing w:after="0" w:line="58" w:lineRule="exact"/>
        <w:rPr>
          <w:sz w:val="20"/>
          <w:szCs w:val="20"/>
          <w:color w:val="auto"/>
        </w:rPr>
      </w:pPr>
    </w:p>
    <w:p>
      <w:pPr>
        <w:jc w:val="both"/>
        <w:ind w:right="100" w:firstLine="237"/>
        <w:spacing w:after="0" w:line="250" w:lineRule="auto"/>
        <w:rPr>
          <w:sz w:val="20"/>
          <w:szCs w:val="20"/>
          <w:color w:val="auto"/>
        </w:rPr>
      </w:pPr>
      <w:r>
        <w:rPr>
          <w:rFonts w:ascii="Arial" w:cs="Arial" w:eastAsia="Arial" w:hAnsi="Arial"/>
          <w:sz w:val="18"/>
          <w:szCs w:val="18"/>
          <w:color w:val="auto"/>
        </w:rPr>
        <w:t>Personnel costs in the Corporate and Other segment decreased $48 million, or 150%, in the three months ended June 30, 2022, and decreased $60 million, or 98% in the six months ended June 30, 2022 from the corresponding periods in 2021. The decreases in the three and six-month periods were primarily attributable to the aforementioned decreases in valuations associated with our deferred compensation plan assets, which decreased both revenue and personnel costs.</w:t>
      </w:r>
    </w:p>
    <w:p>
      <w:pPr>
        <w:spacing w:after="0" w:line="85" w:lineRule="exact"/>
        <w:rPr>
          <w:sz w:val="20"/>
          <w:szCs w:val="20"/>
          <w:color w:val="auto"/>
        </w:rPr>
      </w:pPr>
    </w:p>
    <w:p>
      <w:pPr>
        <w:jc w:val="both"/>
        <w:ind w:right="100" w:firstLine="237"/>
        <w:spacing w:after="0" w:line="252" w:lineRule="auto"/>
        <w:rPr>
          <w:sz w:val="20"/>
          <w:szCs w:val="20"/>
          <w:color w:val="auto"/>
        </w:rPr>
      </w:pPr>
      <w:r>
        <w:rPr>
          <w:rFonts w:ascii="Arial" w:cs="Arial" w:eastAsia="Arial" w:hAnsi="Arial"/>
          <w:sz w:val="18"/>
          <w:szCs w:val="18"/>
          <w:color w:val="auto"/>
        </w:rPr>
        <w:t>Other operating expenses in the Corporate and Other segment decreased $8 million, or 32%, in the three months ended June 30, 2022 and decreased $6 million, or 12% in the six months ended June 30, 2022 from the corresponding periods in 2021. The decreases in the three and six-month periods were attributable to various immaterial items.</w:t>
      </w:r>
    </w:p>
    <w:p>
      <w:pPr>
        <w:spacing w:after="0" w:line="85" w:lineRule="exact"/>
        <w:rPr>
          <w:sz w:val="20"/>
          <w:szCs w:val="20"/>
          <w:color w:val="auto"/>
        </w:rPr>
      </w:pPr>
    </w:p>
    <w:p>
      <w:pPr>
        <w:jc w:val="both"/>
        <w:ind w:right="100" w:firstLine="237"/>
        <w:spacing w:after="0" w:line="252" w:lineRule="auto"/>
        <w:rPr>
          <w:sz w:val="20"/>
          <w:szCs w:val="20"/>
          <w:color w:val="auto"/>
        </w:rPr>
      </w:pPr>
      <w:r>
        <w:rPr>
          <w:rFonts w:ascii="Arial" w:cs="Arial" w:eastAsia="Arial" w:hAnsi="Arial"/>
          <w:sz w:val="18"/>
          <w:szCs w:val="18"/>
          <w:color w:val="auto"/>
        </w:rPr>
        <w:t>Interest expense in the Corporate and Other segment increased $1 million, or 5%, in the three months ended June 30, 2022 and increased $3 million or 7%, in the six months ended June 30, 2022 from the corresponding periods in 2021. The increases were primarily attributable to increased average debt outstanding in the three and six months ended June 30, 2022 from the corresponding periods in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5" w:lineRule="exact"/>
        <w:rPr>
          <w:sz w:val="20"/>
          <w:szCs w:val="20"/>
          <w:color w:val="auto"/>
        </w:rPr>
      </w:pPr>
    </w:p>
    <w:p>
      <w:pPr>
        <w:jc w:val="both"/>
        <w:ind w:firstLine="316"/>
        <w:spacing w:after="0" w:line="284" w:lineRule="auto"/>
        <w:rPr>
          <w:sz w:val="20"/>
          <w:szCs w:val="20"/>
          <w:color w:val="auto"/>
        </w:rPr>
      </w:pPr>
      <w:r>
        <w:rPr>
          <w:rFonts w:ascii="Arial" w:cs="Arial" w:eastAsia="Arial" w:hAnsi="Arial"/>
          <w:sz w:val="16"/>
          <w:szCs w:val="16"/>
          <w:i w:val="1"/>
          <w:iCs w:val="1"/>
          <w:color w:val="auto"/>
        </w:rPr>
        <w:t xml:space="preserve">Cash Requirements. </w:t>
      </w:r>
      <w:r>
        <w:rPr>
          <w:rFonts w:ascii="Arial" w:cs="Arial" w:eastAsia="Arial" w:hAnsi="Arial"/>
          <w:sz w:val="16"/>
          <w:szCs w:val="16"/>
          <w:color w:val="auto"/>
        </w:rPr>
        <w:t>Our current cash requirements include personnel costs, operating expenses, claim payments, taxes, payments of interest and principal</w:t>
      </w:r>
      <w:r>
        <w:rPr>
          <w:rFonts w:ascii="Arial" w:cs="Arial" w:eastAsia="Arial" w:hAnsi="Arial"/>
          <w:sz w:val="16"/>
          <w:szCs w:val="16"/>
          <w:i w:val="1"/>
          <w:iCs w:val="1"/>
          <w:color w:val="auto"/>
        </w:rPr>
        <w:t xml:space="preserve"> </w:t>
      </w:r>
      <w:r>
        <w:rPr>
          <w:rFonts w:ascii="Arial" w:cs="Arial" w:eastAsia="Arial" w:hAnsi="Arial"/>
          <w:sz w:val="16"/>
          <w:szCs w:val="16"/>
          <w:color w:val="auto"/>
        </w:rPr>
        <w:t>on our debt, capital expenditures, business acquisitions, stock repurchases and dividends on our common stock. We paid dividends of $0.44 per share in the second quarter of 2022, or approximately $122 million to our common shareholders. On August 2, 2022, our Board of Directors declared cash dividends of $0.44 per share, payable on September 30, 2022, to FNF common shareholders of record as of September 16, 2022. There are no restrictions on our retained earnings regarding our ability to pay dividends to our shareholders, although there are limits on the ability of certain subsidiaries to pay dividends to us, as described below. The declaration of any future dividends is at the discretion of our Board of Directors.</w:t>
      </w:r>
    </w:p>
    <w:p>
      <w:pPr>
        <w:spacing w:after="0" w:line="62" w:lineRule="exact"/>
        <w:rPr>
          <w:sz w:val="20"/>
          <w:szCs w:val="20"/>
          <w:color w:val="auto"/>
        </w:rPr>
      </w:pPr>
    </w:p>
    <w:p>
      <w:pPr>
        <w:jc w:val="both"/>
        <w:ind w:firstLine="316"/>
        <w:spacing w:after="0" w:line="281" w:lineRule="auto"/>
        <w:rPr>
          <w:sz w:val="20"/>
          <w:szCs w:val="20"/>
          <w:color w:val="auto"/>
        </w:rPr>
      </w:pPr>
      <w:r>
        <w:rPr>
          <w:rFonts w:ascii="Arial" w:cs="Arial" w:eastAsia="Arial" w:hAnsi="Arial"/>
          <w:sz w:val="16"/>
          <w:szCs w:val="16"/>
          <w:color w:val="auto"/>
        </w:rPr>
        <w:t>As of June 30, 2022, we had cash and cash equivalents of $2,426 million, short term investments of $2,588 million and available capacity under our Revolving Credit Facility of $800 million. We continually assess our capital allocation strategy, including decisions relating to the amount of our dividend, reducing debt, repurchasing our stock, investing in growth of our subsidiaries, making acquisitions and/or conserving cash. We believe that all anticipated cash requirements for current operations will be met from internally generated funds, through cash dividends from subsidiaries, cash generated by investment securities, potential sales of non-strategic assets, potential issuances of additional debt or equity securities, and borrowings on our Revolving Credit Facility. Our short-term and long-term liquidity requirements are monitored regularly to ensure that we can meet our cash requirements. We forecast the needs of all of our subsidiaries and periodically review their short-term and long-term projected sources and uses of funds, as well as the asset, liability, investment and cash flow assumptions underlying such forecasts.</w:t>
      </w:r>
    </w:p>
    <w:p>
      <w:pPr>
        <w:spacing w:after="0" w:line="66" w:lineRule="exact"/>
        <w:rPr>
          <w:sz w:val="20"/>
          <w:szCs w:val="20"/>
          <w:color w:val="auto"/>
        </w:rPr>
      </w:pPr>
    </w:p>
    <w:p>
      <w:pPr>
        <w:jc w:val="both"/>
        <w:ind w:firstLine="316"/>
        <w:spacing w:after="0" w:line="299" w:lineRule="auto"/>
        <w:rPr>
          <w:sz w:val="20"/>
          <w:szCs w:val="20"/>
          <w:color w:val="auto"/>
        </w:rPr>
      </w:pPr>
      <w:r>
        <w:rPr>
          <w:rFonts w:ascii="Arial" w:cs="Arial" w:eastAsia="Arial" w:hAnsi="Arial"/>
          <w:sz w:val="16"/>
          <w:szCs w:val="16"/>
          <w:color w:val="auto"/>
        </w:rPr>
        <w:t>Our insurance subsidiaries generate cash from premiums earned and their respective investment portfolios, and these funds are adequate to satisfy the payments of claims and other liabilities. Due to the magnitude of our investment portfolio in relation to our title claim loss reserves, we do not specifically match durations of our investments to the cash outflows required to pay claims, but do manage outflows on a shorter time frame.</w:t>
      </w:r>
    </w:p>
    <w:p>
      <w:pPr>
        <w:spacing w:after="0" w:line="49" w:lineRule="exact"/>
        <w:rPr>
          <w:sz w:val="20"/>
          <w:szCs w:val="20"/>
          <w:color w:val="auto"/>
        </w:rPr>
      </w:pPr>
    </w:p>
    <w:p>
      <w:pPr>
        <w:jc w:val="both"/>
        <w:ind w:firstLine="316"/>
        <w:spacing w:after="0" w:line="282" w:lineRule="auto"/>
        <w:rPr>
          <w:sz w:val="20"/>
          <w:szCs w:val="20"/>
          <w:color w:val="auto"/>
        </w:rPr>
      </w:pPr>
      <w:r>
        <w:rPr>
          <w:rFonts w:ascii="Arial" w:cs="Arial" w:eastAsia="Arial" w:hAnsi="Arial"/>
          <w:sz w:val="16"/>
          <w:szCs w:val="16"/>
          <w:color w:val="auto"/>
        </w:rPr>
        <w:t>Our two significant sources of internally generated funds are dividends and other payments from our subsidiaries. As a holding company, we receive cash from our subsidiaries in the form of dividends and as reimbursement for operating and other administrative expenses we incur. The reimbursements are paid within the guidelines of management agreements among us and our subsidiaries. Our insurance subsidiaries are restricted by state regulation in their ability to pay dividends and make distributions. Each applicable state of domicile regulates the extent to which our title underwriters can pay dividends or make other distributions. As of December 31, 2021, $2,375 million of our net assets were restricted from dividend payments without prior approval from the relevant departments of insurance. We anticipate that our title insurance subsidiaries will pay or make dividends in the remainder of 2022 of approximately $420 million. Our underwritten title companies and non-insurance subsidiaries are not regulated to the same extent as our insurance subsidiaries.</w:t>
      </w:r>
    </w:p>
    <w:p>
      <w:pPr>
        <w:spacing w:after="0" w:line="66" w:lineRule="exact"/>
        <w:rPr>
          <w:sz w:val="20"/>
          <w:szCs w:val="20"/>
          <w:color w:val="auto"/>
        </w:rPr>
      </w:pPr>
    </w:p>
    <w:p>
      <w:pPr>
        <w:jc w:val="both"/>
        <w:ind w:firstLine="316"/>
        <w:spacing w:after="0" w:line="247" w:lineRule="auto"/>
        <w:rPr>
          <w:sz w:val="20"/>
          <w:szCs w:val="20"/>
          <w:color w:val="auto"/>
        </w:rPr>
      </w:pPr>
      <w:r>
        <w:rPr>
          <w:rFonts w:ascii="Arial" w:cs="Arial" w:eastAsia="Arial" w:hAnsi="Arial"/>
          <w:sz w:val="18"/>
          <w:szCs w:val="18"/>
          <w:color w:val="auto"/>
        </w:rPr>
        <w:t>The maximum dividend permitted by law is not necessarily indicative of an insurer’s actual ability to pay dividends, which may be constrained by business and regulatory considerations, such as the impact of dividends on surplus, which could affect an insurer’s ratings or competitive position, the amount of premiums that can be written and the ability to pay future dividends. Further, depending on business and regulatory conditions, we may in the future need to retain cash in our underwriters or even contribute cash to one or more of them in order to maintain their ratings or their statutory capital position. Such a requirement could be the result of investment losses, reserve charges, adverse operating conditions in the current economic environment or changes in statutory accounting requirements by regulators.</w:t>
      </w:r>
    </w:p>
    <w:p>
      <w:pPr>
        <w:spacing w:after="0" w:line="90" w:lineRule="exact"/>
        <w:rPr>
          <w:sz w:val="20"/>
          <w:szCs w:val="20"/>
          <w:color w:val="auto"/>
        </w:rPr>
      </w:pPr>
    </w:p>
    <w:p>
      <w:pPr>
        <w:jc w:val="both"/>
        <w:ind w:firstLine="316"/>
        <w:spacing w:after="0" w:line="261" w:lineRule="auto"/>
        <w:rPr>
          <w:sz w:val="20"/>
          <w:szCs w:val="20"/>
          <w:color w:val="auto"/>
        </w:rPr>
      </w:pPr>
      <w:r>
        <w:rPr>
          <w:rFonts w:ascii="Arial" w:cs="Arial" w:eastAsia="Arial" w:hAnsi="Arial"/>
          <w:sz w:val="18"/>
          <w:szCs w:val="18"/>
          <w:color w:val="auto"/>
        </w:rPr>
        <w:t>Cash flow from our operations will be used for general corporate purposes including to reinvest in operations, repay debt, pay dividends, repurchase stock, pursue other strategic initiatives and/or conserve cash.</w:t>
      </w:r>
    </w:p>
    <w:p>
      <w:pPr>
        <w:spacing w:after="0" w:line="76" w:lineRule="exact"/>
        <w:rPr>
          <w:sz w:val="20"/>
          <w:szCs w:val="20"/>
          <w:color w:val="auto"/>
        </w:rPr>
      </w:pPr>
    </w:p>
    <w:p>
      <w:pPr>
        <w:jc w:val="both"/>
        <w:ind w:firstLine="316"/>
        <w:spacing w:after="0" w:line="248" w:lineRule="auto"/>
        <w:rPr>
          <w:sz w:val="20"/>
          <w:szCs w:val="20"/>
          <w:color w:val="auto"/>
        </w:rPr>
      </w:pPr>
      <w:r>
        <w:rPr>
          <w:rFonts w:ascii="Arial" w:cs="Arial" w:eastAsia="Arial" w:hAnsi="Arial"/>
          <w:sz w:val="18"/>
          <w:szCs w:val="18"/>
          <w:i w:val="1"/>
          <w:iCs w:val="1"/>
          <w:color w:val="auto"/>
        </w:rPr>
        <w:t>Operating Cash Flow</w:t>
      </w:r>
      <w:r>
        <w:rPr>
          <w:rFonts w:ascii="Arial" w:cs="Arial" w:eastAsia="Arial" w:hAnsi="Arial"/>
          <w:sz w:val="18"/>
          <w:szCs w:val="18"/>
          <w:color w:val="auto"/>
        </w:rPr>
        <w:t>. Our cash flows provided by operations for the six months ended June 30, 2022 and 2021 totaled $1,495 million and $1,516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The decrease in cash provided by operating activities in the period in 2022 of $21 million is primarily attributable to the decrease in net earnings of $379 million and the timing of receipts and payments of prepaid assets and payables, partially offset by the increase in future policy benefits of $557 million, which was primarily related to cash received for PRT transactions, the change in funds withheld from reinsurers of $156 million, the change in income taxes of $255 million and other individually immaterial items .</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firstLine="316"/>
        <w:spacing w:after="0" w:line="287" w:lineRule="auto"/>
        <w:rPr>
          <w:sz w:val="20"/>
          <w:szCs w:val="20"/>
          <w:color w:val="auto"/>
        </w:rPr>
      </w:pPr>
      <w:r>
        <w:rPr>
          <w:rFonts w:ascii="Arial" w:cs="Arial" w:eastAsia="Arial" w:hAnsi="Arial"/>
          <w:sz w:val="16"/>
          <w:szCs w:val="16"/>
          <w:i w:val="1"/>
          <w:iCs w:val="1"/>
          <w:color w:val="auto"/>
        </w:rPr>
        <w:t xml:space="preserve">Investing Cash Flows. </w:t>
      </w:r>
      <w:r>
        <w:rPr>
          <w:rFonts w:ascii="Arial" w:cs="Arial" w:eastAsia="Arial" w:hAnsi="Arial"/>
          <w:sz w:val="16"/>
          <w:szCs w:val="16"/>
          <w:color w:val="auto"/>
        </w:rPr>
        <w:t>Our cash flows used in investing activities for the six months ended June 30, 2022 and 2021 were $5,891 million and $3,118</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respectively. The increase in cash used in investing activities in the period in 2022 of $2,773 million is primarily attributable to increased purchases of investment securities of $732 million, increases in our investments in unconsolidated affiliates of $154 million, and net purchases of short-term investments of $1,644 million in the period in 2022 as compared to net proceeds from sales and maturities of short-term investments of $334 million in the corresponding period in 2021, partially offset by increased sales, calls, and maturities of investment securities of $207 million and other individually immaterial items.</w:t>
      </w:r>
    </w:p>
    <w:p>
      <w:pPr>
        <w:spacing w:after="0" w:line="58" w:lineRule="exact"/>
        <w:rPr>
          <w:sz w:val="20"/>
          <w:szCs w:val="20"/>
          <w:color w:val="auto"/>
        </w:rPr>
      </w:pPr>
    </w:p>
    <w:p>
      <w:pPr>
        <w:jc w:val="both"/>
        <w:ind w:firstLine="316"/>
        <w:spacing w:after="0" w:line="261"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Total capital expenditures for property and equipment and capitalized software were $77 million and $54 million for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2022 and 2021, respectively.</w:t>
      </w:r>
    </w:p>
    <w:p>
      <w:pPr>
        <w:spacing w:after="0" w:line="76" w:lineRule="exact"/>
        <w:rPr>
          <w:sz w:val="20"/>
          <w:szCs w:val="20"/>
          <w:color w:val="auto"/>
        </w:rPr>
      </w:pPr>
    </w:p>
    <w:p>
      <w:pPr>
        <w:jc w:val="both"/>
        <w:ind w:firstLine="316"/>
        <w:spacing w:after="0" w:line="250" w:lineRule="auto"/>
        <w:rPr>
          <w:sz w:val="20"/>
          <w:szCs w:val="20"/>
          <w:color w:val="auto"/>
        </w:rPr>
      </w:pPr>
      <w:r>
        <w:rPr>
          <w:rFonts w:ascii="Arial" w:cs="Arial" w:eastAsia="Arial" w:hAnsi="Arial"/>
          <w:sz w:val="18"/>
          <w:szCs w:val="18"/>
          <w:i w:val="1"/>
          <w:iCs w:val="1"/>
          <w:color w:val="auto"/>
        </w:rPr>
        <w:t xml:space="preserve">Financing Cash Flows. </w:t>
      </w:r>
      <w:r>
        <w:rPr>
          <w:rFonts w:ascii="Arial" w:cs="Arial" w:eastAsia="Arial" w:hAnsi="Arial"/>
          <w:sz w:val="18"/>
          <w:szCs w:val="18"/>
          <w:color w:val="auto"/>
        </w:rPr>
        <w:t>Our cash flows provided by financing activities for the six months ended June 30, 2022 and 2021 were $2,462 million and $2,354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respectively. The increase in cash provided by financing activities in the period in 2022 of $108 million is primarily attributable to increased cash inflows from contractholder account deposits of $323 million, partially offset by increased cash outflows from contractholder withdrawals of $169 million and increased dividend payments of $39 million.</w:t>
      </w:r>
    </w:p>
    <w:p>
      <w:pPr>
        <w:spacing w:after="0" w:line="85" w:lineRule="exact"/>
        <w:rPr>
          <w:sz w:val="20"/>
          <w:szCs w:val="20"/>
          <w:color w:val="auto"/>
        </w:rPr>
      </w:pPr>
    </w:p>
    <w:p>
      <w:pPr>
        <w:jc w:val="both"/>
        <w:ind w:firstLine="316"/>
        <w:spacing w:after="0" w:line="261" w:lineRule="auto"/>
        <w:rPr>
          <w:sz w:val="20"/>
          <w:szCs w:val="20"/>
          <w:color w:val="auto"/>
        </w:rPr>
      </w:pPr>
      <w:r>
        <w:rPr>
          <w:rFonts w:ascii="Arial" w:cs="Arial" w:eastAsia="Arial" w:hAnsi="Arial"/>
          <w:sz w:val="18"/>
          <w:szCs w:val="18"/>
          <w:i w:val="1"/>
          <w:iCs w:val="1"/>
          <w:color w:val="auto"/>
        </w:rPr>
        <w:t xml:space="preserve">Financing Arrangements. </w:t>
      </w:r>
      <w:r>
        <w:rPr>
          <w:rFonts w:ascii="Arial" w:cs="Arial" w:eastAsia="Arial" w:hAnsi="Arial"/>
          <w:sz w:val="18"/>
          <w:szCs w:val="18"/>
          <w:color w:val="auto"/>
        </w:rPr>
        <w:t>For a description of our financing arrangements see Note G</w:t>
      </w:r>
      <w:r>
        <w:rPr>
          <w:rFonts w:ascii="Arial" w:cs="Arial" w:eastAsia="Arial" w:hAnsi="Arial"/>
          <w:sz w:val="18"/>
          <w:szCs w:val="18"/>
          <w:i w:val="1"/>
          <w:iCs w:val="1"/>
          <w:color w:val="auto"/>
        </w:rPr>
        <w:t xml:space="preserve"> Notes Payable </w:t>
      </w:r>
      <w:r>
        <w:rPr>
          <w:rFonts w:ascii="Arial" w:cs="Arial" w:eastAsia="Arial" w:hAnsi="Arial"/>
          <w:sz w:val="18"/>
          <w:szCs w:val="18"/>
          <w:color w:val="auto"/>
        </w:rPr>
        <w:t>included in Item 8 of Part II of our Annual Report on</w:t>
      </w:r>
      <w:r>
        <w:rPr>
          <w:rFonts w:ascii="Arial" w:cs="Arial" w:eastAsia="Arial" w:hAnsi="Arial"/>
          <w:sz w:val="18"/>
          <w:szCs w:val="18"/>
          <w:i w:val="1"/>
          <w:iCs w:val="1"/>
          <w:color w:val="auto"/>
        </w:rPr>
        <w:t xml:space="preserve"> </w:t>
      </w:r>
      <w:r>
        <w:rPr>
          <w:rFonts w:ascii="Arial" w:cs="Arial" w:eastAsia="Arial" w:hAnsi="Arial"/>
          <w:sz w:val="18"/>
          <w:szCs w:val="18"/>
          <w:color w:val="auto"/>
        </w:rPr>
        <w:t>Form 10-K for the year ended December 31, 2021.</w:t>
      </w:r>
    </w:p>
    <w:p>
      <w:pPr>
        <w:spacing w:after="0" w:line="76" w:lineRule="exact"/>
        <w:rPr>
          <w:sz w:val="20"/>
          <w:szCs w:val="20"/>
          <w:color w:val="auto"/>
        </w:rPr>
      </w:pPr>
    </w:p>
    <w:p>
      <w:pPr>
        <w:jc w:val="both"/>
        <w:ind w:firstLine="316"/>
        <w:spacing w:after="0" w:line="247" w:lineRule="auto"/>
        <w:rPr>
          <w:sz w:val="20"/>
          <w:szCs w:val="20"/>
          <w:color w:val="auto"/>
        </w:rPr>
      </w:pPr>
      <w:r>
        <w:rPr>
          <w:rFonts w:ascii="Arial" w:cs="Arial" w:eastAsia="Arial" w:hAnsi="Arial"/>
          <w:sz w:val="18"/>
          <w:szCs w:val="18"/>
          <w:i w:val="1"/>
          <w:iCs w:val="1"/>
          <w:color w:val="auto"/>
        </w:rPr>
        <w:t>Capital Stock Transactions</w:t>
      </w:r>
      <w:r>
        <w:rPr>
          <w:rFonts w:ascii="Arial" w:cs="Arial" w:eastAsia="Arial" w:hAnsi="Arial"/>
          <w:sz w:val="18"/>
          <w:szCs w:val="18"/>
          <w:color w:val="auto"/>
        </w:rPr>
        <w:t>. On August 3, 2021, our Board of Directors approved the 2021 Repurchase Program (the "Repurchase Program") under which</w:t>
      </w:r>
      <w:r>
        <w:rPr>
          <w:rFonts w:ascii="Arial" w:cs="Arial" w:eastAsia="Arial" w:hAnsi="Arial"/>
          <w:sz w:val="18"/>
          <w:szCs w:val="18"/>
          <w:i w:val="1"/>
          <w:iCs w:val="1"/>
          <w:color w:val="auto"/>
        </w:rPr>
        <w:t xml:space="preserve"> </w:t>
      </w:r>
      <w:r>
        <w:rPr>
          <w:rFonts w:ascii="Arial" w:cs="Arial" w:eastAsia="Arial" w:hAnsi="Arial"/>
          <w:sz w:val="18"/>
          <w:szCs w:val="18"/>
          <w:color w:val="auto"/>
        </w:rPr>
        <w:t>we may purchase up to 25 million shares of our FNF common stock through July 31, 2024. We repurchased 7,075,000 shares of FNF common stock during the six months ended June 30, 2022 for approximately $306 million, at an average price of $43.23 per share. Subsequent to June 30, 2022 and through market close on August 1, 2022, we repurchased a total of 631,945 shares for approximately $24 million, at an average price of $37.24 under this program. Since the original commencement of the Repurchase Program, we repurchased a total of 10,686,945 FNF common shares for approximately $478 million, at an average price of $44.67 per share.</w:t>
      </w:r>
    </w:p>
    <w:p>
      <w:pPr>
        <w:spacing w:after="0" w:line="90" w:lineRule="exact"/>
        <w:rPr>
          <w:sz w:val="20"/>
          <w:szCs w:val="20"/>
          <w:color w:val="auto"/>
        </w:rPr>
      </w:pPr>
    </w:p>
    <w:p>
      <w:pPr>
        <w:jc w:val="both"/>
        <w:ind w:firstLine="316"/>
        <w:spacing w:after="0" w:line="252" w:lineRule="auto"/>
        <w:rPr>
          <w:sz w:val="20"/>
          <w:szCs w:val="20"/>
          <w:color w:val="auto"/>
        </w:rPr>
      </w:pPr>
      <w:r>
        <w:rPr>
          <w:rFonts w:ascii="Arial" w:cs="Arial" w:eastAsia="Arial" w:hAnsi="Arial"/>
          <w:sz w:val="18"/>
          <w:szCs w:val="18"/>
          <w:i w:val="1"/>
          <w:iCs w:val="1"/>
          <w:color w:val="auto"/>
        </w:rPr>
        <w:t xml:space="preserve">Equity and Preferred Security Investments. </w:t>
      </w:r>
      <w:r>
        <w:rPr>
          <w:rFonts w:ascii="Arial" w:cs="Arial" w:eastAsia="Arial" w:hAnsi="Arial"/>
          <w:sz w:val="18"/>
          <w:szCs w:val="18"/>
          <w:color w:val="auto"/>
        </w:rPr>
        <w:t>Our equity and preferred security investments may be subject to significant volatility. Currently prevailing</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standards require us to record the change in fair value of equity and preferred security investments held as of any given period end within earnings. Our results of operations in future periods is anticipated to be subject to such volatility.</w:t>
      </w:r>
    </w:p>
    <w:p>
      <w:pPr>
        <w:spacing w:after="0" w:line="85" w:lineRule="exact"/>
        <w:rPr>
          <w:sz w:val="20"/>
          <w:szCs w:val="20"/>
          <w:color w:val="auto"/>
        </w:rPr>
      </w:pPr>
    </w:p>
    <w:p>
      <w:pPr>
        <w:jc w:val="both"/>
        <w:ind w:firstLine="316"/>
        <w:spacing w:after="0" w:line="261" w:lineRule="auto"/>
        <w:rPr>
          <w:sz w:val="20"/>
          <w:szCs w:val="20"/>
          <w:color w:val="auto"/>
        </w:rPr>
      </w:pPr>
      <w:r>
        <w:rPr>
          <w:rFonts w:ascii="Arial" w:cs="Arial" w:eastAsia="Arial" w:hAnsi="Arial"/>
          <w:sz w:val="18"/>
          <w:szCs w:val="18"/>
          <w:i w:val="1"/>
          <w:iCs w:val="1"/>
          <w:color w:val="auto"/>
        </w:rPr>
        <w:t xml:space="preserve">Off-Balance Sheet Arrangements. </w:t>
      </w:r>
      <w:r>
        <w:rPr>
          <w:rFonts w:ascii="Arial" w:cs="Arial" w:eastAsia="Arial" w:hAnsi="Arial"/>
          <w:sz w:val="18"/>
          <w:szCs w:val="18"/>
          <w:color w:val="auto"/>
        </w:rPr>
        <w:t>Other than our unfunded investment commitments discussed below, there have been no significant changes to our off-balance sheet arrangements since our Annual Report on Form 10-K for the year ended December 31, 2021.</w:t>
      </w:r>
    </w:p>
    <w:p>
      <w:pPr>
        <w:spacing w:after="0" w:line="129"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 xml:space="preserve">We have unfunded investment commitments as of June 30, 2022 based upon the timing of when investments are executed compared to when the actual investments are funded, as some investments require that funding occur over a period of months or years. Please refer to Note F </w:t>
      </w:r>
      <w:r>
        <w:rPr>
          <w:rFonts w:ascii="Arial" w:cs="Arial" w:eastAsia="Arial" w:hAnsi="Arial"/>
          <w:sz w:val="18"/>
          <w:szCs w:val="18"/>
          <w:i w:val="1"/>
          <w:iCs w:val="1"/>
          <w:color w:val="auto"/>
        </w:rPr>
        <w:t>Commitments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Contingencies </w:t>
      </w:r>
      <w:r>
        <w:rPr>
          <w:rFonts w:ascii="Arial" w:cs="Arial" w:eastAsia="Arial" w:hAnsi="Arial"/>
          <w:sz w:val="18"/>
          <w:szCs w:val="18"/>
          <w:color w:val="auto"/>
        </w:rPr>
        <w:t>to the unaudited Condensed Consolidated Financial Statements included in Item 1 of Part I of this Quarterly Report for additional details on</w:t>
      </w:r>
      <w:r>
        <w:rPr>
          <w:rFonts w:ascii="Arial" w:cs="Arial" w:eastAsia="Arial" w:hAnsi="Arial"/>
          <w:sz w:val="18"/>
          <w:szCs w:val="18"/>
          <w:i w:val="1"/>
          <w:iCs w:val="1"/>
          <w:color w:val="auto"/>
        </w:rPr>
        <w:t xml:space="preserve"> </w:t>
      </w:r>
      <w:r>
        <w:rPr>
          <w:rFonts w:ascii="Arial" w:cs="Arial" w:eastAsia="Arial" w:hAnsi="Arial"/>
          <w:sz w:val="18"/>
          <w:szCs w:val="18"/>
          <w:color w:val="auto"/>
        </w:rPr>
        <w:t>unfunded investment commitments.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15" w:lineRule="exact"/>
        <w:rPr>
          <w:sz w:val="20"/>
          <w:szCs w:val="20"/>
          <w:color w:val="auto"/>
        </w:rPr>
      </w:pPr>
    </w:p>
    <w:p>
      <w:pPr>
        <w:jc w:val="both"/>
        <w:ind w:firstLine="316"/>
        <w:spacing w:after="0" w:line="261" w:lineRule="auto"/>
        <w:rPr>
          <w:sz w:val="20"/>
          <w:szCs w:val="20"/>
          <w:color w:val="auto"/>
        </w:rPr>
      </w:pPr>
      <w:r>
        <w:rPr>
          <w:rFonts w:ascii="Arial" w:cs="Arial" w:eastAsia="Arial" w:hAnsi="Arial"/>
          <w:sz w:val="18"/>
          <w:szCs w:val="18"/>
          <w:color w:val="auto"/>
        </w:rPr>
        <w:t>There have been no material changes to our critical accounting policies described in our Annual Report on Form 10-K for the year ended December 31, 2021.</w:t>
      </w:r>
    </w:p>
    <w:p>
      <w:pPr>
        <w:spacing w:after="0" w:line="123" w:lineRule="exact"/>
        <w:rPr>
          <w:sz w:val="20"/>
          <w:szCs w:val="20"/>
          <w:color w:val="auto"/>
        </w:rPr>
      </w:pPr>
    </w:p>
    <w:p>
      <w:pPr>
        <w:ind w:left="40"/>
        <w:spacing w:after="0"/>
        <w:tabs>
          <w:tab w:leader="none" w:pos="7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16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There have been no material changes in the market risks described in our Annual Report on Form 10-K for the year ended December 31, 2021.</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5" w:lineRule="exact"/>
        <w:rPr>
          <w:sz w:val="20"/>
          <w:szCs w:val="20"/>
          <w:color w:val="auto"/>
        </w:rPr>
      </w:pPr>
    </w:p>
    <w:p>
      <w:pPr>
        <w:jc w:val="both"/>
        <w:ind w:firstLine="316"/>
        <w:spacing w:after="0" w:line="250" w:lineRule="auto"/>
        <w:rPr>
          <w:sz w:val="20"/>
          <w:szCs w:val="20"/>
          <w:color w:val="auto"/>
        </w:rPr>
      </w:pPr>
      <w:r>
        <w:rPr>
          <w:rFonts w:ascii="Arial" w:cs="Arial" w:eastAsia="Arial" w:hAnsi="Arial"/>
          <w:sz w:val="18"/>
          <w:szCs w:val="18"/>
          <w:color w:val="auto"/>
        </w:rPr>
        <w:t>As of the end of the period covered by this report, we carried out an evaluation, under the supervision and with the participation of our principal executive officer and principal financial officer, of the effectiveness of the design and operation of our disclosure controls and procedures, as such term is defined in Rule 13a-15(e) under the Securities Exchange Act of 1934, as amended. Based on this evaluation, our principal executive officer and principal financial officer concluded that our disclosure controls and procedures are effective to ensure that</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information required to be disclosed by us in the reports that we file or submit under the Securities Exchange Act of 1934 is: (a) recorded, processed, summarized and reported, within the time periods specified in the Commission’s rules and forms; and (b) accumulated and communicated to management, including our principal executive and principal financial officers, as appropriate to allow timely decisions regarding required disclosure.</w:t>
      </w:r>
    </w:p>
    <w:p>
      <w:pPr>
        <w:spacing w:after="0" w:line="49" w:lineRule="exact"/>
        <w:rPr>
          <w:sz w:val="20"/>
          <w:szCs w:val="20"/>
          <w:color w:val="auto"/>
        </w:rPr>
      </w:pPr>
    </w:p>
    <w:p>
      <w:pPr>
        <w:jc w:val="both"/>
        <w:ind w:firstLine="316"/>
        <w:spacing w:after="0" w:line="261"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June 30, 2022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PART II</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15" w:lineRule="exact"/>
        <w:rPr>
          <w:sz w:val="20"/>
          <w:szCs w:val="20"/>
          <w:color w:val="auto"/>
        </w:rPr>
      </w:pPr>
    </w:p>
    <w:p>
      <w:pPr>
        <w:jc w:val="both"/>
        <w:ind w:right="80" w:firstLine="316"/>
        <w:spacing w:after="0" w:line="261" w:lineRule="auto"/>
        <w:rPr>
          <w:sz w:val="20"/>
          <w:szCs w:val="20"/>
          <w:color w:val="auto"/>
        </w:rPr>
      </w:pPr>
      <w:r>
        <w:rPr>
          <w:rFonts w:ascii="Arial" w:cs="Arial" w:eastAsia="Arial" w:hAnsi="Arial"/>
          <w:sz w:val="18"/>
          <w:szCs w:val="18"/>
          <w:color w:val="auto"/>
        </w:rPr>
        <w:t xml:space="preserve">See discussion of legal proceedings in Note F </w:t>
      </w:r>
      <w:r>
        <w:rPr>
          <w:rFonts w:ascii="Arial" w:cs="Arial" w:eastAsia="Arial" w:hAnsi="Arial"/>
          <w:sz w:val="18"/>
          <w:szCs w:val="18"/>
          <w:i w:val="1"/>
          <w:iCs w:val="1"/>
          <w:color w:val="auto"/>
        </w:rPr>
        <w:t>Commitment and Contingencies</w:t>
      </w:r>
      <w:r>
        <w:rPr>
          <w:rFonts w:ascii="Arial" w:cs="Arial" w:eastAsia="Arial" w:hAnsi="Arial"/>
          <w:sz w:val="18"/>
          <w:szCs w:val="18"/>
          <w:color w:val="auto"/>
        </w:rPr>
        <w:t xml:space="preserve"> to the unaudited Condensed Consolidated Financial Statements included in Item 1 of Part I of this Quarterly Report, which is incorporated by reference into this Item 1 of Part II.</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5" w:lineRule="exact"/>
        <w:rPr>
          <w:sz w:val="20"/>
          <w:szCs w:val="20"/>
          <w:color w:val="auto"/>
        </w:rPr>
      </w:pPr>
    </w:p>
    <w:p>
      <w:pPr>
        <w:jc w:val="both"/>
        <w:ind w:right="80" w:firstLine="316"/>
        <w:spacing w:after="0" w:line="324" w:lineRule="auto"/>
        <w:rPr>
          <w:sz w:val="20"/>
          <w:szCs w:val="20"/>
          <w:color w:val="auto"/>
        </w:rPr>
      </w:pPr>
      <w:r>
        <w:rPr>
          <w:rFonts w:ascii="Arial" w:cs="Arial" w:eastAsia="Arial" w:hAnsi="Arial"/>
          <w:sz w:val="16"/>
          <w:szCs w:val="16"/>
          <w:color w:val="auto"/>
        </w:rPr>
        <w:t>The risk factors disclosed in "Item 1A. Risk Factors" included in our Annual Report on Form 10-K for the year ended December 31, 2021, are hereby incorporated by reference. In addition, we identified the following additional risk factors during the six months ended June 30, 2022:</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Related to the F&amp;G Distribution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proposed F&amp;G Distribution is subject to inherent risks</w:t>
      </w:r>
    </w:p>
    <w:p>
      <w:pPr>
        <w:spacing w:after="0" w:line="109" w:lineRule="exact"/>
        <w:rPr>
          <w:sz w:val="20"/>
          <w:szCs w:val="20"/>
          <w:color w:val="auto"/>
        </w:rPr>
      </w:pPr>
    </w:p>
    <w:p>
      <w:pPr>
        <w:jc w:val="both"/>
        <w:ind w:right="80"/>
        <w:spacing w:after="0" w:line="281" w:lineRule="auto"/>
        <w:rPr>
          <w:sz w:val="20"/>
          <w:szCs w:val="20"/>
          <w:color w:val="auto"/>
        </w:rPr>
      </w:pPr>
      <w:r>
        <w:rPr>
          <w:rFonts w:ascii="Arial" w:cs="Arial" w:eastAsia="Arial" w:hAnsi="Arial"/>
          <w:sz w:val="16"/>
          <w:szCs w:val="16"/>
          <w:color w:val="auto"/>
        </w:rPr>
        <w:t>As previously announced, we plan to dividend to our shareholders, on a pro rata basis, 15% of the common stock of our wholly-owned subsidiary, F&amp;G, targeted to be completed early in the fourth quarter of 2022. The F&amp;G Distribution is subject to inherent risks and uncertainties, including, but not limited to: diversion of management's attention and the potential impact of the consummation of the F&amp;G Distribution on relationships, including with employees, suppliers, customers and competitors; our ability to successfully realize the anticipated benefits of the F&amp;G Distribution; the ability to satisfy any necessary conditions (including any applicable regulatory approvals) to consummate the F&amp;G Distribution within the estimated timeframe or at all; the final terms and conditions of the F&amp;G Distribution, including the nature of agreements and arrangements between FNF and F&amp;G following any such transaction, the costs of any such transaction, and the nature and amount of indebtedness incurred by F&amp;G. We cannot provide any assurances regarding the timeframe for completing the F&amp;G Distribution, nor can we provide any assurances that we will be successful in completing the proposed F&amp;G Distribution.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F&amp;G Distribution could adversely affect our earnings</w:t>
      </w:r>
    </w:p>
    <w:p>
      <w:pPr>
        <w:spacing w:after="0" w:line="109" w:lineRule="exact"/>
        <w:rPr>
          <w:sz w:val="20"/>
          <w:szCs w:val="20"/>
          <w:color w:val="auto"/>
        </w:rPr>
      </w:pPr>
    </w:p>
    <w:p>
      <w:pPr>
        <w:jc w:val="both"/>
        <w:ind w:right="80"/>
        <w:spacing w:after="0" w:line="261" w:lineRule="auto"/>
        <w:rPr>
          <w:sz w:val="20"/>
          <w:szCs w:val="20"/>
          <w:color w:val="auto"/>
        </w:rPr>
      </w:pPr>
      <w:r>
        <w:rPr>
          <w:rFonts w:ascii="Arial" w:cs="Arial" w:eastAsia="Arial" w:hAnsi="Arial"/>
          <w:sz w:val="18"/>
          <w:szCs w:val="18"/>
          <w:color w:val="auto"/>
        </w:rPr>
        <w:t>F&amp;G contributes a significant portion of our earnings. We have begun to pursue the F&amp;G Distribution. Although there can be no assurance that this process will result in a consummated transaction, any separation of a portion of F&amp;G's business could adversely affect our earnings.</w:t>
      </w:r>
    </w:p>
    <w:p>
      <w:pPr>
        <w:spacing w:after="0" w:line="24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repurchases of equity securities by FNF during the three months ended June 30, 2022:</w:t>
      </w:r>
    </w:p>
    <w:p>
      <w:pPr>
        <w:spacing w:after="0" w:line="92"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tcPr>
          <w:p>
            <w:pPr>
              <w:jc w:val="right"/>
              <w:ind w:right="61"/>
              <w:spacing w:after="0"/>
              <w:rPr>
                <w:sz w:val="20"/>
                <w:szCs w:val="20"/>
                <w:color w:val="auto"/>
              </w:rPr>
            </w:pPr>
            <w:r>
              <w:rPr>
                <w:rFonts w:ascii="Arial" w:cs="Arial" w:eastAsia="Arial" w:hAnsi="Arial"/>
                <w:sz w:val="14"/>
                <w:szCs w:val="14"/>
                <w:b w:val="1"/>
                <w:bCs w:val="1"/>
                <w:color w:val="auto"/>
              </w:rPr>
              <w:t>Total Number of Shares</w:t>
            </w:r>
          </w:p>
        </w:tc>
        <w:tc>
          <w:tcPr>
            <w:tcW w:w="120" w:type="dxa"/>
            <w:vAlign w:val="bottom"/>
          </w:tcPr>
          <w:p>
            <w:pPr>
              <w:spacing w:after="0"/>
              <w:rPr>
                <w:sz w:val="14"/>
                <w:szCs w:val="14"/>
                <w:color w:val="auto"/>
              </w:rPr>
            </w:pPr>
          </w:p>
        </w:tc>
        <w:tc>
          <w:tcPr>
            <w:tcW w:w="1800" w:type="dxa"/>
            <w:vAlign w:val="bottom"/>
          </w:tcPr>
          <w:p>
            <w:pPr>
              <w:jc w:val="right"/>
              <w:ind w:right="130"/>
              <w:spacing w:after="0"/>
              <w:rPr>
                <w:sz w:val="20"/>
                <w:szCs w:val="20"/>
                <w:color w:val="auto"/>
              </w:rPr>
            </w:pPr>
            <w:r>
              <w:rPr>
                <w:rFonts w:ascii="Arial" w:cs="Arial" w:eastAsia="Arial" w:hAnsi="Arial"/>
                <w:sz w:val="14"/>
                <w:szCs w:val="14"/>
                <w:b w:val="1"/>
                <w:bCs w:val="1"/>
                <w:color w:val="auto"/>
              </w:rPr>
              <w:t>Maximum Number of</w:t>
            </w:r>
          </w:p>
        </w:tc>
        <w:tc>
          <w:tcPr>
            <w:tcW w:w="0" w:type="dxa"/>
            <w:vAlign w:val="bottom"/>
          </w:tcPr>
          <w:p>
            <w:pPr>
              <w:spacing w:after="0"/>
              <w:rPr>
                <w:sz w:val="1"/>
                <w:szCs w:val="1"/>
                <w:color w:val="auto"/>
              </w:rPr>
            </w:pPr>
          </w:p>
        </w:tc>
      </w:tr>
      <w:tr>
        <w:trPr>
          <w:trHeight w:val="132"/>
        </w:trPr>
        <w:tc>
          <w:tcPr>
            <w:tcW w:w="3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 Number of Shares</w:t>
            </w:r>
          </w:p>
        </w:tc>
        <w:tc>
          <w:tcPr>
            <w:tcW w:w="240" w:type="dxa"/>
            <w:vAlign w:val="bottom"/>
          </w:tcPr>
          <w:p>
            <w:pPr>
              <w:spacing w:after="0"/>
              <w:rPr>
                <w:sz w:val="11"/>
                <w:szCs w:val="11"/>
                <w:color w:val="auto"/>
              </w:rPr>
            </w:pPr>
          </w:p>
        </w:tc>
        <w:tc>
          <w:tcPr>
            <w:tcW w:w="1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Average Price Paid per</w:t>
            </w:r>
          </w:p>
        </w:tc>
        <w:tc>
          <w:tcPr>
            <w:tcW w:w="1780" w:type="dxa"/>
            <w:vAlign w:val="bottom"/>
          </w:tcPr>
          <w:p>
            <w:pPr>
              <w:jc w:val="center"/>
              <w:spacing w:after="0" w:line="132" w:lineRule="exact"/>
              <w:rPr>
                <w:sz w:val="20"/>
                <w:szCs w:val="20"/>
                <w:color w:val="auto"/>
              </w:rPr>
            </w:pPr>
            <w:r>
              <w:rPr>
                <w:rFonts w:ascii="Arial" w:cs="Arial" w:eastAsia="Arial" w:hAnsi="Arial"/>
                <w:sz w:val="14"/>
                <w:szCs w:val="14"/>
                <w:b w:val="1"/>
                <w:bCs w:val="1"/>
                <w:color w:val="auto"/>
                <w:w w:val="89"/>
              </w:rPr>
              <w:t>Purchased as Part of</w:t>
            </w:r>
          </w:p>
        </w:tc>
        <w:tc>
          <w:tcPr>
            <w:tcW w:w="120" w:type="dxa"/>
            <w:vAlign w:val="bottom"/>
          </w:tcPr>
          <w:p>
            <w:pPr>
              <w:spacing w:after="0"/>
              <w:rPr>
                <w:sz w:val="11"/>
                <w:szCs w:val="11"/>
                <w:color w:val="auto"/>
              </w:rPr>
            </w:pPr>
          </w:p>
        </w:tc>
        <w:tc>
          <w:tcPr>
            <w:tcW w:w="1800" w:type="dxa"/>
            <w:vAlign w:val="bottom"/>
          </w:tcPr>
          <w:p>
            <w:pPr>
              <w:jc w:val="center"/>
              <w:spacing w:after="0" w:line="132" w:lineRule="exact"/>
              <w:rPr>
                <w:sz w:val="20"/>
                <w:szCs w:val="20"/>
                <w:color w:val="auto"/>
              </w:rPr>
            </w:pPr>
            <w:r>
              <w:rPr>
                <w:rFonts w:ascii="Arial" w:cs="Arial" w:eastAsia="Arial" w:hAnsi="Arial"/>
                <w:sz w:val="14"/>
                <w:szCs w:val="14"/>
                <w:b w:val="1"/>
                <w:bCs w:val="1"/>
                <w:color w:val="auto"/>
                <w:w w:val="90"/>
              </w:rPr>
              <w:t>Shares that May Yet Be</w:t>
            </w:r>
          </w:p>
        </w:tc>
        <w:tc>
          <w:tcPr>
            <w:tcW w:w="0" w:type="dxa"/>
            <w:vAlign w:val="bottom"/>
          </w:tcPr>
          <w:p>
            <w:pPr>
              <w:spacing w:after="0"/>
              <w:rPr>
                <w:sz w:val="1"/>
                <w:szCs w:val="1"/>
                <w:color w:val="auto"/>
              </w:rPr>
            </w:pPr>
          </w:p>
        </w:tc>
      </w:tr>
      <w:tr>
        <w:trPr>
          <w:trHeight w:val="132"/>
        </w:trPr>
        <w:tc>
          <w:tcPr>
            <w:tcW w:w="32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1"/>
                <w:szCs w:val="11"/>
                <w:color w:val="auto"/>
              </w:rPr>
            </w:pPr>
          </w:p>
        </w:tc>
        <w:tc>
          <w:tcPr>
            <w:tcW w:w="190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760" w:type="dxa"/>
            <w:vAlign w:val="bottom"/>
            <w:gridSpan w:val="2"/>
            <w:vMerge w:val="continue"/>
          </w:tcPr>
          <w:p>
            <w:pPr>
              <w:spacing w:after="0"/>
              <w:rPr>
                <w:sz w:val="11"/>
                <w:szCs w:val="11"/>
                <w:color w:val="auto"/>
              </w:rPr>
            </w:pPr>
          </w:p>
        </w:tc>
        <w:tc>
          <w:tcPr>
            <w:tcW w:w="1780" w:type="dxa"/>
            <w:vAlign w:val="bottom"/>
          </w:tcPr>
          <w:p>
            <w:pPr>
              <w:jc w:val="center"/>
              <w:spacing w:after="0" w:line="132" w:lineRule="exact"/>
              <w:rPr>
                <w:sz w:val="20"/>
                <w:szCs w:val="20"/>
                <w:color w:val="auto"/>
              </w:rPr>
            </w:pPr>
            <w:r>
              <w:rPr>
                <w:rFonts w:ascii="Arial" w:cs="Arial" w:eastAsia="Arial" w:hAnsi="Arial"/>
                <w:sz w:val="14"/>
                <w:szCs w:val="14"/>
                <w:b w:val="1"/>
                <w:bCs w:val="1"/>
                <w:color w:val="auto"/>
                <w:w w:val="89"/>
              </w:rPr>
              <w:t>Publicly Announced Plans or</w:t>
            </w:r>
          </w:p>
        </w:tc>
        <w:tc>
          <w:tcPr>
            <w:tcW w:w="120" w:type="dxa"/>
            <w:vAlign w:val="bottom"/>
          </w:tcPr>
          <w:p>
            <w:pPr>
              <w:spacing w:after="0"/>
              <w:rPr>
                <w:sz w:val="11"/>
                <w:szCs w:val="11"/>
                <w:color w:val="auto"/>
              </w:rPr>
            </w:pPr>
          </w:p>
        </w:tc>
        <w:tc>
          <w:tcPr>
            <w:tcW w:w="1800" w:type="dxa"/>
            <w:vAlign w:val="bottom"/>
          </w:tcPr>
          <w:p>
            <w:pPr>
              <w:jc w:val="center"/>
              <w:spacing w:after="0" w:line="132" w:lineRule="exact"/>
              <w:rPr>
                <w:sz w:val="20"/>
                <w:szCs w:val="20"/>
                <w:color w:val="auto"/>
              </w:rPr>
            </w:pPr>
            <w:r>
              <w:rPr>
                <w:rFonts w:ascii="Arial" w:cs="Arial" w:eastAsia="Arial" w:hAnsi="Arial"/>
                <w:sz w:val="14"/>
                <w:szCs w:val="14"/>
                <w:b w:val="1"/>
                <w:bCs w:val="1"/>
                <w:color w:val="auto"/>
                <w:w w:val="90"/>
              </w:rPr>
              <w:t>Purchased Under the Plans</w:t>
            </w:r>
          </w:p>
        </w:tc>
        <w:tc>
          <w:tcPr>
            <w:tcW w:w="0" w:type="dxa"/>
            <w:vAlign w:val="bottom"/>
          </w:tcPr>
          <w:p>
            <w:pPr>
              <w:spacing w:after="0"/>
              <w:rPr>
                <w:sz w:val="1"/>
                <w:szCs w:val="1"/>
                <w:color w:val="auto"/>
              </w:rPr>
            </w:pPr>
          </w:p>
        </w:tc>
      </w:tr>
      <w:tr>
        <w:trPr>
          <w:trHeight w:val="184"/>
        </w:trPr>
        <w:tc>
          <w:tcPr>
            <w:tcW w:w="32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78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Purchased</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678"/>
              <w:spacing w:after="0"/>
              <w:rPr>
                <w:sz w:val="20"/>
                <w:szCs w:val="20"/>
                <w:color w:val="auto"/>
              </w:rPr>
            </w:pPr>
            <w:r>
              <w:rPr>
                <w:rFonts w:ascii="Arial" w:cs="Arial" w:eastAsia="Arial" w:hAnsi="Arial"/>
                <w:sz w:val="14"/>
                <w:szCs w:val="14"/>
                <w:b w:val="1"/>
                <w:bCs w:val="1"/>
                <w:color w:val="auto"/>
              </w:rPr>
              <w:t>Share</w:t>
            </w:r>
          </w:p>
        </w:tc>
        <w:tc>
          <w:tcPr>
            <w:tcW w:w="120" w:type="dxa"/>
            <w:vAlign w:val="bottom"/>
            <w:tcBorders>
              <w:bottom w:val="single" w:sz="8" w:color="CCEEFF"/>
            </w:tcBorders>
          </w:tcPr>
          <w:p>
            <w:pPr>
              <w:spacing w:after="0"/>
              <w:rPr>
                <w:sz w:val="15"/>
                <w:szCs w:val="15"/>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Programs (1)</w:t>
            </w:r>
          </w:p>
        </w:tc>
        <w:tc>
          <w:tcPr>
            <w:tcW w:w="120" w:type="dxa"/>
            <w:vAlign w:val="bottom"/>
            <w:tcBorders>
              <w:bottom w:val="single" w:sz="8" w:color="CCEEFF"/>
            </w:tcBorders>
          </w:tcPr>
          <w:p>
            <w:pPr>
              <w:spacing w:after="0"/>
              <w:rPr>
                <w:sz w:val="15"/>
                <w:szCs w:val="15"/>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or Programs (2)</w:t>
            </w:r>
          </w:p>
        </w:tc>
        <w:tc>
          <w:tcPr>
            <w:tcW w:w="0" w:type="dxa"/>
            <w:vAlign w:val="bottom"/>
          </w:tcPr>
          <w:p>
            <w:pPr>
              <w:spacing w:after="0"/>
              <w:rPr>
                <w:sz w:val="1"/>
                <w:szCs w:val="1"/>
                <w:color w:val="auto"/>
              </w:rPr>
            </w:pPr>
          </w:p>
        </w:tc>
      </w:tr>
      <w:tr>
        <w:trPr>
          <w:trHeight w:val="217"/>
        </w:trPr>
        <w:tc>
          <w:tcPr>
            <w:tcW w:w="3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04/1/2022 -04/30/2022</w:t>
            </w:r>
          </w:p>
        </w:tc>
        <w:tc>
          <w:tcPr>
            <w:tcW w:w="1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46.29</w:t>
            </w:r>
          </w:p>
        </w:tc>
        <w:tc>
          <w:tcPr>
            <w:tcW w:w="1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18,870,000</w:t>
            </w:r>
          </w:p>
        </w:tc>
        <w:tc>
          <w:tcPr>
            <w:tcW w:w="0" w:type="dxa"/>
            <w:vAlign w:val="bottom"/>
          </w:tcPr>
          <w:p>
            <w:pPr>
              <w:spacing w:after="0"/>
              <w:rPr>
                <w:sz w:val="1"/>
                <w:szCs w:val="1"/>
                <w:color w:val="auto"/>
              </w:rPr>
            </w:pPr>
          </w:p>
        </w:tc>
      </w:tr>
      <w:tr>
        <w:trPr>
          <w:trHeight w:val="223"/>
        </w:trPr>
        <w:tc>
          <w:tcPr>
            <w:tcW w:w="3280" w:type="dxa"/>
            <w:vAlign w:val="bottom"/>
          </w:tcPr>
          <w:p>
            <w:pPr>
              <w:ind w:left="100"/>
              <w:spacing w:after="0"/>
              <w:rPr>
                <w:sz w:val="20"/>
                <w:szCs w:val="20"/>
                <w:color w:val="auto"/>
              </w:rPr>
            </w:pPr>
            <w:r>
              <w:rPr>
                <w:rFonts w:ascii="Arial" w:cs="Arial" w:eastAsia="Arial" w:hAnsi="Arial"/>
                <w:sz w:val="18"/>
                <w:szCs w:val="18"/>
                <w:color w:val="auto"/>
              </w:rPr>
              <w:t>05/1/2022 - 05/31/2022</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1,300,000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40.92</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1,300,000</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17,570,000</w:t>
            </w:r>
          </w:p>
        </w:tc>
        <w:tc>
          <w:tcPr>
            <w:tcW w:w="0" w:type="dxa"/>
            <w:vAlign w:val="bottom"/>
          </w:tcPr>
          <w:p>
            <w:pPr>
              <w:spacing w:after="0"/>
              <w:rPr>
                <w:sz w:val="1"/>
                <w:szCs w:val="1"/>
                <w:color w:val="auto"/>
              </w:rPr>
            </w:pPr>
          </w:p>
        </w:tc>
      </w:tr>
      <w:tr>
        <w:trPr>
          <w:trHeight w:val="224"/>
        </w:trPr>
        <w:tc>
          <w:tcPr>
            <w:tcW w:w="3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06/1/2022 - 6/30/2022</w:t>
            </w:r>
          </w:p>
        </w:tc>
        <w:tc>
          <w:tcPr>
            <w:tcW w:w="120" w:type="dxa"/>
            <w:vAlign w:val="bottom"/>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2,625,000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38.59</w:t>
            </w:r>
          </w:p>
        </w:tc>
        <w:tc>
          <w:tcPr>
            <w:tcW w:w="120" w:type="dxa"/>
            <w:vAlign w:val="bottom"/>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2,625,000</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14,945,000</w:t>
            </w:r>
          </w:p>
        </w:tc>
        <w:tc>
          <w:tcPr>
            <w:tcW w:w="0" w:type="dxa"/>
            <w:vAlign w:val="bottom"/>
          </w:tcPr>
          <w:p>
            <w:pPr>
              <w:spacing w:after="0"/>
              <w:rPr>
                <w:sz w:val="1"/>
                <w:szCs w:val="1"/>
                <w:color w:val="auto"/>
              </w:rPr>
            </w:pPr>
          </w:p>
        </w:tc>
      </w:tr>
      <w:tr>
        <w:trPr>
          <w:trHeight w:val="216"/>
        </w:trPr>
        <w:tc>
          <w:tcPr>
            <w:tcW w:w="3400" w:type="dxa"/>
            <w:vAlign w:val="bottom"/>
            <w:gridSpan w:val="2"/>
          </w:tcPr>
          <w:p>
            <w:pPr>
              <w:ind w:left="100"/>
              <w:spacing w:after="0"/>
              <w:rPr>
                <w:sz w:val="20"/>
                <w:szCs w:val="20"/>
                <w:color w:val="auto"/>
              </w:rPr>
            </w:pPr>
            <w:r>
              <w:rPr>
                <w:rFonts w:ascii="Arial" w:cs="Arial" w:eastAsia="Arial" w:hAnsi="Arial"/>
                <w:sz w:val="18"/>
                <w:szCs w:val="18"/>
                <w:color w:val="auto"/>
              </w:rPr>
              <w:t>Total</w:t>
            </w:r>
          </w:p>
        </w:tc>
        <w:tc>
          <w:tcPr>
            <w:tcW w:w="1780" w:type="dxa"/>
            <w:vAlign w:val="bottom"/>
          </w:tcPr>
          <w:p>
            <w:pPr>
              <w:jc w:val="right"/>
              <w:spacing w:after="0"/>
              <w:rPr>
                <w:sz w:val="20"/>
                <w:szCs w:val="20"/>
                <w:color w:val="auto"/>
              </w:rPr>
            </w:pPr>
            <w:r>
              <w:rPr>
                <w:rFonts w:ascii="Arial" w:cs="Arial" w:eastAsia="Arial" w:hAnsi="Arial"/>
                <w:sz w:val="18"/>
                <w:szCs w:val="18"/>
                <w:color w:val="auto"/>
              </w:rPr>
              <w:t>4,325,000</w:t>
            </w:r>
          </w:p>
        </w:tc>
        <w:tc>
          <w:tcPr>
            <w:tcW w:w="1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39.76</w:t>
            </w:r>
          </w:p>
        </w:tc>
        <w:tc>
          <w:tcPr>
            <w:tcW w:w="1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4,325,000</w:t>
            </w: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960" w:right="80" w:hanging="639"/>
        <w:spacing w:after="0" w:line="261" w:lineRule="auto"/>
        <w:tabs>
          <w:tab w:leader="none" w:pos="765"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August 3, 2021 our Board of Directors approved the Repurchase Program, under which we may purchase up to 25 million shares of our FNF common stock through July 31, 2024.</w:t>
      </w:r>
    </w:p>
    <w:p>
      <w:pPr>
        <w:spacing w:after="0" w:line="62" w:lineRule="exact"/>
        <w:rPr>
          <w:rFonts w:ascii="Arial" w:cs="Arial" w:eastAsia="Arial" w:hAnsi="Arial"/>
          <w:sz w:val="18"/>
          <w:szCs w:val="18"/>
          <w:color w:val="auto"/>
        </w:rPr>
      </w:pPr>
    </w:p>
    <w:p>
      <w:pPr>
        <w:ind w:left="700" w:hanging="379"/>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 of the last day of the applicable month.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20"/>
          </w:cols>
          <w:pgMar w:left="320" w:top="127" w:right="25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07"/>
        </w:trPr>
        <w:tc>
          <w:tcPr>
            <w:tcW w:w="152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1480" w:type="dxa"/>
            <w:vAlign w:val="bottom"/>
          </w:tcPr>
          <w:p>
            <w:pPr>
              <w:spacing w:after="0"/>
              <w:rPr>
                <w:sz w:val="17"/>
                <w:szCs w:val="17"/>
                <w:color w:val="auto"/>
              </w:rPr>
            </w:pPr>
          </w:p>
        </w:tc>
        <w:tc>
          <w:tcPr>
            <w:tcW w:w="5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87"/>
        </w:trPr>
        <w:tc>
          <w:tcPr>
            <w:tcW w:w="1240" w:type="dxa"/>
            <w:vAlign w:val="bottom"/>
            <w:tcBorders>
              <w:top w:val="single" w:sz="8" w:color="0000FF"/>
            </w:tcBorders>
          </w:tcPr>
          <w:p>
            <w:pPr>
              <w:spacing w:after="0"/>
              <w:rPr>
                <w:sz w:val="20"/>
                <w:szCs w:val="20"/>
                <w:color w:val="auto"/>
              </w:rPr>
            </w:pPr>
            <w:r>
              <w:rPr>
                <w:rFonts w:ascii="Arial" w:cs="Arial" w:eastAsia="Arial" w:hAnsi="Arial"/>
                <w:sz w:val="18"/>
                <w:szCs w:val="18"/>
                <w:b w:val="1"/>
                <w:bCs w:val="1"/>
                <w:color w:val="auto"/>
                <w:w w:val="92"/>
              </w:rPr>
              <w:t>Item 6. Exhibits</w:t>
            </w: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6"/>
        </w:trPr>
        <w:tc>
          <w:tcPr>
            <w:tcW w:w="1520" w:type="dxa"/>
            <w:vAlign w:val="bottom"/>
            <w:gridSpan w:val="2"/>
          </w:tcPr>
          <w:p>
            <w:pPr>
              <w:ind w:left="220"/>
              <w:spacing w:after="0"/>
              <w:rPr>
                <w:sz w:val="20"/>
                <w:szCs w:val="20"/>
                <w:color w:val="auto"/>
              </w:rPr>
            </w:pPr>
            <w:r>
              <w:rPr>
                <w:rFonts w:ascii="Arial" w:cs="Arial" w:eastAsia="Arial" w:hAnsi="Arial"/>
                <w:sz w:val="18"/>
                <w:szCs w:val="18"/>
                <w:color w:val="auto"/>
              </w:rPr>
              <w:t>(a) Exhibits:</w:t>
            </w:r>
          </w:p>
        </w:tc>
        <w:tc>
          <w:tcPr>
            <w:tcW w:w="148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4"/>
        </w:trPr>
        <w:tc>
          <w:tcPr>
            <w:tcW w:w="1240" w:type="dxa"/>
            <w:vAlign w:val="bottom"/>
          </w:tcPr>
          <w:p>
            <w:pPr>
              <w:jc w:val="center"/>
              <w:ind w:right="32"/>
              <w:spacing w:after="0"/>
              <w:rPr>
                <w:sz w:val="20"/>
                <w:szCs w:val="20"/>
                <w:color w:val="auto"/>
              </w:rPr>
            </w:pPr>
            <w:r>
              <w:rPr>
                <w:rFonts w:ascii="Arial" w:cs="Arial" w:eastAsia="Arial" w:hAnsi="Arial"/>
                <w:sz w:val="18"/>
                <w:szCs w:val="18"/>
                <w:color w:val="auto"/>
                <w:w w:val="91"/>
              </w:rPr>
              <w:t>31.1</w:t>
            </w:r>
          </w:p>
        </w:tc>
        <w:tc>
          <w:tcPr>
            <w:tcW w:w="280" w:type="dxa"/>
            <w:vAlign w:val="bottom"/>
          </w:tcPr>
          <w:p>
            <w:pPr>
              <w:spacing w:after="0"/>
              <w:rPr>
                <w:sz w:val="22"/>
                <w:szCs w:val="22"/>
                <w:color w:val="auto"/>
              </w:rPr>
            </w:pPr>
          </w:p>
        </w:tc>
        <w:tc>
          <w:tcPr>
            <w:tcW w:w="9740" w:type="dxa"/>
            <w:vAlign w:val="bottom"/>
            <w:gridSpan w:val="6"/>
          </w:tcPr>
          <w:p>
            <w:pPr>
              <w:spacing w:after="0"/>
              <w:rPr>
                <w:rFonts w:ascii="Arial" w:cs="Arial" w:eastAsia="Arial" w:hAnsi="Arial"/>
                <w:sz w:val="18"/>
                <w:szCs w:val="18"/>
                <w:color w:val="0000FF"/>
              </w:rPr>
            </w:pPr>
            <w:hyperlink w:anchor="page88">
              <w:r>
                <w:rPr>
                  <w:rFonts w:ascii="Arial" w:cs="Arial" w:eastAsia="Arial" w:hAnsi="Arial"/>
                  <w:sz w:val="18"/>
                  <w:szCs w:val="18"/>
                  <w:color w:val="0000FF"/>
                </w:rPr>
                <w:t>Certification of Chief Executive Officer pursuant to Section 302 of the Sarbanes-Oxley Act of 2002.</w:t>
              </w:r>
            </w:hyperlink>
          </w:p>
        </w:tc>
      </w:tr>
      <w:tr>
        <w:trPr>
          <w:trHeight w:val="309"/>
        </w:trPr>
        <w:tc>
          <w:tcPr>
            <w:tcW w:w="1240" w:type="dxa"/>
            <w:vAlign w:val="bottom"/>
          </w:tcPr>
          <w:p>
            <w:pPr>
              <w:jc w:val="center"/>
              <w:ind w:right="32"/>
              <w:spacing w:after="0"/>
              <w:rPr>
                <w:sz w:val="20"/>
                <w:szCs w:val="20"/>
                <w:color w:val="auto"/>
              </w:rPr>
            </w:pPr>
            <w:r>
              <w:rPr>
                <w:rFonts w:ascii="Arial" w:cs="Arial" w:eastAsia="Arial" w:hAnsi="Arial"/>
                <w:sz w:val="18"/>
                <w:szCs w:val="18"/>
                <w:color w:val="auto"/>
                <w:w w:val="91"/>
              </w:rPr>
              <w:t>31.2</w:t>
            </w:r>
          </w:p>
        </w:tc>
        <w:tc>
          <w:tcPr>
            <w:tcW w:w="280" w:type="dxa"/>
            <w:vAlign w:val="bottom"/>
          </w:tcPr>
          <w:p>
            <w:pPr>
              <w:spacing w:after="0"/>
              <w:rPr>
                <w:sz w:val="24"/>
                <w:szCs w:val="24"/>
                <w:color w:val="auto"/>
              </w:rPr>
            </w:pPr>
          </w:p>
        </w:tc>
        <w:tc>
          <w:tcPr>
            <w:tcW w:w="700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89"/>
              </w:rPr>
            </w:pPr>
            <w:hyperlink w:anchor="page89">
              <w:r>
                <w:rPr>
                  <w:rFonts w:ascii="Arial" w:cs="Arial" w:eastAsia="Arial" w:hAnsi="Arial"/>
                  <w:sz w:val="18"/>
                  <w:szCs w:val="18"/>
                  <w:color w:val="0000FF"/>
                  <w:w w:val="89"/>
                </w:rPr>
                <w:t>Certification of Chief Financial Officer pursuant to Section 302 of the Sarbanes-Oxley Act of 2002.</w:t>
              </w:r>
            </w:hyperlink>
          </w:p>
        </w:tc>
        <w:tc>
          <w:tcPr>
            <w:tcW w:w="40" w:type="dxa"/>
            <w:vAlign w:val="bottom"/>
            <w:tcBorders>
              <w:top w:val="single" w:sz="8" w:color="0000FF"/>
            </w:tcBorders>
          </w:tcPr>
          <w:p>
            <w:pPr>
              <w:spacing w:after="0"/>
              <w:rPr>
                <w:sz w:val="24"/>
                <w:szCs w:val="24"/>
                <w:color w:val="auto"/>
              </w:rPr>
            </w:pPr>
          </w:p>
        </w:tc>
        <w:tc>
          <w:tcPr>
            <w:tcW w:w="2700" w:type="dxa"/>
            <w:vAlign w:val="bottom"/>
            <w:gridSpan w:val="3"/>
          </w:tcPr>
          <w:p>
            <w:pPr>
              <w:spacing w:after="0"/>
              <w:rPr>
                <w:sz w:val="24"/>
                <w:szCs w:val="24"/>
                <w:color w:val="auto"/>
              </w:rPr>
            </w:pPr>
          </w:p>
        </w:tc>
      </w:tr>
      <w:tr>
        <w:trPr>
          <w:trHeight w:val="309"/>
        </w:trPr>
        <w:tc>
          <w:tcPr>
            <w:tcW w:w="1240" w:type="dxa"/>
            <w:vAlign w:val="bottom"/>
          </w:tcPr>
          <w:p>
            <w:pPr>
              <w:jc w:val="center"/>
              <w:ind w:right="32"/>
              <w:spacing w:after="0"/>
              <w:rPr>
                <w:sz w:val="20"/>
                <w:szCs w:val="20"/>
                <w:color w:val="auto"/>
              </w:rPr>
            </w:pPr>
            <w:r>
              <w:rPr>
                <w:rFonts w:ascii="Arial" w:cs="Arial" w:eastAsia="Arial" w:hAnsi="Arial"/>
                <w:sz w:val="18"/>
                <w:szCs w:val="18"/>
                <w:color w:val="auto"/>
                <w:w w:val="91"/>
              </w:rPr>
              <w:t>32.1</w:t>
            </w:r>
          </w:p>
        </w:tc>
        <w:tc>
          <w:tcPr>
            <w:tcW w:w="280" w:type="dxa"/>
            <w:vAlign w:val="bottom"/>
          </w:tcPr>
          <w:p>
            <w:pPr>
              <w:spacing w:after="0"/>
              <w:rPr>
                <w:sz w:val="24"/>
                <w:szCs w:val="24"/>
                <w:color w:val="auto"/>
              </w:rPr>
            </w:pPr>
          </w:p>
        </w:tc>
        <w:tc>
          <w:tcPr>
            <w:tcW w:w="9740" w:type="dxa"/>
            <w:vAlign w:val="bottom"/>
            <w:gridSpan w:val="6"/>
          </w:tcPr>
          <w:p>
            <w:pPr>
              <w:spacing w:after="0"/>
              <w:rPr>
                <w:rFonts w:ascii="Arial" w:cs="Arial" w:eastAsia="Arial" w:hAnsi="Arial"/>
                <w:sz w:val="18"/>
                <w:szCs w:val="18"/>
                <w:color w:val="0000FF"/>
                <w:w w:val="92"/>
              </w:rPr>
            </w:pPr>
            <w:hyperlink w:anchor="page90">
              <w:r>
                <w:rPr>
                  <w:rFonts w:ascii="Arial" w:cs="Arial" w:eastAsia="Arial" w:hAnsi="Arial"/>
                  <w:sz w:val="18"/>
                  <w:szCs w:val="18"/>
                  <w:color w:val="0000FF"/>
                  <w:w w:val="92"/>
                </w:rPr>
                <w:t>Certification by Chief Executive Officer of Periodic Financial Reports pursuant to Section 906 of the Sarbanes-Oxley Act of 2002, 18</w:t>
              </w:r>
            </w:hyperlink>
          </w:p>
        </w:tc>
      </w:tr>
      <w:tr>
        <w:trPr>
          <w:trHeight w:val="151"/>
        </w:trPr>
        <w:tc>
          <w:tcPr>
            <w:tcW w:w="1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720" w:type="dxa"/>
            <w:vAlign w:val="bottom"/>
            <w:tcBorders>
              <w:top w:val="single" w:sz="8" w:color="0000FF"/>
            </w:tcBorders>
            <w:gridSpan w:val="5"/>
          </w:tcPr>
          <w:p>
            <w:pPr>
              <w:spacing w:after="0" w:line="152" w:lineRule="exact"/>
              <w:rPr>
                <w:rFonts w:ascii="Arial" w:cs="Arial" w:eastAsia="Arial" w:hAnsi="Arial"/>
                <w:sz w:val="16"/>
                <w:szCs w:val="16"/>
                <w:color w:val="0000FF"/>
              </w:rPr>
            </w:pPr>
            <w:hyperlink w:anchor="page90">
              <w:r>
                <w:rPr>
                  <w:rFonts w:ascii="Arial" w:cs="Arial" w:eastAsia="Arial" w:hAnsi="Arial"/>
                  <w:sz w:val="16"/>
                  <w:szCs w:val="16"/>
                  <w:color w:val="0000FF"/>
                </w:rPr>
                <w:t>U.S.C. Section 1350.</w:t>
              </w:r>
            </w:hyperlink>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82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48"/>
        </w:trPr>
        <w:tc>
          <w:tcPr>
            <w:tcW w:w="1240" w:type="dxa"/>
            <w:vAlign w:val="bottom"/>
          </w:tcPr>
          <w:p>
            <w:pPr>
              <w:jc w:val="center"/>
              <w:ind w:right="32"/>
              <w:spacing w:after="0"/>
              <w:rPr>
                <w:sz w:val="20"/>
                <w:szCs w:val="20"/>
                <w:color w:val="auto"/>
              </w:rPr>
            </w:pPr>
            <w:r>
              <w:rPr>
                <w:rFonts w:ascii="Arial" w:cs="Arial" w:eastAsia="Arial" w:hAnsi="Arial"/>
                <w:sz w:val="18"/>
                <w:szCs w:val="18"/>
                <w:color w:val="auto"/>
                <w:w w:val="91"/>
              </w:rPr>
              <w:t>32.2</w:t>
            </w:r>
          </w:p>
        </w:tc>
        <w:tc>
          <w:tcPr>
            <w:tcW w:w="280" w:type="dxa"/>
            <w:vAlign w:val="bottom"/>
          </w:tcPr>
          <w:p>
            <w:pPr>
              <w:spacing w:after="0"/>
              <w:rPr>
                <w:sz w:val="24"/>
                <w:szCs w:val="24"/>
                <w:color w:val="auto"/>
              </w:rPr>
            </w:pPr>
          </w:p>
        </w:tc>
        <w:tc>
          <w:tcPr>
            <w:tcW w:w="9740" w:type="dxa"/>
            <w:vAlign w:val="bottom"/>
            <w:gridSpan w:val="6"/>
          </w:tcPr>
          <w:p>
            <w:pPr>
              <w:spacing w:after="0"/>
              <w:rPr>
                <w:rFonts w:ascii="Arial" w:cs="Arial" w:eastAsia="Arial" w:hAnsi="Arial"/>
                <w:sz w:val="18"/>
                <w:szCs w:val="18"/>
                <w:color w:val="0000FF"/>
                <w:w w:val="93"/>
              </w:rPr>
            </w:pPr>
            <w:hyperlink w:anchor="page91">
              <w:r>
                <w:rPr>
                  <w:rFonts w:ascii="Arial" w:cs="Arial" w:eastAsia="Arial" w:hAnsi="Arial"/>
                  <w:sz w:val="18"/>
                  <w:szCs w:val="18"/>
                  <w:color w:val="0000FF"/>
                  <w:w w:val="93"/>
                </w:rPr>
                <w:t>Certification by Chief Financial Officer of Periodic Financial Reports pursuant to Section 906 of the Sarbanes-Oxley Act of 2002, 18</w:t>
              </w:r>
            </w:hyperlink>
          </w:p>
        </w:tc>
      </w:tr>
      <w:tr>
        <w:trPr>
          <w:trHeight w:val="151"/>
        </w:trPr>
        <w:tc>
          <w:tcPr>
            <w:tcW w:w="1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700" w:type="dxa"/>
            <w:vAlign w:val="bottom"/>
            <w:tcBorders>
              <w:top w:val="single" w:sz="8" w:color="0000FF"/>
            </w:tcBorders>
            <w:gridSpan w:val="4"/>
          </w:tcPr>
          <w:p>
            <w:pPr>
              <w:spacing w:after="0" w:line="152" w:lineRule="exact"/>
              <w:rPr>
                <w:rFonts w:ascii="Arial" w:cs="Arial" w:eastAsia="Arial" w:hAnsi="Arial"/>
                <w:sz w:val="16"/>
                <w:szCs w:val="16"/>
                <w:color w:val="0000FF"/>
              </w:rPr>
            </w:pPr>
            <w:hyperlink w:anchor="page91">
              <w:r>
                <w:rPr>
                  <w:rFonts w:ascii="Arial" w:cs="Arial" w:eastAsia="Arial" w:hAnsi="Arial"/>
                  <w:sz w:val="16"/>
                  <w:szCs w:val="16"/>
                  <w:color w:val="0000FF"/>
                </w:rPr>
                <w:t>U.S.C. Section 1350.</w:t>
              </w:r>
            </w:hyperlink>
          </w:p>
        </w:tc>
        <w:tc>
          <w:tcPr>
            <w:tcW w:w="40" w:type="dxa"/>
            <w:vAlign w:val="bottom"/>
            <w:gridSpan w:val="2"/>
          </w:tcPr>
          <w:p>
            <w:pPr>
              <w:spacing w:after="0"/>
              <w:rPr>
                <w:sz w:val="13"/>
                <w:szCs w:val="13"/>
                <w:color w:val="auto"/>
              </w:rPr>
            </w:pPr>
          </w:p>
        </w:tc>
      </w:tr>
      <w:tr>
        <w:trPr>
          <w:trHeight w:val="20"/>
        </w:trPr>
        <w:tc>
          <w:tcPr>
            <w:tcW w:w="1520" w:type="dxa"/>
            <w:vAlign w:val="bottom"/>
            <w:gridSpan w:val="2"/>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8260" w:type="dxa"/>
            <w:vAlign w:val="bottom"/>
            <w:gridSpan w:val="5"/>
          </w:tcPr>
          <w:p>
            <w:pPr>
              <w:spacing w:after="0" w:line="20" w:lineRule="exact"/>
              <w:rPr>
                <w:sz w:val="1"/>
                <w:szCs w:val="1"/>
                <w:color w:val="auto"/>
              </w:rPr>
            </w:pPr>
          </w:p>
        </w:tc>
      </w:tr>
      <w:tr>
        <w:trPr>
          <w:trHeight w:val="387"/>
        </w:trPr>
        <w:tc>
          <w:tcPr>
            <w:tcW w:w="152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101.INS</w:t>
            </w:r>
          </w:p>
        </w:tc>
        <w:tc>
          <w:tcPr>
            <w:tcW w:w="9740" w:type="dxa"/>
            <w:vAlign w:val="bottom"/>
            <w:gridSpan w:val="6"/>
          </w:tcPr>
          <w:p>
            <w:pPr>
              <w:spacing w:after="0"/>
              <w:rPr>
                <w:sz w:val="20"/>
                <w:szCs w:val="20"/>
                <w:color w:val="auto"/>
              </w:rPr>
            </w:pPr>
            <w:r>
              <w:rPr>
                <w:rFonts w:ascii="Arial" w:cs="Arial" w:eastAsia="Arial" w:hAnsi="Arial"/>
                <w:sz w:val="18"/>
                <w:szCs w:val="18"/>
                <w:color w:val="auto"/>
              </w:rPr>
              <w:t>Inline XBRL Instance Document*</w:t>
            </w:r>
          </w:p>
        </w:tc>
      </w:tr>
      <w:tr>
        <w:trPr>
          <w:trHeight w:val="540"/>
        </w:trPr>
        <w:tc>
          <w:tcPr>
            <w:tcW w:w="1520" w:type="dxa"/>
            <w:vAlign w:val="bottom"/>
            <w:gridSpan w:val="2"/>
          </w:tcPr>
          <w:p>
            <w:pPr>
              <w:jc w:val="center"/>
              <w:ind w:right="400"/>
              <w:spacing w:after="0"/>
              <w:rPr>
                <w:sz w:val="20"/>
                <w:szCs w:val="20"/>
                <w:color w:val="auto"/>
              </w:rPr>
            </w:pPr>
            <w:r>
              <w:rPr>
                <w:rFonts w:ascii="Arial" w:cs="Arial" w:eastAsia="Arial" w:hAnsi="Arial"/>
                <w:sz w:val="18"/>
                <w:szCs w:val="18"/>
                <w:color w:val="auto"/>
                <w:w w:val="87"/>
              </w:rPr>
              <w:t>101.SCH</w:t>
            </w:r>
          </w:p>
        </w:tc>
        <w:tc>
          <w:tcPr>
            <w:tcW w:w="9740" w:type="dxa"/>
            <w:vAlign w:val="bottom"/>
            <w:gridSpan w:val="6"/>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68"/>
        </w:trPr>
        <w:tc>
          <w:tcPr>
            <w:tcW w:w="1520" w:type="dxa"/>
            <w:vAlign w:val="bottom"/>
            <w:gridSpan w:val="2"/>
          </w:tcPr>
          <w:p>
            <w:pPr>
              <w:jc w:val="center"/>
              <w:ind w:right="420"/>
              <w:spacing w:after="0"/>
              <w:rPr>
                <w:sz w:val="20"/>
                <w:szCs w:val="20"/>
                <w:color w:val="auto"/>
              </w:rPr>
            </w:pPr>
            <w:r>
              <w:rPr>
                <w:rFonts w:ascii="Arial" w:cs="Arial" w:eastAsia="Arial" w:hAnsi="Arial"/>
                <w:sz w:val="18"/>
                <w:szCs w:val="18"/>
                <w:color w:val="auto"/>
                <w:w w:val="94"/>
              </w:rPr>
              <w:t>101.CAL</w:t>
            </w:r>
          </w:p>
        </w:tc>
        <w:tc>
          <w:tcPr>
            <w:tcW w:w="9740" w:type="dxa"/>
            <w:vAlign w:val="bottom"/>
            <w:gridSpan w:val="6"/>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68"/>
        </w:trPr>
        <w:tc>
          <w:tcPr>
            <w:tcW w:w="152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101.DEF</w:t>
            </w:r>
          </w:p>
        </w:tc>
        <w:tc>
          <w:tcPr>
            <w:tcW w:w="9740" w:type="dxa"/>
            <w:vAlign w:val="bottom"/>
            <w:gridSpan w:val="6"/>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68"/>
        </w:trPr>
        <w:tc>
          <w:tcPr>
            <w:tcW w:w="152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101.PRE</w:t>
            </w:r>
          </w:p>
        </w:tc>
        <w:tc>
          <w:tcPr>
            <w:tcW w:w="9740" w:type="dxa"/>
            <w:vAlign w:val="bottom"/>
            <w:gridSpan w:val="6"/>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368"/>
        </w:trPr>
        <w:tc>
          <w:tcPr>
            <w:tcW w:w="1520" w:type="dxa"/>
            <w:vAlign w:val="bottom"/>
            <w:gridSpan w:val="2"/>
          </w:tcPr>
          <w:p>
            <w:pPr>
              <w:jc w:val="center"/>
              <w:ind w:right="420"/>
              <w:spacing w:after="0"/>
              <w:rPr>
                <w:sz w:val="20"/>
                <w:szCs w:val="20"/>
                <w:color w:val="auto"/>
              </w:rPr>
            </w:pPr>
            <w:r>
              <w:rPr>
                <w:rFonts w:ascii="Arial" w:cs="Arial" w:eastAsia="Arial" w:hAnsi="Arial"/>
                <w:sz w:val="18"/>
                <w:szCs w:val="18"/>
                <w:color w:val="auto"/>
                <w:w w:val="95"/>
              </w:rPr>
              <w:t>101.LAB</w:t>
            </w:r>
          </w:p>
        </w:tc>
        <w:tc>
          <w:tcPr>
            <w:tcW w:w="9740" w:type="dxa"/>
            <w:vAlign w:val="bottom"/>
            <w:gridSpan w:val="6"/>
          </w:tcPr>
          <w:p>
            <w:pPr>
              <w:spacing w:after="0"/>
              <w:rPr>
                <w:sz w:val="20"/>
                <w:szCs w:val="20"/>
                <w:color w:val="auto"/>
              </w:rPr>
            </w:pPr>
            <w:r>
              <w:rPr>
                <w:rFonts w:ascii="Arial" w:cs="Arial" w:eastAsia="Arial" w:hAnsi="Arial"/>
                <w:sz w:val="18"/>
                <w:szCs w:val="18"/>
                <w:color w:val="auto"/>
              </w:rPr>
              <w:t>Inline XBRL Taxonomy Extension Label Linkbase Document</w:t>
            </w:r>
          </w:p>
        </w:tc>
      </w:tr>
    </w:tbl>
    <w:p>
      <w:pPr>
        <w:spacing w:after="0" w:line="146" w:lineRule="exact"/>
        <w:rPr>
          <w:sz w:val="20"/>
          <w:szCs w:val="20"/>
          <w:color w:val="auto"/>
        </w:rPr>
      </w:pPr>
    </w:p>
    <w:p>
      <w:pPr>
        <w:ind w:left="1520" w:hanging="1094"/>
        <w:spacing w:after="0"/>
        <w:tabs>
          <w:tab w:leader="none" w:pos="15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Cover Page Interactive Data File formatted in Inline XBRL and contained in Exhibit 101.</w:t>
      </w:r>
    </w:p>
    <w:p>
      <w:pPr>
        <w:spacing w:after="0" w:line="207" w:lineRule="exact"/>
        <w:rPr>
          <w:rFonts w:ascii="Arial" w:cs="Arial" w:eastAsia="Arial" w:hAnsi="Arial"/>
          <w:sz w:val="18"/>
          <w:szCs w:val="18"/>
          <w:color w:val="auto"/>
        </w:rPr>
      </w:pPr>
    </w:p>
    <w:p>
      <w:pPr>
        <w:ind w:left="20"/>
        <w:spacing w:after="0"/>
        <w:rPr>
          <w:rFonts w:ascii="Arial" w:cs="Arial" w:eastAsia="Arial" w:hAnsi="Arial"/>
          <w:sz w:val="18"/>
          <w:szCs w:val="18"/>
          <w:color w:val="auto"/>
        </w:rPr>
      </w:pPr>
      <w:r>
        <w:rPr>
          <w:rFonts w:ascii="Arial" w:cs="Arial" w:eastAsia="Arial" w:hAnsi="Arial"/>
          <w:sz w:val="14"/>
          <w:szCs w:val="14"/>
          <w:color w:val="auto"/>
        </w:rPr>
        <w:t>* The instance document does not appear in the interactive data file because its XBRL tags are embedded within the inline XBRL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w:t>
      </w:r>
    </w:p>
    <w:p>
      <w:pPr>
        <w:spacing w:after="0" w:line="109" w:lineRule="exact"/>
        <w:rPr>
          <w:sz w:val="20"/>
          <w:szCs w:val="20"/>
          <w:color w:val="auto"/>
        </w:rPr>
      </w:pPr>
    </w:p>
    <w:p>
      <w:pPr>
        <w:ind w:right="140" w:firstLine="158"/>
        <w:spacing w:after="0" w:line="261"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ectPr>
          <w:pgSz w:w="11900" w:h="16838" w:orient="portrait"/>
          <w:cols w:equalWidth="0" w:num="1">
            <w:col w:w="11220"/>
          </w:cols>
          <w:pgMar w:left="320" w:top="104" w:right="359" w:bottom="1440" w:gutter="0" w:footer="0" w:header="0"/>
        </w:sectPr>
      </w:pPr>
    </w:p>
    <w:p>
      <w:pPr>
        <w:spacing w:after="0" w:line="10" w:lineRule="exact"/>
        <w:rPr>
          <w:sz w:val="20"/>
          <w:szCs w:val="20"/>
          <w:color w:val="auto"/>
        </w:rPr>
      </w:pPr>
    </w:p>
    <w:p>
      <w:pPr>
        <w:ind w:left="520"/>
        <w:spacing w:after="0"/>
        <w:rPr>
          <w:sz w:val="20"/>
          <w:szCs w:val="20"/>
          <w:color w:val="auto"/>
        </w:rPr>
      </w:pPr>
      <w:r>
        <w:rPr>
          <w:rFonts w:ascii="Arial" w:cs="Arial" w:eastAsia="Arial" w:hAnsi="Arial"/>
          <w:sz w:val="15"/>
          <w:szCs w:val="15"/>
          <w:color w:val="auto"/>
        </w:rPr>
        <w:t>Date: August 5, 2022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FIDELITY NATIONAL FINANCIAL, INC.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174" w:lineRule="exact"/>
        <w:rPr>
          <w:sz w:val="20"/>
          <w:szCs w:val="20"/>
          <w:color w:val="auto"/>
        </w:rPr>
      </w:pPr>
    </w:p>
    <w:p>
      <w:pPr>
        <w:sectPr>
          <w:pgSz w:w="11900" w:h="16838" w:orient="portrait"/>
          <w:cols w:equalWidth="0" w:num="2">
            <w:col w:w="4720" w:space="720"/>
            <w:col w:w="5780"/>
          </w:cols>
          <w:pgMar w:left="320" w:top="104" w:right="359" w:bottom="1440" w:gutter="0" w:footer="0" w:header="0"/>
          <w:type w:val="continuous"/>
        </w:sectPr>
      </w:pPr>
    </w:p>
    <w:p>
      <w:pPr>
        <w:ind w:left="54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i w:val="1"/>
          <w:iCs w:val="1"/>
          <w:color w:val="auto"/>
        </w:rPr>
        <w:t>/s/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269875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698750" cy="8255"/>
                    </a:xfrm>
                    <a:prstGeom prst="rect">
                      <a:avLst/>
                    </a:prstGeom>
                    <a:noFill/>
                  </pic:spPr>
                </pic:pic>
              </a:graphicData>
            </a:graphic>
          </wp:anchor>
        </w:drawing>
      </w:r>
    </w:p>
    <w:p>
      <w:pPr>
        <w:spacing w:after="0" w:line="64" w:lineRule="exact"/>
        <w:rPr>
          <w:sz w:val="20"/>
          <w:szCs w:val="20"/>
          <w:color w:val="auto"/>
        </w:rPr>
      </w:pPr>
    </w:p>
    <w:p>
      <w:pPr>
        <w:sectPr>
          <w:pgSz w:w="11900" w:h="16838" w:orient="portrait"/>
          <w:cols w:equalWidth="0" w:num="2">
            <w:col w:w="5700" w:space="240"/>
            <w:col w:w="5280"/>
          </w:cols>
          <w:pgMar w:left="320" w:top="104" w:right="359" w:bottom="1440" w:gutter="0" w:footer="0" w:header="0"/>
          <w:type w:val="continuous"/>
        </w:sectPr>
      </w:pPr>
    </w:p>
    <w:p>
      <w:pPr>
        <w:ind w:left="5940"/>
        <w:spacing w:after="0"/>
        <w:rPr>
          <w:sz w:val="20"/>
          <w:szCs w:val="20"/>
          <w:color w:val="auto"/>
        </w:rPr>
      </w:pPr>
      <w:r>
        <w:rPr>
          <w:rFonts w:ascii="Arial" w:cs="Arial" w:eastAsia="Arial" w:hAnsi="Arial"/>
          <w:sz w:val="18"/>
          <w:szCs w:val="18"/>
          <w:color w:val="auto"/>
        </w:rPr>
        <w:t>Anthony J. Park</w:t>
      </w:r>
    </w:p>
    <w:p>
      <w:pPr>
        <w:ind w:left="5940"/>
        <w:spacing w:after="0" w:line="233"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220"/>
          </w:cols>
          <w:pgMar w:left="320" w:top="104" w:right="359" w:bottom="1440" w:gutter="0" w:footer="0" w:header="0"/>
          <w:type w:val="continuous"/>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31.1</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 Michael J. Nolan, certify that:</w:t>
      </w:r>
    </w:p>
    <w:p>
      <w:pPr>
        <w:spacing w:after="0" w:line="150" w:lineRule="exact"/>
        <w:rPr>
          <w:sz w:val="20"/>
          <w:szCs w:val="20"/>
          <w:color w:val="auto"/>
        </w:rPr>
      </w:pPr>
    </w:p>
    <w:p>
      <w:pPr>
        <w:ind w:left="180" w:hanging="175"/>
        <w:spacing w:after="0"/>
        <w:tabs>
          <w:tab w:leader="none" w:pos="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annual report on Form 10-Q of Fidelity National Financial, Inc.;</w:t>
      </w:r>
    </w:p>
    <w:p>
      <w:pPr>
        <w:spacing w:after="0" w:line="161" w:lineRule="exact"/>
        <w:rPr>
          <w:rFonts w:ascii="Arial" w:cs="Arial" w:eastAsia="Arial" w:hAnsi="Arial"/>
          <w:sz w:val="18"/>
          <w:szCs w:val="18"/>
          <w:color w:val="auto"/>
        </w:rPr>
      </w:pPr>
    </w:p>
    <w:p>
      <w:pPr>
        <w:ind w:firstLine="5"/>
        <w:spacing w:after="0" w:line="324" w:lineRule="auto"/>
        <w:tabs>
          <w:tab w:leader="none" w:pos="178"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Arial" w:cs="Arial" w:eastAsia="Arial" w:hAnsi="Arial"/>
          <w:sz w:val="16"/>
          <w:szCs w:val="16"/>
          <w:color w:val="auto"/>
        </w:rPr>
      </w:pPr>
    </w:p>
    <w:p>
      <w:pPr>
        <w:ind w:firstLine="5"/>
        <w:spacing w:after="0" w:line="261" w:lineRule="auto"/>
        <w:tabs>
          <w:tab w:leader="none" w:pos="182"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8" w:lineRule="exact"/>
        <w:rPr>
          <w:rFonts w:ascii="Arial" w:cs="Arial" w:eastAsia="Arial" w:hAnsi="Arial"/>
          <w:sz w:val="18"/>
          <w:szCs w:val="18"/>
          <w:color w:val="auto"/>
        </w:rPr>
      </w:pPr>
    </w:p>
    <w:p>
      <w:pPr>
        <w:jc w:val="both"/>
        <w:ind w:firstLine="5"/>
        <w:spacing w:after="0" w:line="252" w:lineRule="auto"/>
        <w:tabs>
          <w:tab w:leader="none" w:pos="177"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7" w:lineRule="exact"/>
        <w:rPr>
          <w:rFonts w:ascii="Arial" w:cs="Arial" w:eastAsia="Arial" w:hAnsi="Arial"/>
          <w:sz w:val="18"/>
          <w:szCs w:val="18"/>
          <w:color w:val="auto"/>
        </w:rPr>
      </w:pPr>
    </w:p>
    <w:p>
      <w:pPr>
        <w:jc w:val="both"/>
        <w:ind w:left="1420" w:hanging="941"/>
        <w:spacing w:after="0" w:line="252" w:lineRule="auto"/>
        <w:tabs>
          <w:tab w:leader="none" w:pos="1417"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6" w:lineRule="exact"/>
        <w:rPr>
          <w:rFonts w:ascii="Arial" w:cs="Arial" w:eastAsia="Arial" w:hAnsi="Arial"/>
          <w:sz w:val="18"/>
          <w:szCs w:val="18"/>
          <w:color w:val="auto"/>
        </w:rPr>
      </w:pPr>
    </w:p>
    <w:p>
      <w:pPr>
        <w:jc w:val="both"/>
        <w:ind w:left="1420" w:hanging="941"/>
        <w:spacing w:after="0" w:line="252" w:lineRule="auto"/>
        <w:tabs>
          <w:tab w:leader="none" w:pos="1414"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6" w:lineRule="exact"/>
        <w:rPr>
          <w:rFonts w:ascii="Arial" w:cs="Arial" w:eastAsia="Arial" w:hAnsi="Arial"/>
          <w:sz w:val="18"/>
          <w:szCs w:val="18"/>
          <w:color w:val="auto"/>
        </w:rPr>
      </w:pPr>
    </w:p>
    <w:p>
      <w:pPr>
        <w:ind w:left="1420" w:hanging="941"/>
        <w:spacing w:after="0" w:line="324" w:lineRule="auto"/>
        <w:tabs>
          <w:tab w:leader="none" w:pos="1417"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Arial" w:cs="Arial" w:eastAsia="Arial" w:hAnsi="Arial"/>
          <w:sz w:val="16"/>
          <w:szCs w:val="16"/>
          <w:color w:val="auto"/>
        </w:rPr>
      </w:pPr>
    </w:p>
    <w:p>
      <w:pPr>
        <w:jc w:val="both"/>
        <w:ind w:left="1420" w:hanging="941"/>
        <w:spacing w:after="0" w:line="252" w:lineRule="auto"/>
        <w:tabs>
          <w:tab w:leader="none" w:pos="1414"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6" w:lineRule="exact"/>
        <w:rPr>
          <w:rFonts w:ascii="Arial" w:cs="Arial" w:eastAsia="Arial" w:hAnsi="Arial"/>
          <w:sz w:val="18"/>
          <w:szCs w:val="18"/>
          <w:color w:val="auto"/>
        </w:rPr>
      </w:pPr>
    </w:p>
    <w:p>
      <w:pPr>
        <w:ind w:firstLine="5"/>
        <w:spacing w:after="0" w:line="324" w:lineRule="auto"/>
        <w:tabs>
          <w:tab w:leader="none" w:pos="209"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82" w:lineRule="exact"/>
        <w:rPr>
          <w:rFonts w:ascii="Arial" w:cs="Arial" w:eastAsia="Arial" w:hAnsi="Arial"/>
          <w:sz w:val="16"/>
          <w:szCs w:val="16"/>
          <w:color w:val="auto"/>
        </w:rPr>
      </w:pPr>
    </w:p>
    <w:p>
      <w:pPr>
        <w:ind w:left="1420" w:hanging="941"/>
        <w:spacing w:after="0" w:line="324" w:lineRule="auto"/>
        <w:tabs>
          <w:tab w:leader="none" w:pos="1417" w:val="left"/>
        </w:tabs>
        <w:numPr>
          <w:ilvl w:val="1"/>
          <w:numId w:val="2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Arial" w:cs="Arial" w:eastAsia="Arial" w:hAnsi="Arial"/>
          <w:sz w:val="16"/>
          <w:szCs w:val="16"/>
          <w:color w:val="auto"/>
        </w:rPr>
      </w:pPr>
    </w:p>
    <w:p>
      <w:pPr>
        <w:ind w:left="1420" w:hanging="941"/>
        <w:spacing w:after="0" w:line="261" w:lineRule="auto"/>
        <w:tabs>
          <w:tab w:leader="none" w:pos="1414"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2022</w:t>
      </w:r>
    </w:p>
    <w:p>
      <w:pPr>
        <w:spacing w:after="0" w:line="43" w:lineRule="exact"/>
        <w:rPr>
          <w:sz w:val="20"/>
          <w:szCs w:val="20"/>
          <w:color w:val="auto"/>
        </w:rPr>
      </w:pPr>
    </w:p>
    <w:p>
      <w:pPr>
        <w:ind w:left="480"/>
        <w:spacing w:after="0"/>
        <w:tabs>
          <w:tab w:leader="none" w:pos="1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Michael J.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10160</wp:posOffset>
            </wp:positionV>
            <wp:extent cx="26238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623820" cy="8255"/>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8"/>
          <w:szCs w:val="18"/>
          <w:color w:val="auto"/>
        </w:rPr>
        <w:t>Michael J. Nolan</w:t>
      </w:r>
    </w:p>
    <w:p>
      <w:pPr>
        <w:ind w:left="11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71"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31.2</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 Anthony J. Park, certify that:</w:t>
      </w:r>
    </w:p>
    <w:p>
      <w:pPr>
        <w:spacing w:after="0" w:line="150" w:lineRule="exact"/>
        <w:rPr>
          <w:sz w:val="20"/>
          <w:szCs w:val="20"/>
          <w:color w:val="auto"/>
        </w:rPr>
      </w:pPr>
    </w:p>
    <w:p>
      <w:pPr>
        <w:ind w:left="180" w:hanging="175"/>
        <w:spacing w:after="0"/>
        <w:tabs>
          <w:tab w:leader="none" w:pos="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annual report on Form 10-Q of Fidelity National Financial, Inc.;</w:t>
      </w:r>
    </w:p>
    <w:p>
      <w:pPr>
        <w:spacing w:after="0" w:line="161" w:lineRule="exact"/>
        <w:rPr>
          <w:rFonts w:ascii="Arial" w:cs="Arial" w:eastAsia="Arial" w:hAnsi="Arial"/>
          <w:sz w:val="18"/>
          <w:szCs w:val="18"/>
          <w:color w:val="auto"/>
        </w:rPr>
      </w:pPr>
    </w:p>
    <w:p>
      <w:pPr>
        <w:ind w:firstLine="5"/>
        <w:spacing w:after="0" w:line="324" w:lineRule="auto"/>
        <w:tabs>
          <w:tab w:leader="none" w:pos="178"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Arial" w:cs="Arial" w:eastAsia="Arial" w:hAnsi="Arial"/>
          <w:sz w:val="16"/>
          <w:szCs w:val="16"/>
          <w:color w:val="auto"/>
        </w:rPr>
      </w:pPr>
    </w:p>
    <w:p>
      <w:pPr>
        <w:ind w:firstLine="5"/>
        <w:spacing w:after="0" w:line="261" w:lineRule="auto"/>
        <w:tabs>
          <w:tab w:leader="none" w:pos="182"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8" w:lineRule="exact"/>
        <w:rPr>
          <w:rFonts w:ascii="Arial" w:cs="Arial" w:eastAsia="Arial" w:hAnsi="Arial"/>
          <w:sz w:val="18"/>
          <w:szCs w:val="18"/>
          <w:color w:val="auto"/>
        </w:rPr>
      </w:pPr>
    </w:p>
    <w:p>
      <w:pPr>
        <w:jc w:val="both"/>
        <w:ind w:firstLine="5"/>
        <w:spacing w:after="0" w:line="252" w:lineRule="auto"/>
        <w:tabs>
          <w:tab w:leader="none" w:pos="177"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7" w:lineRule="exact"/>
        <w:rPr>
          <w:rFonts w:ascii="Arial" w:cs="Arial" w:eastAsia="Arial" w:hAnsi="Arial"/>
          <w:sz w:val="18"/>
          <w:szCs w:val="18"/>
          <w:color w:val="auto"/>
        </w:rPr>
      </w:pPr>
    </w:p>
    <w:p>
      <w:pPr>
        <w:jc w:val="both"/>
        <w:ind w:left="1420" w:hanging="941"/>
        <w:spacing w:after="0" w:line="252" w:lineRule="auto"/>
        <w:tabs>
          <w:tab w:leader="none" w:pos="1417"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6" w:lineRule="exact"/>
        <w:rPr>
          <w:rFonts w:ascii="Arial" w:cs="Arial" w:eastAsia="Arial" w:hAnsi="Arial"/>
          <w:sz w:val="18"/>
          <w:szCs w:val="18"/>
          <w:color w:val="auto"/>
        </w:rPr>
      </w:pPr>
    </w:p>
    <w:p>
      <w:pPr>
        <w:jc w:val="both"/>
        <w:ind w:left="1420" w:hanging="941"/>
        <w:spacing w:after="0" w:line="252" w:lineRule="auto"/>
        <w:tabs>
          <w:tab w:leader="none" w:pos="1414"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6" w:lineRule="exact"/>
        <w:rPr>
          <w:rFonts w:ascii="Arial" w:cs="Arial" w:eastAsia="Arial" w:hAnsi="Arial"/>
          <w:sz w:val="18"/>
          <w:szCs w:val="18"/>
          <w:color w:val="auto"/>
        </w:rPr>
      </w:pPr>
    </w:p>
    <w:p>
      <w:pPr>
        <w:ind w:left="1420" w:hanging="941"/>
        <w:spacing w:after="0" w:line="324" w:lineRule="auto"/>
        <w:tabs>
          <w:tab w:leader="none" w:pos="1417"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Arial" w:cs="Arial" w:eastAsia="Arial" w:hAnsi="Arial"/>
          <w:sz w:val="16"/>
          <w:szCs w:val="16"/>
          <w:color w:val="auto"/>
        </w:rPr>
      </w:pPr>
    </w:p>
    <w:p>
      <w:pPr>
        <w:jc w:val="both"/>
        <w:ind w:left="1420" w:hanging="941"/>
        <w:spacing w:after="0" w:line="252" w:lineRule="auto"/>
        <w:tabs>
          <w:tab w:leader="none" w:pos="1414"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6" w:lineRule="exact"/>
        <w:rPr>
          <w:rFonts w:ascii="Arial" w:cs="Arial" w:eastAsia="Arial" w:hAnsi="Arial"/>
          <w:sz w:val="18"/>
          <w:szCs w:val="18"/>
          <w:color w:val="auto"/>
        </w:rPr>
      </w:pPr>
    </w:p>
    <w:p>
      <w:pPr>
        <w:ind w:firstLine="5"/>
        <w:spacing w:after="0" w:line="324" w:lineRule="auto"/>
        <w:tabs>
          <w:tab w:leader="none" w:pos="209"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82" w:lineRule="exact"/>
        <w:rPr>
          <w:rFonts w:ascii="Arial" w:cs="Arial" w:eastAsia="Arial" w:hAnsi="Arial"/>
          <w:sz w:val="16"/>
          <w:szCs w:val="16"/>
          <w:color w:val="auto"/>
        </w:rPr>
      </w:pPr>
    </w:p>
    <w:p>
      <w:pPr>
        <w:ind w:left="1420" w:hanging="941"/>
        <w:spacing w:after="0" w:line="324" w:lineRule="auto"/>
        <w:tabs>
          <w:tab w:leader="none" w:pos="1417" w:val="left"/>
        </w:tabs>
        <w:numPr>
          <w:ilvl w:val="1"/>
          <w:numId w:val="3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Arial" w:cs="Arial" w:eastAsia="Arial" w:hAnsi="Arial"/>
          <w:sz w:val="16"/>
          <w:szCs w:val="16"/>
          <w:color w:val="auto"/>
        </w:rPr>
      </w:pPr>
    </w:p>
    <w:p>
      <w:pPr>
        <w:ind w:left="1420" w:hanging="941"/>
        <w:spacing w:after="0" w:line="261" w:lineRule="auto"/>
        <w:tabs>
          <w:tab w:leader="none" w:pos="1414"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640" w:type="dxa"/>
            <w:vAlign w:val="bottom"/>
          </w:tcPr>
          <w:p>
            <w:pPr>
              <w:ind w:left="1980"/>
              <w:spacing w:after="0"/>
              <w:rPr>
                <w:sz w:val="20"/>
                <w:szCs w:val="20"/>
                <w:color w:val="auto"/>
              </w:rPr>
            </w:pPr>
            <w:r>
              <w:rPr>
                <w:rFonts w:ascii="Arial" w:cs="Arial" w:eastAsia="Arial" w:hAnsi="Arial"/>
                <w:sz w:val="18"/>
                <w:szCs w:val="18"/>
                <w:color w:val="auto"/>
              </w:rPr>
              <w:t>By:</w:t>
            </w:r>
          </w:p>
        </w:tc>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Anthony J. Park</w:t>
            </w:r>
          </w:p>
        </w:tc>
        <w:tc>
          <w:tcPr>
            <w:tcW w:w="0" w:type="dxa"/>
            <w:vAlign w:val="bottom"/>
          </w:tcPr>
          <w:p>
            <w:pPr>
              <w:spacing w:after="0"/>
              <w:rPr>
                <w:sz w:val="1"/>
                <w:szCs w:val="1"/>
                <w:color w:val="auto"/>
              </w:rPr>
            </w:pPr>
          </w:p>
        </w:tc>
      </w:tr>
      <w:tr>
        <w:trPr>
          <w:trHeight w:val="165"/>
        </w:trPr>
        <w:tc>
          <w:tcPr>
            <w:tcW w:w="2640" w:type="dxa"/>
            <w:vAlign w:val="bottom"/>
          </w:tcPr>
          <w:p>
            <w:pPr>
              <w:spacing w:after="0"/>
              <w:rPr>
                <w:sz w:val="14"/>
                <w:szCs w:val="14"/>
                <w:color w:val="auto"/>
              </w:rPr>
            </w:pPr>
          </w:p>
        </w:tc>
        <w:tc>
          <w:tcPr>
            <w:tcW w:w="4120" w:type="dxa"/>
            <w:vAlign w:val="bottom"/>
          </w:tcPr>
          <w:p>
            <w:pPr>
              <w:ind w:left="20"/>
              <w:spacing w:after="0" w:line="165" w:lineRule="exact"/>
              <w:rPr>
                <w:sz w:val="20"/>
                <w:szCs w:val="20"/>
                <w:color w:val="auto"/>
              </w:rPr>
            </w:pPr>
            <w:r>
              <w:rPr>
                <w:rFonts w:ascii="Arial" w:cs="Arial" w:eastAsia="Arial" w:hAnsi="Arial"/>
                <w:sz w:val="18"/>
                <w:szCs w:val="18"/>
                <w:color w:val="auto"/>
              </w:rPr>
              <w:t>Anthony J. Park</w:t>
            </w:r>
          </w:p>
        </w:tc>
        <w:tc>
          <w:tcPr>
            <w:tcW w:w="0" w:type="dxa"/>
            <w:vAlign w:val="bottom"/>
          </w:tcPr>
          <w:p>
            <w:pPr>
              <w:spacing w:after="0"/>
              <w:rPr>
                <w:sz w:val="1"/>
                <w:szCs w:val="1"/>
                <w:color w:val="auto"/>
              </w:rPr>
            </w:pPr>
          </w:p>
        </w:tc>
      </w:tr>
      <w:tr>
        <w:trPr>
          <w:trHeight w:val="222"/>
        </w:trPr>
        <w:tc>
          <w:tcPr>
            <w:tcW w:w="2640" w:type="dxa"/>
            <w:vAlign w:val="bottom"/>
            <w:vMerge w:val="restart"/>
          </w:tcPr>
          <w:p>
            <w:pPr>
              <w:spacing w:after="0"/>
              <w:rPr>
                <w:sz w:val="20"/>
                <w:szCs w:val="20"/>
                <w:color w:val="auto"/>
              </w:rPr>
            </w:pPr>
            <w:r>
              <w:rPr>
                <w:rFonts w:ascii="Arial" w:cs="Arial" w:eastAsia="Arial" w:hAnsi="Arial"/>
                <w:sz w:val="18"/>
                <w:szCs w:val="18"/>
                <w:color w:val="auto"/>
              </w:rPr>
              <w:t>Date: August 5, 2022</w:t>
            </w:r>
          </w:p>
        </w:tc>
        <w:tc>
          <w:tcPr>
            <w:tcW w:w="4120" w:type="dxa"/>
            <w:vAlign w:val="bottom"/>
          </w:tcPr>
          <w:p>
            <w:pPr>
              <w:ind w:left="2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105"/>
        </w:trPr>
        <w:tc>
          <w:tcPr>
            <w:tcW w:w="2640" w:type="dxa"/>
            <w:vAlign w:val="bottom"/>
            <w:vMerge w:val="continue"/>
          </w:tcPr>
          <w:p>
            <w:pPr>
              <w:spacing w:after="0"/>
              <w:rPr>
                <w:sz w:val="9"/>
                <w:szCs w:val="9"/>
                <w:color w:val="auto"/>
              </w:rPr>
            </w:pPr>
          </w:p>
        </w:tc>
        <w:tc>
          <w:tcPr>
            <w:tcW w:w="4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1"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32.1</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REPORTS PURSUANT TO 18 U.S.C. §1350</w:t>
      </w:r>
    </w:p>
    <w:p>
      <w:pPr>
        <w:spacing w:after="0" w:line="246" w:lineRule="exact"/>
        <w:rPr>
          <w:sz w:val="20"/>
          <w:szCs w:val="20"/>
          <w:color w:val="auto"/>
        </w:rPr>
      </w:pPr>
    </w:p>
    <w:p>
      <w:pPr>
        <w:ind w:firstLine="376"/>
        <w:spacing w:after="0" w:line="261" w:lineRule="auto"/>
        <w:rPr>
          <w:sz w:val="20"/>
          <w:szCs w:val="20"/>
          <w:color w:val="auto"/>
        </w:rPr>
      </w:pPr>
      <w:r>
        <w:rPr>
          <w:rFonts w:ascii="Arial" w:cs="Arial" w:eastAsia="Arial" w:hAnsi="Arial"/>
          <w:sz w:val="18"/>
          <w:szCs w:val="18"/>
          <w:color w:val="auto"/>
        </w:rPr>
        <w:t>The undersigned hereby certifies that he is the duly appointed and acting Chief Executive Officer of Fidelity National Financial, Inc., a Delaware corporation (the “Company”), and hereby further certifies as follows.</w:t>
      </w:r>
    </w:p>
    <w:p>
      <w:pPr>
        <w:spacing w:after="0" w:line="129" w:lineRule="exact"/>
        <w:rPr>
          <w:sz w:val="20"/>
          <w:szCs w:val="20"/>
          <w:color w:val="auto"/>
        </w:rPr>
      </w:pPr>
    </w:p>
    <w:p>
      <w:pPr>
        <w:ind w:left="880" w:hanging="875"/>
        <w:spacing w:after="0" w:line="261"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periodic report containing financial statements to which this certificate is an exhibit fully complies with the requirements of Section 13(a) or 15(d) of the Securities Exchange Act of 1934.</w:t>
      </w:r>
    </w:p>
    <w:p>
      <w:pPr>
        <w:spacing w:after="0" w:line="207" w:lineRule="exact"/>
        <w:rPr>
          <w:rFonts w:ascii="Arial" w:cs="Arial" w:eastAsia="Arial" w:hAnsi="Arial"/>
          <w:sz w:val="18"/>
          <w:szCs w:val="18"/>
          <w:color w:val="auto"/>
        </w:rPr>
      </w:pPr>
    </w:p>
    <w:p>
      <w:pPr>
        <w:ind w:left="880" w:hanging="875"/>
        <w:spacing w:after="0" w:line="261"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 witness whereof, the undersigned has executed and delivered this certificate as of the date set forth opposite his signature below.</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340" w:type="dxa"/>
            <w:vAlign w:val="bottom"/>
          </w:tcPr>
          <w:p>
            <w:pPr>
              <w:ind w:left="1520"/>
              <w:spacing w:after="0"/>
              <w:rPr>
                <w:sz w:val="20"/>
                <w:szCs w:val="20"/>
                <w:color w:val="auto"/>
              </w:rPr>
            </w:pPr>
            <w:r>
              <w:rPr>
                <w:rFonts w:ascii="Arial" w:cs="Arial" w:eastAsia="Arial" w:hAnsi="Arial"/>
                <w:sz w:val="18"/>
                <w:szCs w:val="18"/>
                <w:color w:val="auto"/>
              </w:rPr>
              <w:t>By:</w:t>
            </w:r>
          </w:p>
        </w:tc>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Michael J. Nolan</w:t>
            </w:r>
          </w:p>
        </w:tc>
        <w:tc>
          <w:tcPr>
            <w:tcW w:w="0" w:type="dxa"/>
            <w:vAlign w:val="bottom"/>
          </w:tcPr>
          <w:p>
            <w:pPr>
              <w:spacing w:after="0"/>
              <w:rPr>
                <w:sz w:val="1"/>
                <w:szCs w:val="1"/>
                <w:color w:val="auto"/>
              </w:rPr>
            </w:pPr>
          </w:p>
        </w:tc>
      </w:tr>
      <w:tr>
        <w:trPr>
          <w:trHeight w:val="217"/>
        </w:trPr>
        <w:tc>
          <w:tcPr>
            <w:tcW w:w="2340" w:type="dxa"/>
            <w:vAlign w:val="bottom"/>
          </w:tcPr>
          <w:p>
            <w:pPr>
              <w:spacing w:after="0"/>
              <w:rPr>
                <w:sz w:val="18"/>
                <w:szCs w:val="18"/>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Michael J. Nolan</w:t>
            </w:r>
          </w:p>
        </w:tc>
        <w:tc>
          <w:tcPr>
            <w:tcW w:w="0" w:type="dxa"/>
            <w:vAlign w:val="bottom"/>
          </w:tcPr>
          <w:p>
            <w:pPr>
              <w:spacing w:after="0"/>
              <w:rPr>
                <w:sz w:val="1"/>
                <w:szCs w:val="1"/>
                <w:color w:val="auto"/>
              </w:rPr>
            </w:pPr>
          </w:p>
        </w:tc>
      </w:tr>
      <w:tr>
        <w:trPr>
          <w:trHeight w:val="224"/>
        </w:trPr>
        <w:tc>
          <w:tcPr>
            <w:tcW w:w="2340" w:type="dxa"/>
            <w:vAlign w:val="bottom"/>
            <w:vMerge w:val="restart"/>
          </w:tcPr>
          <w:p>
            <w:pPr>
              <w:spacing w:after="0"/>
              <w:rPr>
                <w:sz w:val="20"/>
                <w:szCs w:val="20"/>
                <w:color w:val="auto"/>
              </w:rPr>
            </w:pPr>
            <w:r>
              <w:rPr>
                <w:rFonts w:ascii="Arial" w:cs="Arial" w:eastAsia="Arial" w:hAnsi="Arial"/>
                <w:sz w:val="18"/>
                <w:szCs w:val="18"/>
                <w:color w:val="auto"/>
              </w:rPr>
              <w:t>Date: August 5, 2022</w:t>
            </w:r>
          </w:p>
        </w:tc>
        <w:tc>
          <w:tcPr>
            <w:tcW w:w="5280" w:type="dxa"/>
            <w:vAlign w:val="bottom"/>
          </w:tcPr>
          <w:p>
            <w:pPr>
              <w:ind w:left="20"/>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105"/>
        </w:trPr>
        <w:tc>
          <w:tcPr>
            <w:tcW w:w="2340" w:type="dxa"/>
            <w:vAlign w:val="bottom"/>
            <w:vMerge w:val="continue"/>
          </w:tcPr>
          <w:p>
            <w:pPr>
              <w:spacing w:after="0"/>
              <w:rPr>
                <w:sz w:val="9"/>
                <w:szCs w:val="9"/>
                <w:color w:val="auto"/>
              </w:rPr>
            </w:pPr>
          </w:p>
        </w:tc>
        <w:tc>
          <w:tcPr>
            <w:tcW w:w="528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08"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32.2</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REPORTS PURSUANT TO 18 U.S.C. §1350</w:t>
      </w:r>
    </w:p>
    <w:p>
      <w:pPr>
        <w:spacing w:after="0" w:line="167" w:lineRule="exact"/>
        <w:rPr>
          <w:sz w:val="20"/>
          <w:szCs w:val="20"/>
          <w:color w:val="auto"/>
        </w:rPr>
      </w:pPr>
    </w:p>
    <w:p>
      <w:pPr>
        <w:ind w:firstLine="221"/>
        <w:spacing w:after="0" w:line="261" w:lineRule="auto"/>
        <w:rPr>
          <w:sz w:val="20"/>
          <w:szCs w:val="20"/>
          <w:color w:val="auto"/>
        </w:rPr>
      </w:pPr>
      <w:r>
        <w:rPr>
          <w:rFonts w:ascii="Arial" w:cs="Arial" w:eastAsia="Arial" w:hAnsi="Arial"/>
          <w:sz w:val="18"/>
          <w:szCs w:val="18"/>
          <w:color w:val="auto"/>
        </w:rPr>
        <w:t>The undersigned hereby certifies that he is the duly appointed and acting Chief Financial Officer of Fidelity National Financial, Inc., a Delaware corporation (the “Company”), and hereby further certifies as follows.</w:t>
      </w:r>
    </w:p>
    <w:p>
      <w:pPr>
        <w:spacing w:after="0" w:line="129" w:lineRule="exact"/>
        <w:rPr>
          <w:sz w:val="20"/>
          <w:szCs w:val="20"/>
          <w:color w:val="auto"/>
        </w:rPr>
      </w:pPr>
    </w:p>
    <w:p>
      <w:pPr>
        <w:ind w:left="880" w:hanging="875"/>
        <w:spacing w:after="0" w:line="261"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periodic report containing financial statements to which this certificate is an exhibit fully complies with the requirements of Section 13(a) or 15(d) of the Securities Exchange Act of 1934.</w:t>
      </w:r>
    </w:p>
    <w:p>
      <w:pPr>
        <w:spacing w:after="0" w:line="207" w:lineRule="exact"/>
        <w:rPr>
          <w:rFonts w:ascii="Arial" w:cs="Arial" w:eastAsia="Arial" w:hAnsi="Arial"/>
          <w:sz w:val="18"/>
          <w:szCs w:val="18"/>
          <w:color w:val="auto"/>
        </w:rPr>
      </w:pPr>
    </w:p>
    <w:p>
      <w:pPr>
        <w:ind w:left="880" w:hanging="875"/>
        <w:spacing w:after="0" w:line="261"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 witness whereof, the undersigned has executed and delivered this certificate as of the date set forth opposite his signature below.</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280" w:type="dxa"/>
            <w:vAlign w:val="bottom"/>
          </w:tcPr>
          <w:p>
            <w:pPr>
              <w:ind w:left="1560"/>
              <w:spacing w:after="0"/>
              <w:rPr>
                <w:sz w:val="20"/>
                <w:szCs w:val="20"/>
                <w:color w:val="auto"/>
              </w:rPr>
            </w:pPr>
            <w:r>
              <w:rPr>
                <w:rFonts w:ascii="Arial" w:cs="Arial" w:eastAsia="Arial" w:hAnsi="Arial"/>
                <w:sz w:val="18"/>
                <w:szCs w:val="18"/>
                <w:color w:val="auto"/>
              </w:rPr>
              <w:t>By:</w:t>
            </w:r>
          </w:p>
        </w:tc>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Anthony J. Park</w:t>
            </w:r>
          </w:p>
        </w:tc>
        <w:tc>
          <w:tcPr>
            <w:tcW w:w="0" w:type="dxa"/>
            <w:vAlign w:val="bottom"/>
          </w:tcPr>
          <w:p>
            <w:pPr>
              <w:spacing w:after="0"/>
              <w:rPr>
                <w:sz w:val="1"/>
                <w:szCs w:val="1"/>
                <w:color w:val="auto"/>
              </w:rPr>
            </w:pPr>
          </w:p>
        </w:tc>
      </w:tr>
      <w:tr>
        <w:trPr>
          <w:trHeight w:val="217"/>
        </w:trPr>
        <w:tc>
          <w:tcPr>
            <w:tcW w:w="2280" w:type="dxa"/>
            <w:vAlign w:val="bottom"/>
          </w:tcPr>
          <w:p>
            <w:pPr>
              <w:spacing w:after="0"/>
              <w:rPr>
                <w:sz w:val="18"/>
                <w:szCs w:val="18"/>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Anthony J. Park</w:t>
            </w:r>
          </w:p>
        </w:tc>
        <w:tc>
          <w:tcPr>
            <w:tcW w:w="0" w:type="dxa"/>
            <w:vAlign w:val="bottom"/>
          </w:tcPr>
          <w:p>
            <w:pPr>
              <w:spacing w:after="0"/>
              <w:rPr>
                <w:sz w:val="1"/>
                <w:szCs w:val="1"/>
                <w:color w:val="auto"/>
              </w:rPr>
            </w:pPr>
          </w:p>
        </w:tc>
      </w:tr>
      <w:tr>
        <w:trPr>
          <w:trHeight w:val="224"/>
        </w:trPr>
        <w:tc>
          <w:tcPr>
            <w:tcW w:w="2280" w:type="dxa"/>
            <w:vAlign w:val="bottom"/>
            <w:vMerge w:val="restart"/>
          </w:tcPr>
          <w:p>
            <w:pPr>
              <w:spacing w:after="0"/>
              <w:rPr>
                <w:sz w:val="20"/>
                <w:szCs w:val="20"/>
                <w:color w:val="auto"/>
              </w:rPr>
            </w:pPr>
            <w:r>
              <w:rPr>
                <w:rFonts w:ascii="Arial" w:cs="Arial" w:eastAsia="Arial" w:hAnsi="Arial"/>
                <w:sz w:val="18"/>
                <w:szCs w:val="18"/>
                <w:color w:val="auto"/>
              </w:rPr>
              <w:t>Date: August 5, 2022</w:t>
            </w:r>
          </w:p>
        </w:tc>
        <w:tc>
          <w:tcPr>
            <w:tcW w:w="5260" w:type="dxa"/>
            <w:vAlign w:val="bottom"/>
          </w:tcPr>
          <w:p>
            <w:pPr>
              <w:ind w:left="2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105"/>
        </w:trPr>
        <w:tc>
          <w:tcPr>
            <w:tcW w:w="2280" w:type="dxa"/>
            <w:vAlign w:val="bottom"/>
            <w:vMerge w:val="continue"/>
          </w:tcPr>
          <w:p>
            <w:pPr>
              <w:spacing w:after="0"/>
              <w:rPr>
                <w:sz w:val="9"/>
                <w:szCs w:val="9"/>
                <w:color w:val="auto"/>
              </w:rPr>
            </w:pPr>
          </w:p>
        </w:tc>
        <w:tc>
          <w:tcPr>
            <w:tcW w:w="52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87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decimal"/>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1)"/>
      <w:numFmt w:val="decimal"/>
      <w:start w:val="1"/>
    </w:lvl>
  </w:abstractNum>
  <w:abstractNum w:abstractNumId="8">
    <w:nsid w:val="436C6125"/>
    <w:multiLevelType w:val="hybridMultilevel"/>
    <w:lvl w:ilvl="0">
      <w:lvlJc w:val="left"/>
      <w:lvlText w:val="(%1)"/>
      <w:numFmt w:val="decimal"/>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1)"/>
      <w:numFmt w:val="lowerRoman"/>
      <w:start w:val="1"/>
    </w:lvl>
  </w:abstractNum>
  <w:abstractNum w:abstractNumId="12">
    <w:nsid w:val="2443A858"/>
    <w:multiLevelType w:val="hybridMultilevel"/>
    <w:lvl w:ilvl="0">
      <w:lvlJc w:val="left"/>
      <w:lvlText w:val="(%1)"/>
      <w:numFmt w:val="lowerRoman"/>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1)"/>
      <w:numFmt w:val="lowerRoman"/>
      <w:start w:val="1"/>
    </w:lvl>
  </w:abstractNum>
  <w:abstractNum w:abstractNumId="25">
    <w:nsid w:val="2901D82"/>
    <w:multiLevelType w:val="hybridMultilevel"/>
    <w:lvl w:ilvl="0">
      <w:lvlJc w:val="left"/>
      <w:lvlText w:val="(%1)"/>
      <w:numFmt w:val="lowerLetter"/>
      <w:start w:val="1"/>
    </w:lvl>
  </w:abstractNum>
  <w:abstractNum w:abstractNumId="26">
    <w:nsid w:val="3A95F874"/>
    <w:multiLevelType w:val="hybridMultilevel"/>
    <w:lvl w:ilvl="0">
      <w:lvlJc w:val="left"/>
      <w:lvlText w:val="(%1)"/>
      <w:numFmt w:val="decimal"/>
      <w:start w:val="1"/>
    </w:lvl>
  </w:abstractNum>
  <w:abstractNum w:abstractNumId="27">
    <w:nsid w:val="8138641"/>
    <w:multiLevelType w:val="hybridMultilevel"/>
    <w:lvl w:ilvl="0">
      <w:lvlJc w:val="left"/>
      <w:lvlText w:val="*"/>
      <w:numFmt w:val="bullet"/>
      <w:start w:val="1"/>
    </w:lvl>
    <w:lvl w:ilvl="1">
      <w:lvlJc w:val="left"/>
      <w:lvlText w:val="%2"/>
      <w:numFmt w:val="decimal"/>
      <w:start w:val="104"/>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2022-08-05T15:25:20Z</dcterms:created>
  <dcterms:modified xsi:type="dcterms:W3CDTF">2022-08-05T15:25:20Z</dcterms:modified>
</cp:coreProperties>
</file>