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spacing w:after="0" w:line="34"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(Mark One)</w:t>
      </w:r>
    </w:p>
    <w:p>
      <w:pPr>
        <w:spacing w:after="0" w:line="18" w:lineRule="exact"/>
        <w:rPr>
          <w:sz w:val="20"/>
          <w:szCs w:val="20"/>
          <w:color w:val="auto"/>
        </w:rPr>
      </w:pPr>
    </w:p>
    <w:p>
      <w:pPr>
        <w:ind w:left="1860" w:hanging="933"/>
        <w:spacing w:after="0"/>
        <w:tabs>
          <w:tab w:leader="none" w:pos="186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 (No Fee Required)</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3"/>
          <w:szCs w:val="13"/>
          <w:b w:val="1"/>
          <w:bCs w:val="1"/>
          <w:color w:val="auto"/>
        </w:rPr>
        <w:t>For the Fiscal Year Ended December 31, 2009</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860" w:right="680" w:hanging="903"/>
        <w:spacing w:after="0" w:line="236" w:lineRule="auto"/>
        <w:tabs>
          <w:tab w:leader="none" w:pos="18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 (No Fee Required)</w:t>
      </w:r>
    </w:p>
    <w:p>
      <w:pPr>
        <w:spacing w:after="0" w:line="70"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Commission File No. 1-32630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44450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77" w:lineRule="exact"/>
        <w:rPr>
          <w:sz w:val="20"/>
          <w:szCs w:val="20"/>
          <w:color w:val="auto"/>
        </w:rPr>
      </w:pPr>
    </w:p>
    <w:p>
      <w:pPr>
        <w:jc w:val="center"/>
        <w:ind w:right="-359"/>
        <w:spacing w:after="0"/>
        <w:rPr>
          <w:sz w:val="20"/>
          <w:szCs w:val="20"/>
          <w:color w:val="auto"/>
        </w:rPr>
      </w:pPr>
      <w:r>
        <w:rPr>
          <w:rFonts w:ascii="Arial" w:cs="Arial" w:eastAsia="Arial" w:hAnsi="Arial"/>
          <w:sz w:val="31"/>
          <w:szCs w:val="31"/>
          <w:b w:val="1"/>
          <w:bCs w:val="1"/>
          <w:color w:val="auto"/>
        </w:rPr>
        <w:t>Fidelity National Financial, Inc.</w:t>
      </w:r>
    </w:p>
    <w:p>
      <w:pPr>
        <w:spacing w:after="0" w:line="34"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00"/>
          </w:cols>
          <w:pgMar w:left="220" w:top="127" w:right="579" w:bottom="1440" w:gutter="0" w:footer="0" w:header="0"/>
        </w:sectPr>
      </w:pPr>
    </w:p>
    <w:p>
      <w:pPr>
        <w:spacing w:after="0" w:line="84"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Delaware</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9"/>
          <w:szCs w:val="9"/>
          <w:i w:val="1"/>
          <w:iCs w:val="1"/>
          <w:color w:val="auto"/>
        </w:rPr>
        <w:t>(State or other jurisdiction of incorporation or organization)</w:t>
      </w:r>
    </w:p>
    <w:p>
      <w:pPr>
        <w:spacing w:after="0" w:line="12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601 Riverside Avenue</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Jacksonville, Florida 32204</w:t>
      </w:r>
    </w:p>
    <w:p>
      <w:pPr>
        <w:spacing w:after="0" w:line="4" w:lineRule="exact"/>
        <w:rPr>
          <w:sz w:val="20"/>
          <w:szCs w:val="20"/>
          <w:color w:val="auto"/>
        </w:rPr>
      </w:pPr>
    </w:p>
    <w:p>
      <w:pPr>
        <w:ind w:left="1820"/>
        <w:spacing w:after="0"/>
        <w:rPr>
          <w:sz w:val="20"/>
          <w:szCs w:val="20"/>
          <w:color w:val="auto"/>
        </w:rPr>
      </w:pPr>
      <w:r>
        <w:rPr>
          <w:rFonts w:ascii="Arial" w:cs="Arial" w:eastAsia="Arial" w:hAnsi="Arial"/>
          <w:sz w:val="10"/>
          <w:szCs w:val="10"/>
          <w:i w:val="1"/>
          <w:iCs w:val="1"/>
          <w:color w:val="auto"/>
        </w:rPr>
        <w:t>(Address of principal executive offices, including zip code)</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02" w:lineRule="exact"/>
        <w:rPr>
          <w:sz w:val="20"/>
          <w:szCs w:val="20"/>
          <w:color w:val="auto"/>
        </w:rPr>
      </w:pPr>
    </w:p>
    <w:p>
      <w:pPr>
        <w:ind w:left="29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860"/>
        <w:spacing w:after="0"/>
        <w:rPr>
          <w:sz w:val="20"/>
          <w:szCs w:val="20"/>
          <w:color w:val="auto"/>
        </w:rPr>
      </w:pPr>
      <w:r>
        <w:rPr>
          <w:rFonts w:ascii="Arial" w:cs="Arial" w:eastAsia="Arial" w:hAnsi="Arial"/>
          <w:sz w:val="13"/>
          <w:szCs w:val="13"/>
          <w:b w:val="1"/>
          <w:bCs w:val="1"/>
          <w:color w:val="auto"/>
        </w:rPr>
        <w:t>16-1725106</w:t>
      </w:r>
    </w:p>
    <w:p>
      <w:pPr>
        <w:spacing w:after="0" w:line="16" w:lineRule="exact"/>
        <w:rPr>
          <w:sz w:val="20"/>
          <w:szCs w:val="20"/>
          <w:color w:val="auto"/>
        </w:rPr>
      </w:pPr>
    </w:p>
    <w:p>
      <w:pPr>
        <w:jc w:val="center"/>
        <w:ind w:right="1860"/>
        <w:spacing w:after="0"/>
        <w:rPr>
          <w:sz w:val="20"/>
          <w:szCs w:val="20"/>
          <w:color w:val="auto"/>
        </w:rPr>
      </w:pPr>
      <w:r>
        <w:rPr>
          <w:rFonts w:ascii="Arial" w:cs="Arial" w:eastAsia="Arial" w:hAnsi="Arial"/>
          <w:sz w:val="9"/>
          <w:szCs w:val="9"/>
          <w:i w:val="1"/>
          <w:iCs w:val="1"/>
          <w:color w:val="auto"/>
        </w:rPr>
        <w:t>(I.R.S. Employer Identification No.)</w:t>
      </w:r>
    </w:p>
    <w:p>
      <w:pPr>
        <w:spacing w:after="0" w:line="125" w:lineRule="exact"/>
        <w:rPr>
          <w:sz w:val="20"/>
          <w:szCs w:val="20"/>
          <w:color w:val="auto"/>
        </w:rPr>
      </w:pPr>
    </w:p>
    <w:p>
      <w:pPr>
        <w:jc w:val="center"/>
        <w:ind w:right="1860"/>
        <w:spacing w:after="0"/>
        <w:rPr>
          <w:sz w:val="20"/>
          <w:szCs w:val="20"/>
          <w:color w:val="auto"/>
        </w:rPr>
      </w:pPr>
      <w:r>
        <w:rPr>
          <w:rFonts w:ascii="Arial" w:cs="Arial" w:eastAsia="Arial" w:hAnsi="Arial"/>
          <w:sz w:val="13"/>
          <w:szCs w:val="13"/>
          <w:b w:val="1"/>
          <w:bCs w:val="1"/>
          <w:color w:val="auto"/>
        </w:rPr>
        <w:t>(904) 854-8100</w:t>
      </w:r>
    </w:p>
    <w:p>
      <w:pPr>
        <w:spacing w:after="0" w:line="9" w:lineRule="exact"/>
        <w:rPr>
          <w:sz w:val="20"/>
          <w:szCs w:val="20"/>
          <w:color w:val="auto"/>
        </w:rPr>
      </w:pPr>
    </w:p>
    <w:p>
      <w:pPr>
        <w:jc w:val="center"/>
        <w:ind w:right="1860"/>
        <w:spacing w:after="0"/>
        <w:rPr>
          <w:sz w:val="20"/>
          <w:szCs w:val="20"/>
          <w:color w:val="auto"/>
        </w:rPr>
      </w:pPr>
      <w:r>
        <w:rPr>
          <w:rFonts w:ascii="Arial" w:cs="Arial" w:eastAsia="Arial" w:hAnsi="Arial"/>
          <w:sz w:val="10"/>
          <w:szCs w:val="10"/>
          <w:i w:val="1"/>
          <w:iCs w:val="1"/>
          <w:color w:val="auto"/>
        </w:rPr>
        <w:t>(Registrant’s telephone number,</w:t>
      </w:r>
    </w:p>
    <w:p>
      <w:pPr>
        <w:jc w:val="center"/>
        <w:ind w:right="1860"/>
        <w:spacing w:after="0"/>
        <w:rPr>
          <w:sz w:val="20"/>
          <w:szCs w:val="20"/>
          <w:color w:val="auto"/>
        </w:rPr>
      </w:pPr>
      <w:r>
        <w:rPr>
          <w:rFonts w:ascii="Arial" w:cs="Arial" w:eastAsia="Arial" w:hAnsi="Arial"/>
          <w:sz w:val="10"/>
          <w:szCs w:val="10"/>
          <w:i w:val="1"/>
          <w:iCs w:val="1"/>
          <w:color w:val="auto"/>
        </w:rPr>
        <w:t>including area code)</w:t>
      </w:r>
    </w:p>
    <w:p>
      <w:pPr>
        <w:spacing w:after="0" w:line="374" w:lineRule="exact"/>
        <w:rPr>
          <w:sz w:val="20"/>
          <w:szCs w:val="20"/>
          <w:color w:val="auto"/>
        </w:rPr>
      </w:pPr>
    </w:p>
    <w:p>
      <w:pPr>
        <w:jc w:val="right"/>
        <w:ind w:right="60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Each Exchange on Which Registered</w:t>
      </w:r>
    </w:p>
    <w:p>
      <w:pPr>
        <w:spacing w:after="0" w:line="60" w:lineRule="exact"/>
        <w:rPr>
          <w:sz w:val="20"/>
          <w:szCs w:val="20"/>
          <w:color w:val="auto"/>
        </w:rPr>
      </w:pPr>
    </w:p>
    <w:p>
      <w:pPr>
        <w:sectPr>
          <w:pgSz w:w="11900" w:h="16838" w:orient="portrait"/>
          <w:cols w:equalWidth="0" w:num="2">
            <w:col w:w="7340" w:space="400"/>
            <w:col w:w="3360"/>
          </w:cols>
          <w:pgMar w:left="220" w:top="127" w:right="579" w:bottom="1440" w:gutter="0" w:footer="0" w:header="0"/>
          <w:type w:val="continuous"/>
        </w:sectPr>
      </w:pPr>
    </w:p>
    <w:p>
      <w:pPr>
        <w:ind w:left="2080"/>
        <w:spacing w:after="0"/>
        <w:tabs>
          <w:tab w:leader="none" w:pos="7760" w:val="left"/>
        </w:tabs>
        <w:rPr>
          <w:sz w:val="20"/>
          <w:szCs w:val="20"/>
          <w:color w:val="auto"/>
        </w:rPr>
      </w:pPr>
      <w:r>
        <w:rPr>
          <w:rFonts w:ascii="Arial" w:cs="Arial" w:eastAsia="Arial" w:hAnsi="Arial"/>
          <w:sz w:val="13"/>
          <w:szCs w:val="13"/>
          <w:color w:val="auto"/>
        </w:rPr>
        <w:t>Common Stock, $0.0001 par value</w:t>
      </w:r>
      <w:r>
        <w:rPr>
          <w:sz w:val="20"/>
          <w:szCs w:val="20"/>
          <w:color w:val="auto"/>
        </w:rPr>
        <w:tab/>
      </w:r>
      <w:r>
        <w:rPr>
          <w:rFonts w:ascii="Arial" w:cs="Arial" w:eastAsia="Arial" w:hAnsi="Arial"/>
          <w:sz w:val="11"/>
          <w:szCs w:val="11"/>
          <w:color w:val="auto"/>
        </w:rPr>
        <w:t>New York Stock Exchange</w:t>
      </w:r>
    </w:p>
    <w:p>
      <w:pPr>
        <w:spacing w:after="0" w:line="92"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75" w:lineRule="exact"/>
        <w:rPr>
          <w:sz w:val="20"/>
          <w:szCs w:val="20"/>
          <w:color w:val="auto"/>
        </w:rPr>
      </w:pPr>
    </w:p>
    <w:p>
      <w:pPr>
        <w:ind w:left="660"/>
        <w:spacing w:after="0" w:line="138" w:lineRule="exact"/>
        <w:tabs>
          <w:tab w:leader="none" w:pos="736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108" w:lineRule="exact"/>
        <w:rPr>
          <w:sz w:val="20"/>
          <w:szCs w:val="20"/>
          <w:color w:val="auto"/>
        </w:rPr>
      </w:pPr>
    </w:p>
    <w:p>
      <w:pPr>
        <w:ind w:left="660"/>
        <w:spacing w:after="0" w:line="138" w:lineRule="exact"/>
        <w:tabs>
          <w:tab w:leader="none" w:pos="742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1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260" w:firstLine="324"/>
        <w:spacing w:after="0" w:line="371"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2"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40"/>
        <w:spacing w:after="0" w:line="150" w:lineRule="exact"/>
        <w:tabs>
          <w:tab w:leader="none" w:pos="3180" w:val="left"/>
          <w:tab w:leader="none" w:pos="6260" w:val="left"/>
          <w:tab w:leader="none" w:pos="87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1"/>
          <w:szCs w:val="11"/>
          <w:color w:val="auto"/>
        </w:rPr>
        <w:t>Smaller reporting company o</w:t>
      </w:r>
    </w:p>
    <w:p>
      <w:pPr>
        <w:spacing w:after="0" w:line="37" w:lineRule="exact"/>
        <w:rPr>
          <w:sz w:val="20"/>
          <w:szCs w:val="20"/>
          <w:color w:val="auto"/>
        </w:rPr>
      </w:pPr>
    </w:p>
    <w:p>
      <w:pPr>
        <w:ind w:left="6040"/>
        <w:spacing w:after="0"/>
        <w:rPr>
          <w:sz w:val="20"/>
          <w:szCs w:val="20"/>
          <w:color w:val="auto"/>
        </w:rPr>
      </w:pPr>
      <w:r>
        <w:rPr>
          <w:rFonts w:ascii="Arial" w:cs="Arial" w:eastAsia="Arial" w:hAnsi="Arial"/>
          <w:sz w:val="10"/>
          <w:szCs w:val="10"/>
          <w:color w:val="auto"/>
        </w:rPr>
        <w:t>(Do not check if a smaller reporting company)</w:t>
      </w:r>
    </w:p>
    <w:p>
      <w:pPr>
        <w:spacing w:after="0" w:line="102" w:lineRule="exact"/>
        <w:rPr>
          <w:sz w:val="20"/>
          <w:szCs w:val="20"/>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340" w:right="60" w:firstLine="324"/>
        <w:spacing w:after="0" w:line="276" w:lineRule="auto"/>
        <w:rPr>
          <w:sz w:val="20"/>
          <w:szCs w:val="20"/>
          <w:color w:val="auto"/>
        </w:rPr>
      </w:pPr>
      <w:r>
        <w:rPr>
          <w:rFonts w:ascii="Arial" w:cs="Arial" w:eastAsia="Arial" w:hAnsi="Arial"/>
          <w:sz w:val="13"/>
          <w:szCs w:val="13"/>
          <w:color w:val="auto"/>
        </w:rPr>
        <w:t>The aggregate market value of the shares of the common stock held by non-affiliates of the registrant as of June 30, 2009 was $2,965,778,449, based on the closing price of $13.53 as reported by the New York Stock Exchange.</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January 31, 2010, there were 227,388,702 shares of Common Stock outstanding.</w:t>
      </w:r>
    </w:p>
    <w:p>
      <w:pPr>
        <w:spacing w:after="0" w:line="96"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The information in Part III hereof is incorporated herein by reference to the registrant’s Proxy Statement on Schedule 14A for the fiscal year ended December 31, 2009, to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61595</wp:posOffset>
            </wp:positionV>
            <wp:extent cx="684720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gridSpan w:val="17"/>
          </w:tcPr>
          <w:p>
            <w:pPr>
              <w:jc w:val="center"/>
              <w:ind w:right="2940"/>
              <w:spacing w:after="0"/>
              <w:rPr>
                <w:sz w:val="20"/>
                <w:szCs w:val="20"/>
                <w:color w:val="auto"/>
              </w:rPr>
            </w:pPr>
            <w:r>
              <w:rPr>
                <w:rFonts w:ascii="Arial" w:cs="Arial" w:eastAsia="Arial" w:hAnsi="Arial"/>
                <w:sz w:val="13"/>
                <w:szCs w:val="13"/>
                <w:b w:val="1"/>
                <w:bCs w:val="1"/>
                <w:color w:val="auto"/>
              </w:rPr>
              <w:t>FIDELITY NATIONAL FINANCIAL, INC.</w:t>
            </w:r>
          </w:p>
        </w:tc>
        <w:tc>
          <w:tcPr>
            <w:tcW w:w="580" w:type="dxa"/>
            <w:vAlign w:val="bottom"/>
          </w:tcPr>
          <w:p>
            <w:pPr>
              <w:spacing w:after="0"/>
              <w:rPr>
                <w:sz w:val="13"/>
                <w:szCs w:val="13"/>
                <w:color w:val="auto"/>
              </w:rPr>
            </w:pPr>
          </w:p>
        </w:tc>
      </w:tr>
      <w:tr>
        <w:trPr>
          <w:trHeight w:val="157"/>
        </w:trPr>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60" w:type="dxa"/>
            <w:vAlign w:val="bottom"/>
            <w:gridSpan w:val="13"/>
          </w:tcPr>
          <w:p>
            <w:pPr>
              <w:jc w:val="center"/>
              <w:ind w:right="3940"/>
              <w:spacing w:after="0"/>
              <w:rPr>
                <w:sz w:val="20"/>
                <w:szCs w:val="20"/>
                <w:color w:val="auto"/>
              </w:rPr>
            </w:pPr>
            <w:r>
              <w:rPr>
                <w:rFonts w:ascii="Arial" w:cs="Arial" w:eastAsia="Arial" w:hAnsi="Arial"/>
                <w:sz w:val="13"/>
                <w:szCs w:val="13"/>
                <w:b w:val="1"/>
                <w:bCs w:val="1"/>
                <w:color w:val="auto"/>
              </w:rPr>
              <w:t>FORM 10-K</w:t>
            </w:r>
          </w:p>
        </w:tc>
        <w:tc>
          <w:tcPr>
            <w:tcW w:w="580" w:type="dxa"/>
            <w:vAlign w:val="bottom"/>
          </w:tcPr>
          <w:p>
            <w:pPr>
              <w:spacing w:after="0"/>
              <w:rPr>
                <w:sz w:val="13"/>
                <w:szCs w:val="13"/>
                <w:color w:val="auto"/>
              </w:rPr>
            </w:pPr>
          </w:p>
        </w:tc>
      </w:tr>
      <w:tr>
        <w:trPr>
          <w:trHeight w:val="169"/>
        </w:trPr>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14"/>
          </w:tcPr>
          <w:p>
            <w:pPr>
              <w:jc w:val="center"/>
              <w:ind w:right="3560"/>
              <w:spacing w:after="0"/>
              <w:rPr>
                <w:sz w:val="20"/>
                <w:szCs w:val="20"/>
                <w:color w:val="auto"/>
              </w:rPr>
            </w:pPr>
            <w:r>
              <w:rPr>
                <w:rFonts w:ascii="Arial" w:cs="Arial" w:eastAsia="Arial" w:hAnsi="Arial"/>
                <w:sz w:val="13"/>
                <w:szCs w:val="13"/>
                <w:b w:val="1"/>
                <w:bCs w:val="1"/>
                <w:color w:val="auto"/>
                <w:w w:val="99"/>
              </w:rPr>
              <w:t>TABLE OF CONTENTS</w:t>
            </w:r>
          </w:p>
        </w:tc>
        <w:tc>
          <w:tcPr>
            <w:tcW w:w="580" w:type="dxa"/>
            <w:vAlign w:val="bottom"/>
          </w:tcPr>
          <w:p>
            <w:pPr>
              <w:spacing w:after="0"/>
              <w:rPr>
                <w:sz w:val="14"/>
                <w:szCs w:val="14"/>
                <w:color w:val="auto"/>
              </w:rPr>
            </w:pPr>
          </w:p>
        </w:tc>
      </w:tr>
      <w:tr>
        <w:trPr>
          <w:trHeight w:val="269"/>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580" w:type="dxa"/>
            <w:vAlign w:val="bottom"/>
          </w:tcPr>
          <w:p>
            <w:pPr>
              <w:jc w:val="right"/>
              <w:ind w:right="116"/>
              <w:spacing w:after="0"/>
              <w:rPr>
                <w:sz w:val="20"/>
                <w:szCs w:val="20"/>
                <w:color w:val="auto"/>
              </w:rPr>
            </w:pPr>
            <w:r>
              <w:rPr>
                <w:rFonts w:ascii="Arial" w:cs="Arial" w:eastAsia="Arial" w:hAnsi="Arial"/>
                <w:sz w:val="10"/>
                <w:szCs w:val="10"/>
                <w:b w:val="1"/>
                <w:bCs w:val="1"/>
                <w:color w:val="auto"/>
              </w:rPr>
              <w:t>Page</w:t>
            </w:r>
          </w:p>
        </w:tc>
      </w:tr>
      <w:tr>
        <w:trPr>
          <w:trHeight w:val="125"/>
        </w:trPr>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Number</w:t>
            </w:r>
          </w:p>
        </w:tc>
      </w:tr>
      <w:tr>
        <w:trPr>
          <w:trHeight w:val="157"/>
        </w:trPr>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10"/>
          </w:tcPr>
          <w:p>
            <w:pPr>
              <w:jc w:val="center"/>
              <w:ind w:right="42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580" w:type="dxa"/>
            <w:vAlign w:val="bottom"/>
          </w:tcPr>
          <w:p>
            <w:pPr>
              <w:spacing w:after="0"/>
              <w:rPr>
                <w:sz w:val="13"/>
                <w:szCs w:val="13"/>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3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3360" w:type="dxa"/>
            <w:vAlign w:val="bottom"/>
            <w:gridSpan w:val="1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200" w:type="dxa"/>
            <w:vAlign w:val="bottom"/>
            <w:gridSpan w:val="9"/>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1A.</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8"/>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Risk Factors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18</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0"/>
              </w:rPr>
            </w:pPr>
            <w:hyperlink w:anchor="page25">
              <w:r>
                <w:rPr>
                  <w:rFonts w:ascii="Arial" w:cs="Arial" w:eastAsia="Arial" w:hAnsi="Arial"/>
                  <w:sz w:val="13"/>
                  <w:szCs w:val="13"/>
                  <w:color w:val="0000EE"/>
                  <w:w w:val="90"/>
                </w:rPr>
                <w:t>Item 1B.</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8"/>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Unresolved Staff Comments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22</w:t>
            </w:r>
          </w:p>
        </w:tc>
      </w:tr>
      <w:tr>
        <w:trPr>
          <w:trHeight w:val="137"/>
        </w:trPr>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25">
              <w:r>
                <w:rPr>
                  <w:rFonts w:ascii="Arial" w:cs="Arial" w:eastAsia="Arial" w:hAnsi="Arial"/>
                  <w:sz w:val="13"/>
                  <w:szCs w:val="13"/>
                  <w:color w:val="0000EE"/>
                  <w:w w:val="90"/>
                </w:rPr>
                <w:t>Item 2.</w:t>
              </w:r>
            </w:hyperlink>
          </w:p>
        </w:tc>
        <w:tc>
          <w:tcPr>
            <w:tcW w:w="100" w:type="dxa"/>
            <w:vAlign w:val="bottom"/>
            <w:tcBorders>
              <w:top w:val="single" w:sz="8" w:color="0000EE"/>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25">
              <w:r>
                <w:rPr>
                  <w:rFonts w:ascii="Arial" w:cs="Arial" w:eastAsia="Arial" w:hAnsi="Arial"/>
                  <w:sz w:val="13"/>
                  <w:szCs w:val="13"/>
                  <w:color w:val="0000EE"/>
                  <w:w w:val="87"/>
                </w:rPr>
                <w:t>Properties</w:t>
              </w:r>
            </w:hyperlink>
          </w:p>
        </w:tc>
        <w:tc>
          <w:tcPr>
            <w:tcW w:w="960" w:type="dxa"/>
            <w:vAlign w:val="bottom"/>
            <w:tcBorders>
              <w:top w:val="single" w:sz="8" w:color="0000EE"/>
            </w:tcBorders>
            <w:gridSpan w:val="7"/>
          </w:tcPr>
          <w:p>
            <w:pPr>
              <w:spacing w:after="0"/>
              <w:rPr>
                <w:sz w:val="11"/>
                <w:szCs w:val="11"/>
                <w:color w:val="auto"/>
              </w:rPr>
            </w:pPr>
          </w:p>
        </w:tc>
        <w:tc>
          <w:tcPr>
            <w:tcW w:w="6480" w:type="dxa"/>
            <w:vAlign w:val="bottom"/>
            <w:gridSpan w:val="19"/>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22</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5">
              <w:r>
                <w:rPr>
                  <w:rFonts w:ascii="Arial" w:cs="Arial" w:eastAsia="Arial" w:hAnsi="Arial"/>
                  <w:sz w:val="13"/>
                  <w:szCs w:val="13"/>
                  <w:color w:val="0000EE"/>
                  <w:w w:val="90"/>
                </w:rPr>
                <w:t>Item 3.</w:t>
              </w:r>
            </w:hyperlink>
          </w:p>
        </w:tc>
        <w:tc>
          <w:tcPr>
            <w:tcW w:w="3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25">
              <w:r>
                <w:rPr>
                  <w:rFonts w:ascii="Arial" w:cs="Arial" w:eastAsia="Arial" w:hAnsi="Arial"/>
                  <w:sz w:val="13"/>
                  <w:szCs w:val="13"/>
                  <w:color w:val="0000EE"/>
                  <w:w w:val="89"/>
                </w:rPr>
                <w:t>Legal Proceedings</w:t>
              </w:r>
            </w:hyperlink>
          </w:p>
        </w:tc>
        <w:tc>
          <w:tcPr>
            <w:tcW w:w="7000" w:type="dxa"/>
            <w:vAlign w:val="bottom"/>
            <w:gridSpan w:val="23"/>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22</w:t>
            </w:r>
          </w:p>
        </w:tc>
      </w:tr>
      <w:tr>
        <w:trPr>
          <w:trHeight w:val="137"/>
        </w:trPr>
        <w:tc>
          <w:tcPr>
            <w:tcW w:w="760" w:type="dxa"/>
            <w:vAlign w:val="bottom"/>
            <w:gridSpan w:val="4"/>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Item 4.</w:t>
              </w:r>
            </w:hyperlink>
          </w:p>
        </w:tc>
        <w:tc>
          <w:tcPr>
            <w:tcW w:w="8260" w:type="dxa"/>
            <w:vAlign w:val="bottom"/>
            <w:gridSpan w:val="29"/>
          </w:tcPr>
          <w:p>
            <w:pPr>
              <w:ind w:left="280"/>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Submission of Matters to a Vote of Security Holders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29</w:t>
            </w:r>
          </w:p>
        </w:tc>
      </w:tr>
      <w:tr>
        <w:trPr>
          <w:trHeight w:val="255"/>
        </w:trPr>
        <w:tc>
          <w:tcPr>
            <w:tcW w:w="38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3">
              <w:r>
                <w:rPr>
                  <w:rFonts w:ascii="Arial" w:cs="Arial" w:eastAsia="Arial" w:hAnsi="Arial"/>
                  <w:sz w:val="13"/>
                  <w:szCs w:val="13"/>
                  <w:b w:val="1"/>
                  <w:bCs w:val="1"/>
                  <w:color w:val="0000EE"/>
                </w:rPr>
                <w:t>PART II</w:t>
              </w:r>
            </w:hyperlink>
          </w:p>
        </w:tc>
        <w:tc>
          <w:tcPr>
            <w:tcW w:w="4160" w:type="dxa"/>
            <w:vAlign w:val="bottom"/>
            <w:gridSpan w:val="8"/>
          </w:tcPr>
          <w:p>
            <w:pPr>
              <w:spacing w:after="0"/>
              <w:rPr>
                <w:sz w:val="22"/>
                <w:szCs w:val="22"/>
                <w:color w:val="auto"/>
              </w:rPr>
            </w:pPr>
          </w:p>
        </w:tc>
        <w:tc>
          <w:tcPr>
            <w:tcW w:w="580" w:type="dxa"/>
            <w:vAlign w:val="bottom"/>
          </w:tcPr>
          <w:p>
            <w:pPr>
              <w:spacing w:after="0"/>
              <w:rPr>
                <w:sz w:val="22"/>
                <w:szCs w:val="22"/>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5.</w:t>
              </w:r>
            </w:hyperlink>
          </w:p>
        </w:tc>
        <w:tc>
          <w:tcPr>
            <w:tcW w:w="3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8"/>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Market for Registrant’s Common Equity, Related Stockholder Matters and Issuer Purchases of Equity Securities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30</w:t>
            </w:r>
          </w:p>
        </w:tc>
      </w:tr>
      <w:tr>
        <w:trPr>
          <w:trHeight w:val="137"/>
        </w:trPr>
        <w:tc>
          <w:tcPr>
            <w:tcW w:w="380" w:type="dxa"/>
            <w:vAlign w:val="bottom"/>
            <w:tcBorders>
              <w:top w:val="single" w:sz="8" w:color="0000EE"/>
            </w:tcBorders>
          </w:tcPr>
          <w:p>
            <w:pPr>
              <w:spacing w:after="0" w:line="138" w:lineRule="exact"/>
              <w:rPr>
                <w:rFonts w:ascii="Arial" w:cs="Arial" w:eastAsia="Arial" w:hAnsi="Arial"/>
                <w:sz w:val="13"/>
                <w:szCs w:val="13"/>
                <w:color w:val="0000EE"/>
                <w:w w:val="90"/>
              </w:rPr>
            </w:pPr>
            <w:hyperlink w:anchor="page35">
              <w:r>
                <w:rPr>
                  <w:rFonts w:ascii="Arial" w:cs="Arial" w:eastAsia="Arial" w:hAnsi="Arial"/>
                  <w:sz w:val="13"/>
                  <w:szCs w:val="13"/>
                  <w:color w:val="0000EE"/>
                  <w:w w:val="90"/>
                </w:rPr>
                <w:t>Item 6.</w:t>
              </w:r>
            </w:hyperlink>
          </w:p>
        </w:tc>
        <w:tc>
          <w:tcPr>
            <w:tcW w:w="3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5880" w:type="dxa"/>
            <w:vAlign w:val="bottom"/>
            <w:tcBorders>
              <w:top w:val="single" w:sz="8" w:color="0000EE"/>
            </w:tcBorders>
            <w:gridSpan w:val="27"/>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Selected Financial Data</w:t>
              </w:r>
            </w:hyperlink>
          </w:p>
        </w:tc>
        <w:tc>
          <w:tcPr>
            <w:tcW w:w="2100" w:type="dxa"/>
            <w:vAlign w:val="bottom"/>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32</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40">
              <w:r>
                <w:rPr>
                  <w:rFonts w:ascii="Arial" w:cs="Arial" w:eastAsia="Arial" w:hAnsi="Arial"/>
                  <w:sz w:val="13"/>
                  <w:szCs w:val="13"/>
                  <w:color w:val="0000EE"/>
                  <w:w w:val="90"/>
                </w:rPr>
                <w:t>Item 7.</w:t>
              </w:r>
            </w:hyperlink>
          </w:p>
        </w:tc>
        <w:tc>
          <w:tcPr>
            <w:tcW w:w="3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8"/>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Management’s Discussion and Analysis of Financial Condition and Results of Operations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37</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0"/>
              </w:rPr>
            </w:pPr>
            <w:hyperlink w:anchor="page66">
              <w:r>
                <w:rPr>
                  <w:rFonts w:ascii="Arial" w:cs="Arial" w:eastAsia="Arial" w:hAnsi="Arial"/>
                  <w:sz w:val="13"/>
                  <w:szCs w:val="13"/>
                  <w:color w:val="0000EE"/>
                  <w:w w:val="90"/>
                </w:rPr>
                <w:t>Item 7A.</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8"/>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Quantitative and Qualitative Disclosure About Market Risk</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63</w:t>
            </w:r>
          </w:p>
        </w:tc>
      </w:tr>
      <w:tr>
        <w:trPr>
          <w:trHeight w:val="137"/>
        </w:trPr>
        <w:tc>
          <w:tcPr>
            <w:tcW w:w="380" w:type="dxa"/>
            <w:vAlign w:val="bottom"/>
            <w:tcBorders>
              <w:top w:val="single" w:sz="8" w:color="0000EE"/>
            </w:tcBorders>
          </w:tcPr>
          <w:p>
            <w:pPr>
              <w:spacing w:after="0" w:line="138" w:lineRule="exact"/>
              <w:rPr>
                <w:rFonts w:ascii="Arial" w:cs="Arial" w:eastAsia="Arial" w:hAnsi="Arial"/>
                <w:sz w:val="13"/>
                <w:szCs w:val="13"/>
                <w:color w:val="0000EE"/>
                <w:w w:val="90"/>
              </w:rPr>
            </w:pPr>
            <w:hyperlink w:anchor="page68">
              <w:r>
                <w:rPr>
                  <w:rFonts w:ascii="Arial" w:cs="Arial" w:eastAsia="Arial" w:hAnsi="Arial"/>
                  <w:sz w:val="13"/>
                  <w:szCs w:val="13"/>
                  <w:color w:val="0000EE"/>
                  <w:w w:val="90"/>
                </w:rPr>
                <w:t>Item 8.</w:t>
              </w:r>
            </w:hyperlink>
          </w:p>
        </w:tc>
        <w:tc>
          <w:tcPr>
            <w:tcW w:w="100" w:type="dxa"/>
            <w:vAlign w:val="bottom"/>
            <w:tcBorders>
              <w:top w:val="single" w:sz="8" w:color="0000EE"/>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Financial Statements and Supplementary Data</w:t>
              </w:r>
            </w:hyperlink>
          </w:p>
        </w:tc>
        <w:tc>
          <w:tcPr>
            <w:tcW w:w="4860" w:type="dxa"/>
            <w:vAlign w:val="bottom"/>
            <w:gridSpan w:val="13"/>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65</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121">
              <w:r>
                <w:rPr>
                  <w:rFonts w:ascii="Arial" w:cs="Arial" w:eastAsia="Arial" w:hAnsi="Arial"/>
                  <w:sz w:val="13"/>
                  <w:szCs w:val="13"/>
                  <w:color w:val="0000EE"/>
                  <w:w w:val="90"/>
                </w:rPr>
                <w:t>Item 9.</w:t>
              </w:r>
            </w:hyperlink>
          </w:p>
        </w:tc>
        <w:tc>
          <w:tcPr>
            <w:tcW w:w="3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8"/>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Changes in and Disagreements With Accountants on Accounting and Financial Disclosure</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118</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0"/>
              </w:rPr>
            </w:pPr>
            <w:hyperlink w:anchor="page121">
              <w:r>
                <w:rPr>
                  <w:rFonts w:ascii="Arial" w:cs="Arial" w:eastAsia="Arial" w:hAnsi="Arial"/>
                  <w:sz w:val="13"/>
                  <w:szCs w:val="13"/>
                  <w:color w:val="0000EE"/>
                  <w:w w:val="90"/>
                </w:rPr>
                <w:t>Item 9A.</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Borders>
              <w:bottom w:val="single" w:sz="8" w:color="0000EE"/>
            </w:tcBorders>
            <w:gridSpan w:val="7"/>
          </w:tcPr>
          <w:p>
            <w:pPr>
              <w:spacing w:after="0" w:line="138" w:lineRule="exact"/>
              <w:rPr>
                <w:rFonts w:ascii="Arial" w:cs="Arial" w:eastAsia="Arial" w:hAnsi="Arial"/>
                <w:sz w:val="13"/>
                <w:szCs w:val="13"/>
                <w:color w:val="0000EE"/>
                <w:w w:val="88"/>
              </w:rPr>
            </w:pPr>
            <w:hyperlink w:anchor="page121">
              <w:r>
                <w:rPr>
                  <w:rFonts w:ascii="Arial" w:cs="Arial" w:eastAsia="Arial" w:hAnsi="Arial"/>
                  <w:sz w:val="13"/>
                  <w:szCs w:val="13"/>
                  <w:color w:val="0000EE"/>
                  <w:w w:val="88"/>
                </w:rPr>
                <w:t>Controls and Procedures</w:t>
              </w:r>
            </w:hyperlink>
          </w:p>
        </w:tc>
        <w:tc>
          <w:tcPr>
            <w:tcW w:w="6680" w:type="dxa"/>
            <w:vAlign w:val="bottom"/>
            <w:gridSpan w:val="21"/>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118</w:t>
            </w:r>
          </w:p>
        </w:tc>
      </w:tr>
      <w:tr>
        <w:trPr>
          <w:trHeight w:val="137"/>
        </w:trPr>
        <w:tc>
          <w:tcPr>
            <w:tcW w:w="760" w:type="dxa"/>
            <w:vAlign w:val="bottom"/>
            <w:gridSpan w:val="4"/>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Item 9B.</w:t>
              </w:r>
            </w:hyperlink>
          </w:p>
        </w:tc>
        <w:tc>
          <w:tcPr>
            <w:tcW w:w="8260" w:type="dxa"/>
            <w:vAlign w:val="bottom"/>
            <w:gridSpan w:val="29"/>
          </w:tcPr>
          <w:p>
            <w:pPr>
              <w:ind w:left="280"/>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Other Information</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118</w:t>
            </w:r>
          </w:p>
        </w:tc>
      </w:tr>
      <w:tr>
        <w:trPr>
          <w:trHeight w:val="255"/>
        </w:trPr>
        <w:tc>
          <w:tcPr>
            <w:tcW w:w="3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22">
              <w:r>
                <w:rPr>
                  <w:rFonts w:ascii="Arial" w:cs="Arial" w:eastAsia="Arial" w:hAnsi="Arial"/>
                  <w:sz w:val="13"/>
                  <w:szCs w:val="13"/>
                  <w:b w:val="1"/>
                  <w:bCs w:val="1"/>
                  <w:color w:val="0000EE"/>
                </w:rPr>
                <w:t>PART III</w:t>
              </w:r>
            </w:hyperlink>
          </w:p>
        </w:tc>
        <w:tc>
          <w:tcPr>
            <w:tcW w:w="4120" w:type="dxa"/>
            <w:vAlign w:val="bottom"/>
            <w:gridSpan w:val="6"/>
          </w:tcPr>
          <w:p>
            <w:pPr>
              <w:spacing w:after="0"/>
              <w:rPr>
                <w:sz w:val="22"/>
                <w:szCs w:val="22"/>
                <w:color w:val="auto"/>
              </w:rPr>
            </w:pPr>
          </w:p>
        </w:tc>
        <w:tc>
          <w:tcPr>
            <w:tcW w:w="580" w:type="dxa"/>
            <w:vAlign w:val="bottom"/>
          </w:tcPr>
          <w:p>
            <w:pPr>
              <w:spacing w:after="0"/>
              <w:rPr>
                <w:sz w:val="22"/>
                <w:szCs w:val="22"/>
                <w:color w:val="auto"/>
              </w:rPr>
            </w:pP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22">
              <w:r>
                <w:rPr>
                  <w:rFonts w:ascii="Arial" w:cs="Arial" w:eastAsia="Arial" w:hAnsi="Arial"/>
                  <w:sz w:val="13"/>
                  <w:szCs w:val="13"/>
                  <w:color w:val="0000EE"/>
                  <w:w w:val="89"/>
                </w:rPr>
                <w:t>Item 10.</w:t>
              </w:r>
            </w:hyperlink>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tcBorders>
              <w:bottom w:val="single" w:sz="8" w:color="0000EE"/>
            </w:tcBorders>
            <w:gridSpan w:val="13"/>
          </w:tcPr>
          <w:p>
            <w:pPr>
              <w:spacing w:after="0" w:line="138" w:lineRule="exact"/>
              <w:rPr>
                <w:rFonts w:ascii="Arial" w:cs="Arial" w:eastAsia="Arial" w:hAnsi="Arial"/>
                <w:sz w:val="13"/>
                <w:szCs w:val="13"/>
                <w:color w:val="0000EE"/>
                <w:w w:val="92"/>
              </w:rPr>
            </w:pPr>
            <w:hyperlink w:anchor="page122">
              <w:r>
                <w:rPr>
                  <w:rFonts w:ascii="Arial" w:cs="Arial" w:eastAsia="Arial" w:hAnsi="Arial"/>
                  <w:sz w:val="13"/>
                  <w:szCs w:val="13"/>
                  <w:color w:val="0000EE"/>
                  <w:w w:val="92"/>
                </w:rPr>
                <w:t>Directors and Executive Officers of the Registrant</w:t>
              </w:r>
            </w:hyperlink>
          </w:p>
        </w:tc>
        <w:tc>
          <w:tcPr>
            <w:tcW w:w="5340" w:type="dxa"/>
            <w:vAlign w:val="bottom"/>
            <w:gridSpan w:val="15"/>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119</w:t>
            </w: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22">
              <w:r>
                <w:rPr>
                  <w:rFonts w:ascii="Arial" w:cs="Arial" w:eastAsia="Arial" w:hAnsi="Arial"/>
                  <w:sz w:val="13"/>
                  <w:szCs w:val="13"/>
                  <w:color w:val="0000EE"/>
                  <w:w w:val="89"/>
                </w:rPr>
                <w:t>Item 11.</w:t>
              </w:r>
            </w:hyperlink>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Borders>
              <w:bottom w:val="single" w:sz="8" w:color="0000EE"/>
            </w:tcBorders>
            <w:gridSpan w:val="8"/>
          </w:tcPr>
          <w:p>
            <w:pPr>
              <w:spacing w:after="0" w:line="138" w:lineRule="exact"/>
              <w:rPr>
                <w:rFonts w:ascii="Arial" w:cs="Arial" w:eastAsia="Arial" w:hAnsi="Arial"/>
                <w:sz w:val="13"/>
                <w:szCs w:val="13"/>
                <w:color w:val="0000EE"/>
                <w:w w:val="90"/>
              </w:rPr>
            </w:pPr>
            <w:hyperlink w:anchor="page122">
              <w:r>
                <w:rPr>
                  <w:rFonts w:ascii="Arial" w:cs="Arial" w:eastAsia="Arial" w:hAnsi="Arial"/>
                  <w:sz w:val="13"/>
                  <w:szCs w:val="13"/>
                  <w:color w:val="0000EE"/>
                  <w:w w:val="90"/>
                </w:rPr>
                <w:t>Executive Compensation</w:t>
              </w:r>
            </w:hyperlink>
          </w:p>
        </w:tc>
        <w:tc>
          <w:tcPr>
            <w:tcW w:w="6660" w:type="dxa"/>
            <w:vAlign w:val="bottom"/>
            <w:gridSpan w:val="20"/>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119</w:t>
            </w: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22">
              <w:r>
                <w:rPr>
                  <w:rFonts w:ascii="Arial" w:cs="Arial" w:eastAsia="Arial" w:hAnsi="Arial"/>
                  <w:sz w:val="13"/>
                  <w:szCs w:val="13"/>
                  <w:color w:val="0000EE"/>
                  <w:w w:val="89"/>
                </w:rPr>
                <w:t>Item 12.</w:t>
              </w:r>
            </w:hyperlink>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320" w:type="dxa"/>
            <w:vAlign w:val="bottom"/>
            <w:tcBorders>
              <w:bottom w:val="single" w:sz="8" w:color="0000EE"/>
            </w:tcBorders>
            <w:gridSpan w:val="26"/>
          </w:tcPr>
          <w:p>
            <w:pPr>
              <w:spacing w:after="0" w:line="138" w:lineRule="exact"/>
              <w:rPr>
                <w:rFonts w:ascii="Arial" w:cs="Arial" w:eastAsia="Arial" w:hAnsi="Arial"/>
                <w:sz w:val="13"/>
                <w:szCs w:val="13"/>
                <w:color w:val="0000EE"/>
                <w:w w:val="91"/>
              </w:rPr>
            </w:pPr>
            <w:hyperlink w:anchor="page122">
              <w:r>
                <w:rPr>
                  <w:rFonts w:ascii="Arial" w:cs="Arial" w:eastAsia="Arial" w:hAnsi="Arial"/>
                  <w:sz w:val="13"/>
                  <w:szCs w:val="13"/>
                  <w:color w:val="0000EE"/>
                  <w:w w:val="91"/>
                </w:rPr>
                <w:t>Security Ownership of Certain Beneficial Owners and Management and Related Stockholder Matters</w:t>
              </w:r>
            </w:hyperlink>
          </w:p>
        </w:tc>
        <w:tc>
          <w:tcPr>
            <w:tcW w:w="2660" w:type="dxa"/>
            <w:vAlign w:val="bottom"/>
            <w:gridSpan w:val="2"/>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119</w:t>
            </w: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22">
              <w:r>
                <w:rPr>
                  <w:rFonts w:ascii="Arial" w:cs="Arial" w:eastAsia="Arial" w:hAnsi="Arial"/>
                  <w:sz w:val="13"/>
                  <w:szCs w:val="13"/>
                  <w:color w:val="0000EE"/>
                  <w:w w:val="89"/>
                </w:rPr>
                <w:t>Item 13.</w:t>
              </w:r>
            </w:hyperlink>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3980" w:type="dxa"/>
            <w:vAlign w:val="bottom"/>
            <w:tcBorders>
              <w:bottom w:val="single" w:sz="8" w:color="0000EE"/>
            </w:tcBorders>
            <w:gridSpan w:val="23"/>
          </w:tcPr>
          <w:p>
            <w:pPr>
              <w:spacing w:after="0" w:line="138" w:lineRule="exact"/>
              <w:rPr>
                <w:rFonts w:ascii="Arial" w:cs="Arial" w:eastAsia="Arial" w:hAnsi="Arial"/>
                <w:sz w:val="13"/>
                <w:szCs w:val="13"/>
                <w:color w:val="0000EE"/>
                <w:w w:val="90"/>
              </w:rPr>
            </w:pPr>
            <w:hyperlink w:anchor="page122">
              <w:r>
                <w:rPr>
                  <w:rFonts w:ascii="Arial" w:cs="Arial" w:eastAsia="Arial" w:hAnsi="Arial"/>
                  <w:sz w:val="13"/>
                  <w:szCs w:val="13"/>
                  <w:color w:val="0000EE"/>
                  <w:w w:val="90"/>
                </w:rPr>
                <w:t>Certain Relationships and Related Transactions, and Director Independence</w:t>
              </w:r>
            </w:hyperlink>
          </w:p>
        </w:tc>
        <w:tc>
          <w:tcPr>
            <w:tcW w:w="4000" w:type="dxa"/>
            <w:vAlign w:val="bottom"/>
            <w:gridSpan w:val="5"/>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119</w:t>
            </w:r>
          </w:p>
        </w:tc>
      </w:tr>
      <w:tr>
        <w:trPr>
          <w:trHeight w:val="137"/>
        </w:trPr>
        <w:tc>
          <w:tcPr>
            <w:tcW w:w="760" w:type="dxa"/>
            <w:vAlign w:val="bottom"/>
            <w:gridSpan w:val="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Item 14.</w:t>
              </w:r>
            </w:hyperlink>
          </w:p>
        </w:tc>
        <w:tc>
          <w:tcPr>
            <w:tcW w:w="8260" w:type="dxa"/>
            <w:vAlign w:val="bottom"/>
            <w:gridSpan w:val="29"/>
          </w:tcPr>
          <w:p>
            <w:pPr>
              <w:ind w:left="280"/>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Principal Accounting Fees and Services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119</w:t>
            </w:r>
          </w:p>
        </w:tc>
      </w:tr>
      <w:tr>
        <w:trPr>
          <w:trHeight w:val="255"/>
        </w:trPr>
        <w:tc>
          <w:tcPr>
            <w:tcW w:w="3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60" w:type="dxa"/>
            <w:vAlign w:val="bottom"/>
            <w:gridSpan w:val="12"/>
          </w:tcPr>
          <w:p>
            <w:pPr>
              <w:jc w:val="center"/>
              <w:ind w:right="4140"/>
              <w:spacing w:after="0"/>
              <w:rPr>
                <w:rFonts w:ascii="Arial" w:cs="Arial" w:eastAsia="Arial" w:hAnsi="Arial"/>
                <w:sz w:val="13"/>
                <w:szCs w:val="13"/>
                <w:b w:val="1"/>
                <w:bCs w:val="1"/>
                <w:color w:val="0000EE"/>
              </w:rPr>
            </w:pPr>
            <w:hyperlink w:anchor="page122">
              <w:r>
                <w:rPr>
                  <w:rFonts w:ascii="Arial" w:cs="Arial" w:eastAsia="Arial" w:hAnsi="Arial"/>
                  <w:sz w:val="13"/>
                  <w:szCs w:val="13"/>
                  <w:b w:val="1"/>
                  <w:bCs w:val="1"/>
                  <w:color w:val="0000EE"/>
                </w:rPr>
                <w:t>PART IV</w:t>
              </w:r>
            </w:hyperlink>
          </w:p>
        </w:tc>
        <w:tc>
          <w:tcPr>
            <w:tcW w:w="580" w:type="dxa"/>
            <w:vAlign w:val="bottom"/>
          </w:tcPr>
          <w:p>
            <w:pPr>
              <w:spacing w:after="0"/>
              <w:rPr>
                <w:sz w:val="22"/>
                <w:szCs w:val="22"/>
                <w:color w:val="auto"/>
              </w:rPr>
            </w:pP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22">
              <w:r>
                <w:rPr>
                  <w:rFonts w:ascii="Arial" w:cs="Arial" w:eastAsia="Arial" w:hAnsi="Arial"/>
                  <w:sz w:val="13"/>
                  <w:szCs w:val="13"/>
                  <w:color w:val="0000EE"/>
                  <w:w w:val="89"/>
                </w:rPr>
                <w:t>Item 15.</w:t>
              </w:r>
            </w:hyperlink>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2120" w:type="dxa"/>
            <w:vAlign w:val="bottom"/>
            <w:tcBorders>
              <w:bottom w:val="single" w:sz="8" w:color="0000EE"/>
            </w:tcBorders>
            <w:gridSpan w:val="11"/>
          </w:tcPr>
          <w:p>
            <w:pPr>
              <w:spacing w:after="0" w:line="138" w:lineRule="exact"/>
              <w:rPr>
                <w:rFonts w:ascii="Arial" w:cs="Arial" w:eastAsia="Arial" w:hAnsi="Arial"/>
                <w:sz w:val="13"/>
                <w:szCs w:val="13"/>
                <w:color w:val="0000EE"/>
                <w:w w:val="90"/>
              </w:rPr>
            </w:pPr>
            <w:hyperlink w:anchor="page122">
              <w:r>
                <w:rPr>
                  <w:rFonts w:ascii="Arial" w:cs="Arial" w:eastAsia="Arial" w:hAnsi="Arial"/>
                  <w:sz w:val="13"/>
                  <w:szCs w:val="13"/>
                  <w:color w:val="0000EE"/>
                  <w:w w:val="90"/>
                </w:rPr>
                <w:t>Exhibits, Financial Statement Schedules</w:t>
              </w:r>
            </w:hyperlink>
          </w:p>
        </w:tc>
        <w:tc>
          <w:tcPr>
            <w:tcW w:w="1220" w:type="dxa"/>
            <w:vAlign w:val="bottom"/>
            <w:gridSpan w:val="6"/>
          </w:tcPr>
          <w:p>
            <w:pPr>
              <w:spacing w:after="0"/>
              <w:rPr>
                <w:sz w:val="11"/>
                <w:szCs w:val="11"/>
                <w:color w:val="auto"/>
              </w:rPr>
            </w:pPr>
          </w:p>
        </w:tc>
        <w:tc>
          <w:tcPr>
            <w:tcW w:w="500" w:type="dxa"/>
            <w:vAlign w:val="bottom"/>
            <w:tcBorders>
              <w:top w:val="single" w:sz="8" w:color="0000EE"/>
            </w:tcBorders>
            <w:gridSpan w:val="4"/>
          </w:tcPr>
          <w:p>
            <w:pPr>
              <w:spacing w:after="0"/>
              <w:rPr>
                <w:sz w:val="11"/>
                <w:szCs w:val="11"/>
                <w:color w:val="auto"/>
              </w:rPr>
            </w:pPr>
          </w:p>
        </w:tc>
        <w:tc>
          <w:tcPr>
            <w:tcW w:w="4140" w:type="dxa"/>
            <w:vAlign w:val="bottom"/>
            <w:gridSpan w:val="7"/>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119</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EX-10.14</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EX-10.19</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EX-10.22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EX-10.23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EX-10.24</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are a holding company that is a provider, through our subsidiaries, of title insurance, specialty insurance, claims management services, and information services. We are the nation’s largest title insurance company through our title insurance underwriters — Fidelity National Title, Chicago Title, Commonwealth Land Title, Lawyers Title, Ticor Title, Security Union Title, and Alamo Title — which collectively issued more title insurance policies in 2008 than any other title insurance company in the United States. We also provide flood insurance, personal lines insurance and home warranty insurance through our specialty insurance subsidiaries. We are a leading provider of outsourced claims management services to large corporate and public sector entities through our minority-owned affiliate, Sedgwick CMS Holdings (“Sedgwick”) and a provider of information services in the human resources, retail, and transportation markets through another minority-owned affiliate, Ceridian Corporation (“Ceridian”).</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December 22, 2008, we completed the acquisition of LandAmerica Financial Group, Inc.’s (“LFG”) two principal title insurance underwriters, Commonwealth Land</w:t>
      </w:r>
    </w:p>
    <w:p>
      <w:pPr>
        <w:spacing w:after="0" w:line="15" w:lineRule="exact"/>
        <w:rPr>
          <w:sz w:val="20"/>
          <w:szCs w:val="20"/>
          <w:color w:val="auto"/>
        </w:rPr>
      </w:pPr>
    </w:p>
    <w:p>
      <w:pPr>
        <w:ind w:left="680" w:right="120"/>
        <w:spacing w:after="0" w:line="258" w:lineRule="auto"/>
        <w:rPr>
          <w:sz w:val="20"/>
          <w:szCs w:val="20"/>
          <w:color w:val="auto"/>
        </w:rPr>
      </w:pPr>
      <w:r>
        <w:rPr>
          <w:rFonts w:ascii="Arial" w:cs="Arial" w:eastAsia="Arial" w:hAnsi="Arial"/>
          <w:sz w:val="13"/>
          <w:szCs w:val="13"/>
          <w:color w:val="auto"/>
        </w:rPr>
        <w:t>Title Insurance Company (“Commonwealth”) and Lawyers Title Insurance Corporation (“Lawyers”), as well as United Capital Title Insurance Company (“United”) (collectively, the “LFG Underwriters”). The results of operations of the LFG Underwriters acquired are included in our results of operations from December 22, 2008 forward. For more information on this acquisition, see note B of Notes to Consolidated Financial Statements.</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Prior to October 24, 2006, we were known as Fidelity National Title Group, Inc. (“FNT”) and were a majority-owned subsidiary of another publicly traded company, also called Fidelity National Financial, Inc. (“Old FNF”). On October 24, 2006, Old FNF transferred certain assets to us in return for the issuance of 45,265,956 shares of our common stock to Old FNF. Old FNF then distributed to its shareholders all of its shares of our common stock, making FNT a standalone public company (the “2006 Distribution”). On November 9, 2006, Old FNF was then merged with and into another of its subsidiaries, Fidelity National Information Services, Inc. (“FIS”), after which we changed our name to Fidelity National Financial, Inc. (“FNF”). On November 10, 2006, our common stock began trading on the New York Stock Exchange under the trading symbol “FNF.”</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three reporting segments as follows:</w:t>
      </w:r>
    </w:p>
    <w:p>
      <w:pPr>
        <w:spacing w:after="0" w:line="96" w:lineRule="exact"/>
        <w:rPr>
          <w:sz w:val="20"/>
          <w:szCs w:val="20"/>
          <w:color w:val="auto"/>
        </w:rPr>
      </w:pPr>
    </w:p>
    <w:p>
      <w:pPr>
        <w:ind w:left="1280" w:right="16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This segment consists of the operations of our title insurance underwriters and related businesses. This segment provides core title insurance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escrow and other title-related services including collection and trust activities, trustee’s sales guarantees, recordings and reconveyances.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Specialty Insurance. </w:t>
      </w:r>
      <w:r>
        <w:rPr>
          <w:rFonts w:ascii="Arial" w:cs="Arial" w:eastAsia="Arial" w:hAnsi="Arial"/>
          <w:sz w:val="12"/>
          <w:szCs w:val="12"/>
          <w:color w:val="auto"/>
        </w:rPr>
        <w:t>This segment consists of certain subsidiaries that issue flood, home warranty, homeowners’, automobile and other personal lines insurance policies.</w:t>
      </w:r>
    </w:p>
    <w:p>
      <w:pPr>
        <w:spacing w:after="0" w:line="97" w:lineRule="exact"/>
        <w:rPr>
          <w:rFonts w:ascii="Arial" w:cs="Arial" w:eastAsia="Arial" w:hAnsi="Arial"/>
          <w:sz w:val="12"/>
          <w:szCs w:val="12"/>
          <w:color w:val="auto"/>
        </w:rPr>
      </w:pPr>
    </w:p>
    <w:p>
      <w:pPr>
        <w:ind w:left="1280" w:right="22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This segment consists of the operations of the parent holding company, certain other unallocated corporate overhead expenses, other smaller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and our share in the operations of certain equity method investments, including Sedgwick, Ceridian, and Remy International, Inc. (“Remy”).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Competitive Strengths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competitive strengths include the following:</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Leading title insurance company. </w:t>
      </w:r>
      <w:r>
        <w:rPr>
          <w:rFonts w:ascii="Arial" w:cs="Arial" w:eastAsia="Arial" w:hAnsi="Arial"/>
          <w:sz w:val="13"/>
          <w:szCs w:val="13"/>
          <w:color w:val="auto"/>
        </w:rPr>
        <w:t>We are the largest title insurance company in the United States and a leading provider of title insurance and escrow and other title-related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for real estate transactions. During 2008, our insurance companies, which include the LFG Underwriters, had a 45.7% share of the U.S. title insurance market, according to the </w:t>
      </w:r>
      <w:r>
        <w:rPr>
          <w:rFonts w:ascii="Arial" w:cs="Arial" w:eastAsia="Arial" w:hAnsi="Arial"/>
          <w:sz w:val="13"/>
          <w:szCs w:val="13"/>
          <w:i w:val="1"/>
          <w:iCs w:val="1"/>
          <w:color w:val="auto"/>
        </w:rPr>
        <w:t>Demotech</w:t>
      </w:r>
      <w:r>
        <w:rPr>
          <w:rFonts w:ascii="Arial" w:cs="Arial" w:eastAsia="Arial" w:hAnsi="Arial"/>
          <w:sz w:val="13"/>
          <w:szCs w:val="13"/>
          <w:color w:val="auto"/>
        </w:rPr>
        <w:t xml:space="preserve"> </w:t>
      </w:r>
      <w:r>
        <w:rPr>
          <w:rFonts w:ascii="Arial" w:cs="Arial" w:eastAsia="Arial" w:hAnsi="Arial"/>
          <w:sz w:val="13"/>
          <w:szCs w:val="13"/>
          <w:i w:val="1"/>
          <w:iCs w:val="1"/>
          <w:color w:val="auto"/>
        </w:rPr>
        <w:t>Performance of Title Insurance Companies 2009 Edition</w:t>
      </w:r>
      <w:r>
        <w:rPr>
          <w:rFonts w:ascii="Arial" w:cs="Arial" w:eastAsia="Arial" w:hAnsi="Arial"/>
          <w:sz w:val="13"/>
          <w:szCs w:val="13"/>
          <w:color w:val="auto"/>
        </w:rPr>
        <w:t>, an annual compilation of financial information from the title insurance industry that is published by Demotech Inc., an independent</w:t>
      </w:r>
      <w:r>
        <w:rPr>
          <w:rFonts w:ascii="Arial" w:cs="Arial" w:eastAsia="Arial" w:hAnsi="Arial"/>
          <w:sz w:val="13"/>
          <w:szCs w:val="13"/>
          <w:i w:val="1"/>
          <w:iCs w:val="1"/>
          <w:color w:val="auto"/>
        </w:rPr>
        <w:t xml:space="preserve"> </w:t>
      </w:r>
      <w:r>
        <w:rPr>
          <w:rFonts w:ascii="Arial" w:cs="Arial" w:eastAsia="Arial" w:hAnsi="Arial"/>
          <w:sz w:val="13"/>
          <w:szCs w:val="13"/>
          <w:color w:val="auto"/>
        </w:rPr>
        <w:t>firm (“Demotech”).</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Established relationships with our customers. </w:t>
      </w:r>
      <w:r>
        <w:rPr>
          <w:rFonts w:ascii="Arial" w:cs="Arial" w:eastAsia="Arial" w:hAnsi="Arial"/>
          <w:sz w:val="13"/>
          <w:szCs w:val="13"/>
          <w:color w:val="auto"/>
        </w:rPr>
        <w:t>We have strong relationships with the customers who use our title services. Our distribution network, which includes over 1,600 direct</w:t>
      </w:r>
      <w:r>
        <w:rPr>
          <w:rFonts w:ascii="Arial" w:cs="Arial" w:eastAsia="Arial" w:hAnsi="Arial"/>
          <w:sz w:val="13"/>
          <w:szCs w:val="13"/>
          <w:i w:val="1"/>
          <w:iCs w:val="1"/>
          <w:color w:val="auto"/>
        </w:rPr>
        <w:t xml:space="preserve"> </w:t>
      </w:r>
      <w:r>
        <w:rPr>
          <w:rFonts w:ascii="Arial" w:cs="Arial" w:eastAsia="Arial" w:hAnsi="Arial"/>
          <w:sz w:val="13"/>
          <w:szCs w:val="13"/>
          <w:color w:val="auto"/>
        </w:rPr>
        <w:t>residential title offices and almost 7,500 agents, is among the largest in the United States. We also benefit from strong brand recognition in our seven title brands that allows us to access a broader client base than if we operated under a single consolidated brand and provides our customers with a choice among brands.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Strong value proposition for our customers. </w:t>
      </w:r>
      <w:r>
        <w:rPr>
          <w:rFonts w:ascii="Arial" w:cs="Arial" w:eastAsia="Arial" w:hAnsi="Arial"/>
          <w:sz w:val="13"/>
          <w:szCs w:val="13"/>
          <w:color w:val="auto"/>
        </w:rPr>
        <w:t>We provide our customers with title insurance and escrow and other title-related services that support their ability to effectively close real</w:t>
      </w:r>
      <w:r>
        <w:rPr>
          <w:rFonts w:ascii="Arial" w:cs="Arial" w:eastAsia="Arial" w:hAnsi="Arial"/>
          <w:sz w:val="13"/>
          <w:szCs w:val="13"/>
          <w:i w:val="1"/>
          <w:iCs w:val="1"/>
          <w:color w:val="auto"/>
        </w:rPr>
        <w:t xml:space="preserve"> </w:t>
      </w:r>
      <w:r>
        <w:rPr>
          <w:rFonts w:ascii="Arial" w:cs="Arial" w:eastAsia="Arial" w:hAnsi="Arial"/>
          <w:sz w:val="13"/>
          <w:szCs w:val="13"/>
          <w:color w:val="auto"/>
        </w:rPr>
        <w:t>estate transactions. We help make the real estate closing more efficient for our customers by offering a single point of access to a broad platform of title-related products and resources necessary to close real estate transactions.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Proven management team. </w:t>
      </w:r>
      <w:r>
        <w:rPr>
          <w:rFonts w:ascii="Arial" w:cs="Arial" w:eastAsia="Arial" w:hAnsi="Arial"/>
          <w:sz w:val="13"/>
          <w:szCs w:val="13"/>
          <w:color w:val="auto"/>
        </w:rPr>
        <w:t>The managers of our operating businesses have successfully built our title business over an extended period of time, resulting in our business attaining the</w:t>
      </w:r>
      <w:r>
        <w:rPr>
          <w:rFonts w:ascii="Arial" w:cs="Arial" w:eastAsia="Arial" w:hAnsi="Arial"/>
          <w:sz w:val="13"/>
          <w:szCs w:val="13"/>
          <w:i w:val="1"/>
          <w:iCs w:val="1"/>
          <w:color w:val="auto"/>
        </w:rPr>
        <w:t xml:space="preserve"> </w:t>
      </w:r>
      <w:r>
        <w:rPr>
          <w:rFonts w:ascii="Arial" w:cs="Arial" w:eastAsia="Arial" w:hAnsi="Arial"/>
          <w:sz w:val="13"/>
          <w:szCs w:val="13"/>
          <w:color w:val="auto"/>
        </w:rPr>
        <w:t>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67"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Competitive cost structure. </w:t>
      </w:r>
      <w:r>
        <w:rPr>
          <w:rFonts w:ascii="Arial" w:cs="Arial" w:eastAsia="Arial" w:hAnsi="Arial"/>
          <w:sz w:val="13"/>
          <w:szCs w:val="13"/>
          <w:color w:val="auto"/>
        </w:rPr>
        <w:t>We have been able to maintain competitive operating margins in part by monitoring our businesses in a disciplined manner through continual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and management of our cost structure. When compared to our industry competitors, we also believe that our structure has fewer layers of management which allows us to operate with lower overhead costs.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Commercial title insurance. </w:t>
      </w:r>
      <w:r>
        <w:rPr>
          <w:rFonts w:ascii="Arial" w:cs="Arial" w:eastAsia="Arial" w:hAnsi="Arial"/>
          <w:sz w:val="13"/>
          <w:szCs w:val="13"/>
          <w:color w:val="auto"/>
        </w:rPr>
        <w:t>While residential title insurance comprises the majority of our business, we believe that we are the largest provider of commercial real estate title</w:t>
      </w:r>
      <w:r>
        <w:rPr>
          <w:rFonts w:ascii="Arial" w:cs="Arial" w:eastAsia="Arial" w:hAnsi="Arial"/>
          <w:sz w:val="13"/>
          <w:szCs w:val="13"/>
          <w:i w:val="1"/>
          <w:iCs w:val="1"/>
          <w:color w:val="auto"/>
        </w:rPr>
        <w:t xml:space="preserve"> </w:t>
      </w:r>
      <w:r>
        <w:rPr>
          <w:rFonts w:ascii="Arial" w:cs="Arial" w:eastAsia="Arial" w:hAnsi="Arial"/>
          <w:sz w:val="13"/>
          <w:szCs w:val="13"/>
          <w:color w:val="auto"/>
        </w:rPr>
        <w:t>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Corporate principles. </w:t>
      </w:r>
      <w:r>
        <w:rPr>
          <w:rFonts w:ascii="Arial" w:cs="Arial" w:eastAsia="Arial" w:hAnsi="Arial"/>
          <w:sz w:val="12"/>
          <w:szCs w:val="12"/>
          <w:color w:val="auto"/>
        </w:rPr>
        <w:t>A cornerstone of our management philosophy and operating success is the six fundamental precepts upon which we were founded, which include:</w:t>
      </w:r>
    </w:p>
    <w:p>
      <w:pPr>
        <w:spacing w:after="0" w:line="108"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Autonomy and entrepreneurship;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Bias for action;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Customer-oriented and motivated;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Minimize bureaucracy;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Employee ownership;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Highest standard of conduct.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six precepts are emphasized to our employees from the first day of employment and are integral to many of our strategies described below.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competitive strengths position us well to take advantage of any improvements in the real estate market in future years.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Strategy</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Fidelity National Title Group</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Our strategy in the title insurance business is to maximize operating profits by increasing our market share and managing operating expenses throughout the real estate business cycle.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accomplish our goals, we intend to:</w:t>
      </w:r>
    </w:p>
    <w:p>
      <w:pPr>
        <w:spacing w:after="0" w:line="89" w:lineRule="exact"/>
        <w:rPr>
          <w:sz w:val="20"/>
          <w:szCs w:val="20"/>
          <w:color w:val="auto"/>
        </w:rPr>
      </w:pPr>
    </w:p>
    <w:p>
      <w:pPr>
        <w:ind w:left="1280" w:right="30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Continue to operate multiple title brands independently</w:t>
      </w:r>
      <w:r>
        <w:rPr>
          <w:rFonts w:ascii="Arial" w:cs="Arial" w:eastAsia="Arial" w:hAnsi="Arial"/>
          <w:sz w:val="13"/>
          <w:szCs w:val="13"/>
          <w:color w:val="auto"/>
        </w:rPr>
        <w:t>. We believe that in order to maintain and strengthen our title insurance customer base, we must operate our strongest</w:t>
      </w:r>
      <w:r>
        <w:rPr>
          <w:rFonts w:ascii="Arial" w:cs="Arial" w:eastAsia="Arial" w:hAnsi="Arial"/>
          <w:sz w:val="13"/>
          <w:szCs w:val="13"/>
          <w:i w:val="1"/>
          <w:iCs w:val="1"/>
          <w:color w:val="auto"/>
        </w:rPr>
        <w:t xml:space="preserve"> </w:t>
      </w:r>
      <w:r>
        <w:rPr>
          <w:rFonts w:ascii="Arial" w:cs="Arial" w:eastAsia="Arial" w:hAnsi="Arial"/>
          <w:sz w:val="13"/>
          <w:szCs w:val="13"/>
          <w:color w:val="auto"/>
        </w:rPr>
        <w:t>brands in a given marketplace independently of each other. Our national and regional brands include Fidelity National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280" w:right="200"/>
        <w:spacing w:after="0" w:line="296" w:lineRule="auto"/>
        <w:rPr>
          <w:sz w:val="20"/>
          <w:szCs w:val="20"/>
          <w:color w:val="auto"/>
        </w:rPr>
      </w:pPr>
      <w:r>
        <w:rPr>
          <w:rFonts w:ascii="Arial" w:cs="Arial" w:eastAsia="Arial" w:hAnsi="Arial"/>
          <w:sz w:val="12"/>
          <w:szCs w:val="12"/>
          <w:color w:val="auto"/>
        </w:rPr>
        <w:t>Title, Chicago Title, Commonwealth Land Title, Lawyers Title, Ticor Title, Security Union Title and Alamo Title. In most of our largest markets, we operate two, and in a few cases as many as five brands, including the brands acquired with the LFG Underwriters. This approach allows us to continue to attract customers who identify with one brand over another and allows us to utilize a broader base of local agents and local operations than we would have with a single consolidated brand.</w:t>
      </w:r>
    </w:p>
    <w:p>
      <w:pPr>
        <w:spacing w:after="0" w:line="50" w:lineRule="exact"/>
        <w:rPr>
          <w:sz w:val="20"/>
          <w:szCs w:val="20"/>
          <w:color w:val="auto"/>
        </w:rPr>
      </w:pPr>
    </w:p>
    <w:p>
      <w:pPr>
        <w:ind w:left="1280" w:right="6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Consistently deliver superior customer service. </w:t>
      </w:r>
      <w:r>
        <w:rPr>
          <w:rFonts w:ascii="Arial" w:cs="Arial" w:eastAsia="Arial" w:hAnsi="Arial"/>
          <w:sz w:val="13"/>
          <w:szCs w:val="13"/>
          <w:color w:val="auto"/>
        </w:rPr>
        <w:t>We believe customer service and consistent product delivery are the most important factors in attracting and retaining customers.</w:t>
      </w:r>
      <w:r>
        <w:rPr>
          <w:rFonts w:ascii="Arial" w:cs="Arial" w:eastAsia="Arial" w:hAnsi="Arial"/>
          <w:sz w:val="13"/>
          <w:szCs w:val="13"/>
          <w:i w:val="1"/>
          <w:iCs w:val="1"/>
          <w:color w:val="auto"/>
        </w:rPr>
        <w:t xml:space="preserve"> </w:t>
      </w:r>
      <w:r>
        <w:rPr>
          <w:rFonts w:ascii="Arial" w:cs="Arial" w:eastAsia="Arial" w:hAnsi="Arial"/>
          <w:sz w:val="13"/>
          <w:szCs w:val="13"/>
          <w:color w:val="auto"/>
        </w:rPr>
        <w:t>Our ability to provide superior customer service and provide consistent product delivery requires continued focus on providing high quality service and products at competitive prices. Our goal is to continue to improve the experience of our customers, in all aspects of our business.</w:t>
      </w:r>
    </w:p>
    <w:p>
      <w:pPr>
        <w:spacing w:after="0" w:line="57" w:lineRule="exact"/>
        <w:rPr>
          <w:rFonts w:ascii="Arial" w:cs="Arial" w:eastAsia="Arial" w:hAnsi="Arial"/>
          <w:sz w:val="13"/>
          <w:szCs w:val="13"/>
          <w:color w:val="auto"/>
        </w:rPr>
      </w:pPr>
    </w:p>
    <w:p>
      <w:pPr>
        <w:ind w:left="1280" w:right="140" w:hanging="190"/>
        <w:spacing w:after="0" w:line="281"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Manage our operations successfully through business cycles</w:t>
      </w:r>
      <w:r>
        <w:rPr>
          <w:rFonts w:ascii="Arial" w:cs="Arial" w:eastAsia="Arial" w:hAnsi="Arial"/>
          <w:sz w:val="12"/>
          <w:szCs w:val="12"/>
          <w:color w:val="auto"/>
        </w:rPr>
        <w:t>. We operate in a cyclical business and our ability to diversify our revenue base within our core title insurance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and, in a rising interest rate environment, to increase our investment revenue, which may offset some of the decline in premiums and service revenues we would expect in such an environment. A more detailed discussion of our investment strategies is included in “Investment Policies and Investment Portfolio.”</w:t>
      </w:r>
    </w:p>
    <w:p>
      <w:pPr>
        <w:spacing w:after="0" w:line="48" w:lineRule="exact"/>
        <w:rPr>
          <w:rFonts w:ascii="Arial" w:cs="Arial" w:eastAsia="Arial" w:hAnsi="Arial"/>
          <w:sz w:val="12"/>
          <w:szCs w:val="12"/>
          <w:color w:val="auto"/>
        </w:rPr>
      </w:pPr>
    </w:p>
    <w:p>
      <w:pPr>
        <w:ind w:left="1280" w:hanging="190"/>
        <w:spacing w:after="0" w:line="258"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Continue to improve our products and technology. </w:t>
      </w:r>
      <w:r>
        <w:rPr>
          <w:rFonts w:ascii="Arial" w:cs="Arial" w:eastAsia="Arial" w:hAnsi="Arial"/>
          <w:sz w:val="13"/>
          <w:szCs w:val="13"/>
          <w:color w:val="auto"/>
        </w:rPr>
        <w:t>As a national provider of real estate transaction products and services, we participate in an industry that is subject to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61" w:lineRule="exact"/>
        <w:rPr>
          <w:rFonts w:ascii="Arial" w:cs="Arial" w:eastAsia="Arial" w:hAnsi="Arial"/>
          <w:sz w:val="13"/>
          <w:szCs w:val="13"/>
          <w:color w:val="auto"/>
        </w:rPr>
      </w:pPr>
    </w:p>
    <w:p>
      <w:pPr>
        <w:ind w:left="1280" w:right="80" w:hanging="190"/>
        <w:spacing w:after="0" w:line="260"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Maintain values supporting our strategy. </w:t>
      </w:r>
      <w:r>
        <w:rPr>
          <w:rFonts w:ascii="Arial" w:cs="Arial" w:eastAsia="Arial" w:hAnsi="Arial"/>
          <w:sz w:val="13"/>
          <w:szCs w:val="13"/>
          <w:color w:val="auto"/>
        </w:rPr>
        <w:t>We believe that our continued focus on and support of our long-established corporate culture will reinforce and support our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strategy. Our goal is to foster and support a corporate culture where our employees and agents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59"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Effectively manage costs based on economic factors. </w:t>
      </w:r>
      <w:r>
        <w:rPr>
          <w:rFonts w:ascii="Arial" w:cs="Arial" w:eastAsia="Arial" w:hAnsi="Arial"/>
          <w:sz w:val="13"/>
          <w:szCs w:val="13"/>
          <w:color w:val="auto"/>
        </w:rPr>
        <w:t>We believe that our focus on our operating margins is essential to our continued success in the title insurance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Specialty Insurance</w:t>
      </w:r>
    </w:p>
    <w:p>
      <w:pPr>
        <w:spacing w:after="0" w:line="96"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Our strategy in the specialty insurance business is to provide an efficient and effective delivery mechanism for property and casualty insurance policies placed directly and through independent agents. We are positioned to be a low expense provider, while continuing to strictly adhere to pricing and underwriting disciplines to maintain our underwriting profitability.</w:t>
      </w:r>
    </w:p>
    <w:p>
      <w:pPr>
        <w:spacing w:after="0" w:line="12" w:lineRule="exact"/>
        <w:rPr>
          <w:sz w:val="20"/>
          <w:szCs w:val="20"/>
          <w:color w:val="auto"/>
        </w:rPr>
      </w:pPr>
    </w:p>
    <w:p>
      <w:pPr>
        <w:ind w:left="1280" w:right="12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offer coverage under the U.S. National Flood Insurance Program (“NFIP”) through our three underwriters, Fidelity National Insurance Company, Fidelity National Property and Casualty Insurance Company and Fidelity National Indemnity Insurance Company, which provide flood insurance in all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50 states. We are the largest provider of NFIP flood insurance in the U.S. through our independent agent network.</w:t>
      </w:r>
    </w:p>
    <w:p>
      <w:pPr>
        <w:spacing w:after="0" w:line="96" w:lineRule="exact"/>
        <w:rPr>
          <w:sz w:val="20"/>
          <w:szCs w:val="20"/>
          <w:color w:val="auto"/>
        </w:rPr>
      </w:pPr>
    </w:p>
    <w:p>
      <w:pPr>
        <w:ind w:left="1280" w:right="20" w:hanging="190"/>
        <w:spacing w:after="0" w:line="371" w:lineRule="auto"/>
        <w:tabs>
          <w:tab w:leader="none" w:pos="128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provide an efficient methodology for obtaining insurance on newly acquired homes, whether new construction or upon resale. We have an easy to use fully integrated website, which our agents use as a completely paperless and fully automated quoting and policy delivery system. This system is in use for all of our property and casualty products.</w:t>
      </w:r>
    </w:p>
    <w:p>
      <w:pPr>
        <w:spacing w:after="0" w:line="2" w:lineRule="exact"/>
        <w:rPr>
          <w:rFonts w:ascii="Arial" w:cs="Arial" w:eastAsia="Arial" w:hAnsi="Arial"/>
          <w:sz w:val="11"/>
          <w:szCs w:val="11"/>
          <w:color w:val="auto"/>
        </w:rPr>
      </w:pPr>
    </w:p>
    <w:p>
      <w:pPr>
        <w:ind w:left="1280" w:right="20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underwriting practice is conservative. Catastrophe exposure is closely managed on a real time basis. We also purchase reinsurance to assist in maintaining our profitability and protecting our surplus.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Possible Acquisitions, Dispositions, Minority Owned Operating Subsidiaries and Financings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With assistance from our advisors, on an ongoing basis we actively evaluate possible strategic transactions, such as acquisitions and dispositions of business units and operating assets and business combination transactions, as well as possible means of financing the growth and operations of our business units or raising funds, through securities offerings or otherwise, for debt repayment or other purposes. In the current economic environment, we may seek to sell certain investments or other assets to increase our liquidity. Further, our management has stated that we may make acquisitions in lines of business that are not directly tied to or synergistic with our core operating segments. There can be no assurance, however, that any suitable opportunities will arise or that any particular transaction will be completed.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Strategic acquisitions have been an important part of our growth strategy. We made a number of acquisitions over the past three years to strengthen and expand our service offerings and customer base in our various businesses, to expand into other businesses or where we otherwise saw value.</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Acquisition of the LFG Underwriters. </w:t>
      </w:r>
      <w:r>
        <w:rPr>
          <w:rFonts w:ascii="Arial" w:cs="Arial" w:eastAsia="Arial" w:hAnsi="Arial"/>
          <w:sz w:val="13"/>
          <w:szCs w:val="13"/>
          <w:color w:val="auto"/>
        </w:rPr>
        <w:t>On December 22, 2008, we completed the acquisition of the LFG Underwriters. The total purchase price was $258.9 million, net of cash</w:t>
      </w:r>
      <w:r>
        <w:rPr>
          <w:rFonts w:ascii="Arial" w:cs="Arial" w:eastAsia="Arial" w:hAnsi="Arial"/>
          <w:sz w:val="13"/>
          <w:szCs w:val="13"/>
          <w:i w:val="1"/>
          <w:iCs w:val="1"/>
          <w:color w:val="auto"/>
        </w:rPr>
        <w:t xml:space="preserve"> </w:t>
      </w:r>
      <w:r>
        <w:rPr>
          <w:rFonts w:ascii="Arial" w:cs="Arial" w:eastAsia="Arial" w:hAnsi="Arial"/>
          <w:sz w:val="13"/>
          <w:szCs w:val="13"/>
          <w:color w:val="auto"/>
        </w:rPr>
        <w:t>acquired of $5.9 million, and was comprised of $153.9 million paid by two of our title insurance underwriters, Fidelity National Title Insurance Company and Chicago Title Insurance Company, a $50 million subordinated note due in 2013 (see note I of Notes to Consolidated Financial Statements), $50 million in FNF common stock (3,176,620 shares valued at $15.74 per share at the time of closing), and $5 million in transaction costs.</w:t>
      </w:r>
    </w:p>
    <w:p>
      <w:pPr>
        <w:spacing w:after="0" w:line="7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Acquisition of Equity Interest in Ceridian. </w:t>
      </w:r>
      <w:r>
        <w:rPr>
          <w:rFonts w:ascii="Arial" w:cs="Arial" w:eastAsia="Arial" w:hAnsi="Arial"/>
          <w:sz w:val="13"/>
          <w:szCs w:val="13"/>
          <w:color w:val="auto"/>
        </w:rPr>
        <w:t>On November 9, 2007, we and Thomas H. Lee Partners, L.P. (“THL”), along with certain co-investors, completed the acquisition of</w:t>
      </w:r>
      <w:r>
        <w:rPr>
          <w:rFonts w:ascii="Arial" w:cs="Arial" w:eastAsia="Arial" w:hAnsi="Arial"/>
          <w:sz w:val="13"/>
          <w:szCs w:val="13"/>
          <w:i w:val="1"/>
          <w:iCs w:val="1"/>
          <w:color w:val="auto"/>
        </w:rPr>
        <w:t xml:space="preserve"> </w:t>
      </w:r>
      <w:r>
        <w:rPr>
          <w:rFonts w:ascii="Arial" w:cs="Arial" w:eastAsia="Arial" w:hAnsi="Arial"/>
          <w:sz w:val="13"/>
          <w:szCs w:val="13"/>
          <w:color w:val="auto"/>
        </w:rPr>
        <w:t>Ceridian for $36 in cash per share of common stock, or approximately $5.3 billion. We contributed approximately $527 million of the total $1.6 billion equity funding for the acquisition of Ceridian, resulting in a 33% ownership interest by us, which we account for using the equity method of accounting for financial statement purposes.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71"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Property Insight, LLC. </w:t>
      </w:r>
      <w:r>
        <w:rPr>
          <w:rFonts w:ascii="Arial" w:cs="Arial" w:eastAsia="Arial" w:hAnsi="Arial"/>
          <w:sz w:val="13"/>
          <w:szCs w:val="13"/>
          <w:color w:val="auto"/>
        </w:rPr>
        <w:t>On August 31, 2007, we completed the acquisition of Property Insight, LLC (“Property Insight”), a former FIS subsidiary, from FIS for $95 million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Property Insight is a leading provider of title plant services for us, as well as various national and regional underwriters. Property Insight primarily manages, maintains, and updates the title plants that are owned by us. Additionally, Property Insight manages title plant construction activities for us.</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ATM Holdings, Inc. </w:t>
      </w:r>
      <w:r>
        <w:rPr>
          <w:rFonts w:ascii="Arial" w:cs="Arial" w:eastAsia="Arial" w:hAnsi="Arial"/>
          <w:sz w:val="13"/>
          <w:szCs w:val="13"/>
          <w:color w:val="auto"/>
        </w:rPr>
        <w:t>On August 13, 2007, we completed the acquisition of ATM Holdings, Inc. (“ATM”), a provider of nationwide mortgage vendor management services to the loan</w:t>
      </w:r>
      <w:r>
        <w:rPr>
          <w:rFonts w:ascii="Arial" w:cs="Arial" w:eastAsia="Arial" w:hAnsi="Arial"/>
          <w:sz w:val="13"/>
          <w:szCs w:val="13"/>
          <w:i w:val="1"/>
          <w:iCs w:val="1"/>
          <w:color w:val="auto"/>
        </w:rPr>
        <w:t xml:space="preserve"> </w:t>
      </w:r>
      <w:r>
        <w:rPr>
          <w:rFonts w:ascii="Arial" w:cs="Arial" w:eastAsia="Arial" w:hAnsi="Arial"/>
          <w:sz w:val="13"/>
          <w:szCs w:val="13"/>
          <w:color w:val="auto"/>
        </w:rPr>
        <w:t>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2"/>
          <w:szCs w:val="12"/>
          <w:i w:val="1"/>
          <w:iCs w:val="1"/>
          <w:color w:val="auto"/>
        </w:rPr>
        <w:t xml:space="preserve">Equity Interest in Remy. </w:t>
      </w:r>
      <w:r>
        <w:rPr>
          <w:rFonts w:ascii="Arial" w:cs="Arial" w:eastAsia="Arial" w:hAnsi="Arial"/>
          <w:sz w:val="12"/>
          <w:szCs w:val="12"/>
          <w:color w:val="auto"/>
        </w:rPr>
        <w:t>We held an investment in Remy’s Senior Subordinated Notes (the “Notes”) with a total fair value of $139.9 million until December 6, 2007, at which time</w:t>
      </w:r>
      <w:r>
        <w:rPr>
          <w:rFonts w:ascii="Arial" w:cs="Arial" w:eastAsia="Arial" w:hAnsi="Arial"/>
          <w:sz w:val="12"/>
          <w:szCs w:val="12"/>
          <w:i w:val="1"/>
          <w:iCs w:val="1"/>
          <w:color w:val="auto"/>
        </w:rPr>
        <w:t xml:space="preserve"> </w:t>
      </w:r>
      <w:r>
        <w:rPr>
          <w:rFonts w:ascii="Arial" w:cs="Arial" w:eastAsia="Arial" w:hAnsi="Arial"/>
          <w:sz w:val="12"/>
          <w:szCs w:val="12"/>
          <w:color w:val="auto"/>
        </w:rPr>
        <w:t>Remy implemented a pre-packaged plan of bankruptcy under Chapter 11 of the Bankruptcy Code. Pursuant to the plan of bankruptcy, the Notes were converted into 4,935,065 shares of Remy common stock and rights to buy 19,909 shares of Remy Series B preferred stock. Upon execution of the plan of bankruptcy, we purchased all 19,909 shares of the preferred stock for $1,000 per share, or a total of $19.9 million, and then on the same date sold 1,000 of those shares to William P. Foley, II, our Chairman of the Board, for $1,000 per share, or a total of</w:t>
      </w:r>
    </w:p>
    <w:p>
      <w:pPr>
        <w:spacing w:after="0" w:line="2"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$1.0 million. As of December 31, 2009, we held a 46% ownership interest in Remy, made up of 4,935,065 shares of Remy common stock with a cost basis of $64.3 million and 18,909 shares of Remy Series B preferred stock with a cost basis of $19.5 million. We account for our investment in Remy using the equity method of accounting for financial statement purposes. As a result of the exchange of the Notes for the shares of common and preferred stock, we reversed the unrealized gain of $75.0 million that had previously been recorded in accumulated other comprehensive earnings in relation to the Notes. Remy, headquartered in Anderson, Indiana, is a leading manufacturer, remanufacturer and distributor of Delco Remy brand heavy-duty systems and Remy brand starters and alternators, locomotive products and hybrid power technology.</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Title Insurance</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i w:val="1"/>
          <w:iCs w:val="1"/>
          <w:color w:val="auto"/>
        </w:rPr>
        <w:t xml:space="preserve">Market for title insurance. </w:t>
      </w:r>
      <w:r>
        <w:rPr>
          <w:rFonts w:ascii="Arial" w:cs="Arial" w:eastAsia="Arial" w:hAnsi="Arial"/>
          <w:sz w:val="12"/>
          <w:szCs w:val="12"/>
          <w:color w:val="auto"/>
        </w:rPr>
        <w:t>While we have seen declines from 2007 to 2009 in the title insurance market in the United States, the market remains large and grew significantly from</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1995 until 2005. Demotech Inc. (“Demotech”), an independent firm providing services to the insurance industry, publishes an annual compilation of financial information from the title insurance industry called </w:t>
      </w:r>
      <w:r>
        <w:rPr>
          <w:rFonts w:ascii="Arial" w:cs="Arial" w:eastAsia="Arial" w:hAnsi="Arial"/>
          <w:sz w:val="12"/>
          <w:szCs w:val="12"/>
          <w:i w:val="1"/>
          <w:iCs w:val="1"/>
          <w:color w:val="auto"/>
        </w:rPr>
        <w:t>Demotech Performance of Title Insurance Companies</w:t>
      </w:r>
      <w:r>
        <w:rPr>
          <w:rFonts w:ascii="Arial" w:cs="Arial" w:eastAsia="Arial" w:hAnsi="Arial"/>
          <w:sz w:val="12"/>
          <w:szCs w:val="12"/>
          <w:color w:val="auto"/>
        </w:rPr>
        <w:t>. According to this publication, total operating income for the entire U.S. title insurance industry grew from $4.8 billion in 1995 to $17.8 billion in 2005 and then decreased to $17.6 billion in 2006, $15.2 billion in 2007, and to $11.3 billion in 2008. Growth in the industry is closely tied to various macroeconomic factors, including, but not limited to, growth in the gross domestic product, inflation, unemployment, the availability of credit, consumer confidence, interest rates and sales of and prices for new and existing homes, as well as the volume of refinancing of previously issued mortgages.</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in the overall value of the real estate market helps drive growth in total industry revenues. Industry revenues are also driven by factors affecting the volume of residential real estate closings, such as the state of the economy, the availability of mortgage funding, and changes in interest rates, which affect demand for new mortgage loans and refinancing transactions. Both the volume and the average price of residential real estate transactions have experienced significant declines in many parts of the country, and it is uncertain how long these trends will continue. In 2008 and 2009, the sharply rising mortgage delinquency and default rates caused negative operating results at a number of banks and financial institutions and, as a result, have significantly reduced the level of lending activity. Multiple banks have failed during this time and others may fail in the future, further reducing the capacity of the mortgage industry to make loans. Our revenues in future periods will continue to be subject to these and other factors which are beyond our control and, as a result, are likely to fluctuate.</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U.S. title insurance industry is concentrated among a handful of industry participants. According to Demotech the top four title insurance companies accounted for 92.1% of net premiums written in 2008. Over 30 independent title insurance companies accounted for the remaining 7.9% of net premiums written in 2008. Over the years, the title insurance industry has been consolidating, beginning with the merger of Lawyers and Commonwealth in 1998 to create LFG, followed by our acquisition of Chicago Title in March 2000. Then, in December 2008, we acquired LFG’s two principal title insurance underwriters, Commonwealth and Lawyers, as well as United. Consolidation has created opportunities for increased financial and operating efficiencies for the industry’s largest participants and should continue to drive profitability and market share in the industry.</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Title Insurance Policies. </w:t>
      </w:r>
      <w:r>
        <w:rPr>
          <w:rFonts w:ascii="Arial" w:cs="Arial" w:eastAsia="Arial" w:hAnsi="Arial"/>
          <w:sz w:val="13"/>
          <w:szCs w:val="13"/>
          <w:color w:val="auto"/>
        </w:rPr>
        <w:t>Generally, real estate buyers and mortgage lenders purchase title insurance to insure good and marketable title to real estate and priority of lien. A brief</w:t>
      </w:r>
      <w:r>
        <w:rPr>
          <w:rFonts w:ascii="Arial" w:cs="Arial" w:eastAsia="Arial" w:hAnsi="Arial"/>
          <w:sz w:val="13"/>
          <w:szCs w:val="13"/>
          <w:i w:val="1"/>
          <w:iCs w:val="1"/>
          <w:color w:val="auto"/>
        </w:rPr>
        <w:t xml:space="preserve"> </w:t>
      </w:r>
      <w:r>
        <w:rPr>
          <w:rFonts w:ascii="Arial" w:cs="Arial" w:eastAsia="Arial" w:hAnsi="Arial"/>
          <w:sz w:val="13"/>
          <w:szCs w:val="13"/>
          <w:color w:val="auto"/>
        </w:rPr>
        <w:t>generalized description of the process of issuing a title insurance policy is as follows:</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customer, typically a real estate salesperson or broker, escrow agent, attorney or lender, places an order for a title policy.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Company personnel note the specifics of the title policy order and place a request with the title company or its agents for a preliminary report or commitment.</w:t>
      </w:r>
    </w:p>
    <w:p>
      <w:pPr>
        <w:spacing w:after="0" w:line="86"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preliminary report is circulated to all the parties for satisfaction of any specific issues.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After the specific issues identified in the preliminary report are satisfied, an escrow agent closes the transaction in accordance with the instructions of the parties and the title company’s conditions.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Once the transaction is closed and all monies have been released, the title company issues a title insurance policy.</w:t>
      </w:r>
    </w:p>
    <w:p>
      <w:pPr>
        <w:spacing w:after="0" w:line="96"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Title insurance premiums paid in connection with a title insurance policy are based on (and typically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The lender’s policy generally terminates upon the refinancing or resale of the property.</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Title insurance companies typically issue title insurance policies directly through branch offices or through title agencies which are subsidiaries of the title insurance company,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80"/>
        <w:spacing w:after="0" w:line="276" w:lineRule="auto"/>
        <w:rPr>
          <w:sz w:val="20"/>
          <w:szCs w:val="20"/>
          <w:color w:val="auto"/>
        </w:rPr>
      </w:pPr>
      <w:r>
        <w:rPr>
          <w:rFonts w:ascii="Arial" w:cs="Arial" w:eastAsia="Arial" w:hAnsi="Arial"/>
          <w:sz w:val="13"/>
          <w:szCs w:val="13"/>
          <w:color w:val="auto"/>
        </w:rPr>
        <w:t>is obligated to pay title claims in accordance with the terms of its policies, regardless of whether the title insurance company issues policies through its direct operations or through independent agents.</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Direct and Agency Operations. </w:t>
      </w:r>
      <w:r>
        <w:rPr>
          <w:rFonts w:ascii="Arial" w:cs="Arial" w:eastAsia="Arial" w:hAnsi="Arial"/>
          <w:sz w:val="13"/>
          <w:szCs w:val="13"/>
          <w:color w:val="auto"/>
        </w:rPr>
        <w:t>We provide title insurance services through our direct operations and through independent title insurance agents who issue title policies on behalf of</w:t>
      </w:r>
      <w:r>
        <w:rPr>
          <w:rFonts w:ascii="Arial" w:cs="Arial" w:eastAsia="Arial" w:hAnsi="Arial"/>
          <w:sz w:val="13"/>
          <w:szCs w:val="13"/>
          <w:i w:val="1"/>
          <w:iCs w:val="1"/>
          <w:color w:val="auto"/>
        </w:rPr>
        <w:t xml:space="preserve"> </w:t>
      </w:r>
      <w:r>
        <w:rPr>
          <w:rFonts w:ascii="Arial" w:cs="Arial" w:eastAsia="Arial" w:hAnsi="Arial"/>
          <w:sz w:val="13"/>
          <w:szCs w:val="13"/>
          <w:color w:val="auto"/>
        </w:rPr>
        <w:t>our title insurance companies. Our title insurance companies determine the terms and conditions upon which they will insure title to the real property according to their underwriting standards, policies and procedures.</w:t>
      </w:r>
    </w:p>
    <w:p>
      <w:pPr>
        <w:spacing w:after="0" w:line="67"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i w:val="1"/>
          <w:iCs w:val="1"/>
          <w:color w:val="auto"/>
        </w:rPr>
        <w:t xml:space="preserve">Direct Operations. </w:t>
      </w:r>
      <w:r>
        <w:rPr>
          <w:rFonts w:ascii="Arial" w:cs="Arial" w:eastAsia="Arial" w:hAnsi="Arial"/>
          <w:sz w:val="13"/>
          <w:szCs w:val="13"/>
          <w:color w:val="auto"/>
        </w:rPr>
        <w:t>In our direct operations, the title insurer issues the title insurance policy and retains the entire premium paid in connection with the transaction. Our direct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provide the following benefits:</w:t>
      </w:r>
    </w:p>
    <w:p>
      <w:pPr>
        <w:spacing w:after="0" w:line="59"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higher margins because we retain the entire premium from each transaction instead of paying a commission to an independent agent;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continuity of service levels to a broad range of customers;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additional sources of income through escrow and closing services.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over 1,600 offices throughout the U.S. primarily providing residential real estate title insurance, including approximately 400 offices which were added with the acquisition of the LFG Underwriters on December 22, 2008. During 2009 and 2008, as title insurance activity has slowed, we closed and consolidated a number of our offices. We continuously monitor the number of direct offices to be in line with our Company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and Houston.</w:t>
      </w:r>
    </w:p>
    <w:p>
      <w:pPr>
        <w:spacing w:after="0" w:line="71"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Agency Operations. </w:t>
      </w:r>
      <w:r>
        <w:rPr>
          <w:rFonts w:ascii="Arial" w:cs="Arial" w:eastAsia="Arial" w:hAnsi="Arial"/>
          <w:sz w:val="12"/>
          <w:szCs w:val="12"/>
          <w:color w:val="auto"/>
        </w:rPr>
        <w:t>In our agency operations, the search and examination function is performed by an independent agent or the agent may purchase the search and examination from</w:t>
      </w:r>
      <w:r>
        <w:rPr>
          <w:rFonts w:ascii="Arial" w:cs="Arial" w:eastAsia="Arial" w:hAnsi="Arial"/>
          <w:sz w:val="12"/>
          <w:szCs w:val="12"/>
          <w:i w:val="1"/>
          <w:iCs w:val="1"/>
          <w:color w:val="auto"/>
        </w:rPr>
        <w:t xml:space="preserve"> </w:t>
      </w:r>
      <w:r>
        <w:rPr>
          <w:rFonts w:ascii="Arial" w:cs="Arial" w:eastAsia="Arial" w:hAnsi="Arial"/>
          <w:sz w:val="12"/>
          <w:szCs w:val="12"/>
          <w:color w:val="auto"/>
        </w:rPr>
        <w:t>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64" w:lineRule="auto"/>
        <w:rPr>
          <w:sz w:val="20"/>
          <w:szCs w:val="20"/>
          <w:color w:val="auto"/>
        </w:rPr>
      </w:pPr>
      <w:r>
        <w:rPr>
          <w:rFonts w:ascii="Arial" w:cs="Arial" w:eastAsia="Arial" w:hAnsi="Arial"/>
          <w:sz w:val="13"/>
          <w:szCs w:val="13"/>
          <w:color w:val="auto"/>
        </w:rPr>
        <w:t>enter into an agency agreement, we maintain financial and loss experience records. We also conduct periodic audits of our agents and periodically decrease the number of agents with which we transact business in an effort to reduce future expenses and manage risks. We transact business with approximately 7,500 agents, including approximately 3,000 which were added with the acquisition of the LFG Underwriters.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Fees and Premiums. </w:t>
      </w:r>
      <w:r>
        <w:rPr>
          <w:rFonts w:ascii="Arial" w:cs="Arial" w:eastAsia="Arial" w:hAnsi="Arial"/>
          <w:sz w:val="13"/>
          <w:szCs w:val="13"/>
          <w:color w:val="auto"/>
        </w:rPr>
        <w:t>One method of analyzing our business is to examine the level of premiums generated by direct and agency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percentages of our title insurance premiums generated by direct and agency operations: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2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0"/>
              <w:spacing w:after="0" w:line="98"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38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%(a)</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2"/>
              <w:spacing w:after="0" w:line="98"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780" w:type="dxa"/>
            <w:vAlign w:val="bottom"/>
            <w:gridSpan w:val="2"/>
          </w:tcPr>
          <w:p>
            <w:pPr>
              <w:jc w:val="right"/>
              <w:ind w:right="178"/>
              <w:spacing w:after="0"/>
              <w:rPr>
                <w:sz w:val="20"/>
                <w:szCs w:val="20"/>
                <w:color w:val="auto"/>
              </w:rPr>
            </w:pPr>
            <w:r>
              <w:rPr>
                <w:rFonts w:ascii="Arial" w:cs="Arial" w:eastAsia="Arial" w:hAnsi="Arial"/>
                <w:sz w:val="10"/>
                <w:szCs w:val="10"/>
                <w:b w:val="1"/>
                <w:bCs w:val="1"/>
                <w:color w:val="auto"/>
                <w:w w:val="98"/>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Direct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1,475.3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1,140.3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42.1%</w:t>
            </w:r>
          </w:p>
        </w:tc>
      </w:tr>
      <w:tr>
        <w:trPr>
          <w:trHeight w:val="157"/>
        </w:trPr>
        <w:tc>
          <w:tcPr>
            <w:tcW w:w="4960" w:type="dxa"/>
            <w:vAlign w:val="bottom"/>
            <w:gridSpan w:val="2"/>
          </w:tcPr>
          <w:p>
            <w:pPr>
              <w:spacing w:after="0"/>
              <w:rPr>
                <w:sz w:val="20"/>
                <w:szCs w:val="20"/>
                <w:color w:val="auto"/>
              </w:rPr>
            </w:pPr>
            <w:r>
              <w:rPr>
                <w:rFonts w:ascii="Arial" w:cs="Arial" w:eastAsia="Arial" w:hAnsi="Arial"/>
                <w:sz w:val="13"/>
                <w:szCs w:val="13"/>
                <w:color w:val="auto"/>
              </w:rPr>
              <w:t>Agency</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2,452.3</w:t>
            </w:r>
          </w:p>
        </w:tc>
        <w:tc>
          <w:tcPr>
            <w:tcW w:w="38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1,554.7</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57.7</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2,198.7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57.9</w:t>
            </w:r>
          </w:p>
        </w:tc>
      </w:tr>
      <w:tr>
        <w:trPr>
          <w:trHeight w:val="20"/>
        </w:trPr>
        <w:tc>
          <w:tcPr>
            <w:tcW w:w="1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title insurance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3,927.6</w:t>
            </w:r>
          </w:p>
        </w:tc>
        <w:tc>
          <w:tcPr>
            <w:tcW w:w="3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2,695.0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40" w:lineRule="exact"/>
        <w:rPr>
          <w:sz w:val="20"/>
          <w:szCs w:val="20"/>
          <w:color w:val="auto"/>
        </w:rPr>
      </w:pPr>
    </w:p>
    <w:p>
      <w:pPr>
        <w:ind w:left="1000" w:right="100" w:hanging="252"/>
        <w:spacing w:after="0" w:line="276" w:lineRule="auto"/>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mix of agency premiums as a percentage of total title insurance premiums increased in 2009 due to the acquisition of the LFG Underwriters in December 2008, which historically had a higher agency business.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Geographic Operations. </w:t>
      </w:r>
      <w:r>
        <w:rPr>
          <w:rFonts w:ascii="Arial" w:cs="Arial" w:eastAsia="Arial" w:hAnsi="Arial"/>
          <w:sz w:val="12"/>
          <w:szCs w:val="12"/>
          <w:color w:val="auto"/>
        </w:rPr>
        <w:t>Our direct operations are divided into approximately 180 profit centers, which include 35 added with the acquisition of the LFG Underwriters. Each profit</w:t>
      </w:r>
      <w:r>
        <w:rPr>
          <w:rFonts w:ascii="Arial" w:cs="Arial" w:eastAsia="Arial" w:hAnsi="Arial"/>
          <w:sz w:val="12"/>
          <w:szCs w:val="12"/>
          <w:i w:val="1"/>
          <w:iCs w:val="1"/>
          <w:color w:val="auto"/>
        </w:rPr>
        <w:t xml:space="preserve"> </w:t>
      </w:r>
      <w:r>
        <w:rPr>
          <w:rFonts w:ascii="Arial" w:cs="Arial" w:eastAsia="Arial" w:hAnsi="Arial"/>
          <w:sz w:val="12"/>
          <w:szCs w:val="12"/>
          <w:color w:val="auto"/>
        </w:rPr>
        <w:t>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7,500 agents, primarily in those areas in which agents are the more prevalent title insurance provider. This includes approximately 3,000 agents which were added with the acquisition of the LFG Underwriters.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approximate dollar and percentage volumes of our title insurance premium revenue by state.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2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140"/>
              <w:spacing w:after="0"/>
              <w:rPr>
                <w:sz w:val="20"/>
                <w:szCs w:val="20"/>
                <w:color w:val="auto"/>
              </w:rPr>
            </w:pPr>
            <w:r>
              <w:rPr>
                <w:rFonts w:ascii="Arial" w:cs="Arial" w:eastAsia="Arial" w:hAnsi="Arial"/>
                <w:sz w:val="10"/>
                <w:szCs w:val="10"/>
                <w:b w:val="1"/>
                <w:bCs w:val="1"/>
                <w:color w:val="auto"/>
                <w:w w:val="91"/>
              </w:rPr>
              <w:t>(Dollars</w:t>
            </w:r>
          </w:p>
        </w:tc>
        <w:tc>
          <w:tcPr>
            <w:tcW w:w="780" w:type="dxa"/>
            <w:vAlign w:val="bottom"/>
            <w:gridSpan w:val="2"/>
          </w:tcPr>
          <w:p>
            <w:pPr>
              <w:jc w:val="right"/>
              <w:ind w:right="176"/>
              <w:spacing w:after="0"/>
              <w:rPr>
                <w:sz w:val="20"/>
                <w:szCs w:val="20"/>
                <w:color w:val="auto"/>
              </w:rPr>
            </w:pPr>
            <w:r>
              <w:rPr>
                <w:rFonts w:ascii="Arial" w:cs="Arial" w:eastAsia="Arial" w:hAnsi="Arial"/>
                <w:sz w:val="10"/>
                <w:szCs w:val="10"/>
                <w:b w:val="1"/>
                <w:bCs w:val="1"/>
                <w:color w:val="auto"/>
                <w:w w:val="98"/>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California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691.3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473.8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16.5%</w:t>
            </w: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Texas</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406.1</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337.9</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480.0</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12.6</w:t>
            </w:r>
          </w:p>
        </w:tc>
      </w:tr>
      <w:tr>
        <w:trPr>
          <w:trHeight w:val="157"/>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Florida</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224.7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208.4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412.3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10.8</w:t>
            </w: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New York</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272.5</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199.2</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305.2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8.0</w:t>
            </w:r>
          </w:p>
        </w:tc>
      </w:tr>
      <w:tr>
        <w:trPr>
          <w:trHeight w:val="157"/>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Illinois</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114.0</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118.5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All others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2,219.0</w:t>
            </w:r>
          </w:p>
        </w:tc>
        <w:tc>
          <w:tcPr>
            <w:tcW w:w="38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1,357.2</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50.4</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1,815.1</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47.8</w:t>
            </w:r>
          </w:p>
        </w:tc>
      </w:tr>
      <w:tr>
        <w:trPr>
          <w:trHeight w:val="20"/>
        </w:trPr>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3,927.6</w:t>
            </w:r>
          </w:p>
        </w:tc>
        <w:tc>
          <w:tcPr>
            <w:tcW w:w="3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2,695.0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Escrow, Title-Related and Other Fees. </w:t>
      </w:r>
      <w:r>
        <w:rPr>
          <w:rFonts w:ascii="Arial" w:cs="Arial" w:eastAsia="Arial" w:hAnsi="Arial"/>
          <w:sz w:val="13"/>
          <w:szCs w:val="13"/>
          <w:color w:val="auto"/>
        </w:rPr>
        <w:t>In addition to fees for underwriting title insurance policies, we derive a significant amount of our revenues from escrow, title-related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including closing</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color w:val="auto"/>
        </w:rPr>
        <w:t>services. The escrow and other services provided by us include all of those typically required in connection with residential and commercial real estate purchases and, refinance activities and default and appraisal services. Escrow, title-related and other fees represented approximately 23.2%, 25.2%, and 19.7% of our revenues in 2009, 2008, and 2007, respectively.</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Specialty Insurance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 various insurance policies and contracts, which include the following:</w:t>
      </w:r>
    </w:p>
    <w:p>
      <w:pPr>
        <w:spacing w:after="0" w:line="96"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Flood insurance. </w:t>
      </w:r>
      <w:r>
        <w:rPr>
          <w:rFonts w:ascii="Arial" w:cs="Arial" w:eastAsia="Arial" w:hAnsi="Arial"/>
          <w:sz w:val="13"/>
          <w:szCs w:val="13"/>
          <w:color w:val="auto"/>
        </w:rPr>
        <w:t>We issue new and renewal flood insurance policies in conjunction with the NFIP. The NFIP bears all insurance risk related to these policies.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Home warranty. </w:t>
      </w:r>
      <w:r>
        <w:rPr>
          <w:rFonts w:ascii="Arial" w:cs="Arial" w:eastAsia="Arial" w:hAnsi="Arial"/>
          <w:sz w:val="13"/>
          <w:szCs w:val="13"/>
          <w:color w:val="auto"/>
        </w:rPr>
        <w:t>We issue one-year, renewable contracts that protect homeowners against defects in household systems and appliances.</w:t>
      </w:r>
    </w:p>
    <w:p>
      <w:pPr>
        <w:spacing w:after="0" w:line="86" w:lineRule="exact"/>
        <w:rPr>
          <w:rFonts w:ascii="Arial" w:cs="Arial" w:eastAsia="Arial" w:hAnsi="Arial"/>
          <w:sz w:val="13"/>
          <w:szCs w:val="13"/>
          <w:color w:val="auto"/>
        </w:rPr>
      </w:pPr>
    </w:p>
    <w:p>
      <w:pPr>
        <w:ind w:left="1280" w:right="220" w:hanging="190"/>
        <w:spacing w:after="0" w:line="264"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Personal lines insurance. </w:t>
      </w:r>
      <w:r>
        <w:rPr>
          <w:rFonts w:ascii="Arial" w:cs="Arial" w:eastAsia="Arial" w:hAnsi="Arial"/>
          <w:sz w:val="13"/>
          <w:szCs w:val="13"/>
          <w:color w:val="auto"/>
        </w:rPr>
        <w:t>We offer and underwrite homeowners’ insurance in all 50 states. Automobile insurance is currently underwritten in 31 states. We may expand into a</w:t>
      </w:r>
      <w:r>
        <w:rPr>
          <w:rFonts w:ascii="Arial" w:cs="Arial" w:eastAsia="Arial" w:hAnsi="Arial"/>
          <w:sz w:val="13"/>
          <w:szCs w:val="13"/>
          <w:i w:val="1"/>
          <w:iCs w:val="1"/>
          <w:color w:val="auto"/>
        </w:rPr>
        <w:t xml:space="preserve"> </w:t>
      </w:r>
      <w:r>
        <w:rPr>
          <w:rFonts w:ascii="Arial" w:cs="Arial" w:eastAsia="Arial" w:hAnsi="Arial"/>
          <w:sz w:val="13"/>
          <w:szCs w:val="13"/>
          <w:color w:val="auto"/>
        </w:rPr>
        <w:t>limited number of additional states in 2010 where favorable underwriting potential exists. In addition, we underwrite personal umbrella, inland marine (boat and recreational watercraft), and other personal lines niche products in selected markets.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sales and marketing efforts are primarily organized around our lines of business.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Fidelity National Title Group</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market and distribute our title and escrow products and services to customers in the residential 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have become an increasingly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Specialty Insurance</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Specialty insurance is marketed through three distinct channels. We market our program through our in-house agency via direct mail to customers of our affiliated operations. This direct channel constituted approximately 13% of our non-flood premium writings in 2009 and 15% in 2008 and 2007. The second distribution channel is through independent agents and brokers nationwide. Approximately 86%, 83%, and 79% of our non-flood premium and the vast majority of our flood business was placed through this channel in 2009, 2008, and 2007, respectively. We currently have in excess of 19,000 independent agencies nationwide actively producing business on our behalf. The third distribution channel is through independent agents in California who represent only FNF (“captive independent agents”). This channel, comprised of 12 captive independent agents at the end of 2009, accounted for 1%, 2%, and 6% of the non-flood premium volume in 2009, 2008, and 2007, respectively.</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Claims</w:t>
      </w:r>
    </w:p>
    <w:p>
      <w:pPr>
        <w:spacing w:after="0" w:line="100" w:lineRule="exact"/>
        <w:rPr>
          <w:sz w:val="20"/>
          <w:szCs w:val="20"/>
          <w:color w:val="auto"/>
        </w:rPr>
      </w:pPr>
    </w:p>
    <w:p>
      <w:pPr>
        <w:jc w:val="both"/>
        <w:ind w:left="680" w:right="180" w:firstLine="399"/>
        <w:spacing w:after="0" w:line="334" w:lineRule="auto"/>
        <w:rPr>
          <w:sz w:val="20"/>
          <w:szCs w:val="20"/>
          <w:color w:val="auto"/>
        </w:rPr>
      </w:pPr>
      <w:r>
        <w:rPr>
          <w:rFonts w:ascii="Arial" w:cs="Arial" w:eastAsia="Arial" w:hAnsi="Arial"/>
          <w:sz w:val="11"/>
          <w:szCs w:val="11"/>
          <w:color w:val="auto"/>
        </w:rPr>
        <w:t>An important part of our operations is the handling of title and escrow claims. We employ a staff of over 500 employees in our claims department, over 200 of which are attorneys. We also use the services of outside attorneys. Our claims processing centers are located in Irvine, California, Omaha, Nebraska, and Jacksonville, Florida. We also have a clearance center located in Texas, which is responsible for handling minor, technical defects. In-house claims counsels who handle larger claims are also located in other parts of the country.</w:t>
      </w:r>
    </w:p>
    <w:p>
      <w:pPr>
        <w:spacing w:after="0" w:line="32"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Claims result from a wide range of causes. These causes generally include, but are not limited to, forgeries, misrepresentations, incorrect legal descriptions, signature and notary errors, unrecorded liens, mechanics’ liens, the failure to pay off existing liens, mortgage lending fraud, mishandling or theft of settlement funds (including independent agency defalcations), mistakes in the escrow process, issuance by title agencies of unauthorized coverage, violations of creditors’ rights (such as claims of preference and fraudulent conveyance in bankruptcy proceedings) and defending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six years after the policy has been issued, although claims are also incurred and paid many years later.</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Claims are sometimes complex, vary greatly in dollar amounts and are affected by economic and market conditions and the legal environment existing at the time claims are processed. In our commercial title business, we often issue polices with face amounts well in excess of $100 million, and from time to time claims are submitted with respect to large policies. We believe we are appropriately reserved with respect to all claims (large and small) that we currently face. However, occasionally we experience large losses from title policies that have been issued or our escrow operations, or overall worsening loss payment experience, which require us to increase our title loss reserves. These events are unpredictable and adversely affect our earnings. Claims often result in litigation in which we may represent our insured and/or ourselves. We consider this type of litigation to be an ordinary course aspect of the conduct of our business.</w:t>
      </w:r>
    </w:p>
    <w:p>
      <w:pPr>
        <w:spacing w:after="0" w:line="72"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We have taken several steps intended to address issues that contributed to increases in each of 2007 and 2008 in our provisioning rate for losses occurring under policies written in prior years. Starting in the fourth quarter of 2008, we began to revise certain aspects of our approach to processing claims. Key changes implemented include a greater effort to collect contributions from third parties that bear responsibility for losses, more stringent enforcement of documentation requirements for proof of claims, a more efficient process for dealing with minor, technical claim matters, and a greater focus on hiring legal counsel with lower billing rates. Notwithstanding the negative effects of real estate markets, our title claims paid in 2009 declined to $388.6 million compared to $504.5 million in 2008 on a pro forma basis. We are not able to predict the extent to which this decline will be sustained over time. We also continued, in 2008 and 2009, reducing our total number of agents, with a focus in part on agents producing higher claims ratios.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Reinsurance and Coinsurance</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limit our maximum loss exposure by reinsuring risks with other insurers under excess of loss and case-by-case (“facultative”) reinsurance agreements. Reinsurance agreements provide generally that the reinsurer is liable for loss and loss adjustment expense payments exceeding the amount retained by the ceding company. However, the ceding company remains primarily liable in the event the reinsurer does not meet its contractual obligations. Facultative reinsurance agreements are entered into with other title insurers when the transaction to be insured will exceed state statutory limits. Excess of loss reinsurance protects us from a loss from a single occurrence. For 2010, our excess of loss coverage is split into two tiers. The first tier applies to</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spacing w:after="0" w:line="264" w:lineRule="auto"/>
        <w:rPr>
          <w:sz w:val="20"/>
          <w:szCs w:val="20"/>
          <w:color w:val="auto"/>
        </w:rPr>
      </w:pPr>
      <w:r>
        <w:rPr>
          <w:rFonts w:ascii="Arial" w:cs="Arial" w:eastAsia="Arial" w:hAnsi="Arial"/>
          <w:sz w:val="13"/>
          <w:szCs w:val="13"/>
          <w:color w:val="auto"/>
        </w:rPr>
        <w:t>losses in excess of a $10 million retention up to an aggregate of $100 million in loss from a single occurrence. Above a $100 million total loss, the second tier of our current excess of loss reinsurance program provides additional coverage above the first $100 million of loss from any occurrence up to $600 million per occurrence, with the Company participating at 38% from $100 million to $200 million, and at 67% from $200 million to $600 million.</w:t>
      </w:r>
    </w:p>
    <w:p>
      <w:pPr>
        <w:spacing w:after="0" w:line="67"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In addition to reinsurance, we carry errors and omissions insurance and fidelity bond coverage, each of which can provide protection to us in the event of certain types of losses that can occur in our businesses.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policy is to be selective in choosing our reinsurers, seeking only those companies that we consider to be financially stable and adequately capitalized. In an effort to minimize exposure to the insolvency of a reinsurer, we review the financial condition of our reinsurers.</w:t>
      </w:r>
    </w:p>
    <w:p>
      <w:pPr>
        <w:spacing w:after="0" w:line="59"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earn a small amount of additional income, which is reflected in our direct premiums, by assuming reinsurance for certain risks of other title insurers.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our property and casualty lines of business, we purchase catastrophic reinsurance coverage in the amount of $110 million in excess of a $10 million retention. In addition, we are required to participate in the Florida Hurricane Catastrophe Fund resulting in coverage of $11 million in excess of $3 million retention. We also have a quota share agreement where we cede 80% of risks that exceed a coverage value of $750 thousand and a quota share agreement where we cede 50% of our umbrella business.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Trademarks and Other Intellectual Property</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rely on a combination of contractual restrictions, internal security practices, and copyright and trade secret law to establish and protect our software, technology, and expertise.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and Research and Development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a national provider of real estate transaction products and services, we participate in a dynamic industry that is subject to significant regulatory requirements,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 In order to meet new regulatory requirements, we also continue to improve our data collection and reporting abilities.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Fidelity National Title Group</w:t>
      </w:r>
    </w:p>
    <w:p>
      <w:pPr>
        <w:spacing w:after="0" w:line="10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Competition in the title insurance industry is based primarily on expertise, service and price. In addition, the financial strength of the insurer 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1" w:lineRule="auto"/>
        <w:rPr>
          <w:sz w:val="20"/>
          <w:szCs w:val="20"/>
          <w:color w:val="auto"/>
        </w:rPr>
      </w:pPr>
      <w:r>
        <w:rPr>
          <w:rFonts w:ascii="Arial" w:cs="Arial" w:eastAsia="Arial" w:hAnsi="Arial"/>
          <w:sz w:val="12"/>
          <w:szCs w:val="12"/>
          <w:color w:val="auto"/>
        </w:rPr>
        <w:t>number and size of competing companies varies in the different geographic areas in which we conduct our business. In our principal markets, competitors include other major title underwriters such as The First American Corporation, Old Republic International Corporation and Stewart Information Services Corporation, as well as numerous smaller title insurance companies, underwritten title companies and independent agency operations at the regional and local level. Independent agency operations account for over 60% of our total title insurance revenue. Several of the smaller competitors have closed their operations in the past few years as a result of the significant decrease in activity in the residential real estate market. Also, the removal of regulatory barriers might result in new competitors entering the title insurance business, and those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Specialty Insurance</w:t>
      </w:r>
    </w:p>
    <w:p>
      <w:pPr>
        <w:spacing w:after="0" w:line="61"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our specialty insurance segment, we compete with the national, regional and local insurance carriers. Depending on geographic location, various personal lines carriers, such as State Farm, Allstate, Farmers, Travelers, Hartford, Nationwide and numerous other companies compete for this personal lines business. In our home warranty business, our competitors include American Home Shield and The First American Corporation. In addition to price, service and convenience are competitive factors. We strive to compete primarily through providing an efficient and streamlined product delivery platform.</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6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insurance subsidiaries, including title insurers, property and casualty insurers, underwritten title companies and insurance agencies, are subject to extensive regulation 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34"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Since we are governed by both state and federal governments and the applicable insurance laws and regulations are constantly subject to change, it is not possible to predict the potential effects on our insurance operations, particularly our Fidelity National Title Group segment, of any laws or regulations that may become more restrictive in the future or if new restrictive laws will be enacted.</w:t>
      </w:r>
    </w:p>
    <w:p>
      <w:pPr>
        <w:spacing w:after="0" w:line="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2009, the combined statutory unearned premium reserve required and reported for our title insurers was $1,978.3 million. In addition to statutory unearned premium reserves and reserves for known claims, each of our insurers maintains surplus funds for policyholder protection and business operations.</w:t>
      </w:r>
    </w:p>
    <w:p>
      <w:pPr>
        <w:spacing w:after="0" w:line="32" w:lineRule="exact"/>
        <w:rPr>
          <w:sz w:val="20"/>
          <w:szCs w:val="20"/>
          <w:color w:val="auto"/>
        </w:rPr>
      </w:pPr>
    </w:p>
    <w:p>
      <w:pPr>
        <w:jc w:val="both"/>
        <w:ind w:left="680" w:right="480" w:firstLine="399"/>
        <w:spacing w:after="0" w:line="264" w:lineRule="auto"/>
        <w:rPr>
          <w:sz w:val="20"/>
          <w:szCs w:val="20"/>
          <w:color w:val="auto"/>
        </w:rPr>
      </w:pPr>
      <w:r>
        <w:rPr>
          <w:rFonts w:ascii="Arial" w:cs="Arial" w:eastAsia="Arial" w:hAnsi="Arial"/>
          <w:sz w:val="13"/>
          <w:szCs w:val="13"/>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 and certain of these examinations are currently ongoing.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stockholders.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72"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 of the insurer’s statutory surplus as of the immediately prior year end;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statutory net income of the insurer during the prior calendar year.</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laws and regulations of some jurisdictions also prohibit an insurer from declaring or paying a dividend except out of its earned surplus or require the insurer to obtain prior regulatory approval. During 2010, our directly owned title insurers can pay dividends or make distributions to us of approximately $289.4 million without prior 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w:t>
      </w:r>
    </w:p>
    <w:p>
      <w:pPr>
        <w:spacing w:after="0" w:line="7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The combined statutory capital and surplus of our title insurers was $860.9 million and $634.9 million as of December 31, 2009 and 2008, respectively. The combined statutory earnings (loss) of our title insurers were $270.4 million, $(170.5) million, and $204.8 million for the years ended December 31, 2009, 2008, and 2007, respectively.</w:t>
      </w:r>
    </w:p>
    <w:p>
      <w:pPr>
        <w:spacing w:after="0" w:line="35"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Pursuant to statutory requirements of the various states in which our insurers are domiciled, they must maintain certain levels of minimum capital and surplus. Each of our insurers has complied with the minimum statutory requirements as of December 31, 2009.</w:t>
      </w:r>
    </w:p>
    <w:p>
      <w:pPr>
        <w:spacing w:after="0" w:line="59" w:lineRule="exact"/>
        <w:rPr>
          <w:sz w:val="20"/>
          <w:szCs w:val="20"/>
          <w:color w:val="auto"/>
        </w:rPr>
      </w:pPr>
    </w:p>
    <w:p>
      <w:pPr>
        <w:ind w:left="680" w:right="140" w:firstLine="399"/>
        <w:spacing w:after="0" w:line="280" w:lineRule="auto"/>
        <w:rPr>
          <w:sz w:val="20"/>
          <w:szCs w:val="20"/>
          <w:color w:val="auto"/>
        </w:rPr>
      </w:pPr>
      <w:r>
        <w:rPr>
          <w:rFonts w:ascii="Arial" w:cs="Arial" w:eastAsia="Arial" w:hAnsi="Arial"/>
          <w:sz w:val="12"/>
          <w:szCs w:val="12"/>
          <w:color w:val="auto"/>
        </w:rPr>
        <w:t>Our underwritten title companies are also subject to certain regulation by insurance regulatory or banking authorities, primarily relating to minimum net worth. Minimum net worth requirements for each underwritten title company are as follows: $7.5 million for Fidelity National Title Company, $2.5 million for Fidelity National Title Company of California,</w:t>
      </w:r>
    </w:p>
    <w:p>
      <w:pPr>
        <w:ind w:left="680" w:right="100"/>
        <w:spacing w:after="0" w:line="264" w:lineRule="auto"/>
        <w:rPr>
          <w:sz w:val="20"/>
          <w:szCs w:val="20"/>
          <w:color w:val="auto"/>
        </w:rPr>
      </w:pPr>
      <w:r>
        <w:rPr>
          <w:rFonts w:ascii="Arial" w:cs="Arial" w:eastAsia="Arial" w:hAnsi="Arial"/>
          <w:sz w:val="13"/>
          <w:szCs w:val="13"/>
          <w:color w:val="auto"/>
        </w:rPr>
        <w:t>$3.0 million for Chicago Title Company, and $0.4 million for Ticor Title Company of California, Commonwealth Land Title Company, and Lawyers Title Company. These companies were in compliance with their respective minimum net worth requirements at December 31, 2009.</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discussion of certain pending matters, see Item 3, Legal Proceedings.</w:t>
      </w:r>
    </w:p>
    <w:p>
      <w:pPr>
        <w:spacing w:after="0" w:line="7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Before a person can acquire control of a U.S. insurance company, prior written approval must be obtained from the insurance commissioner of the state in which the insurer is domiciled. Prior to granting approval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0" w:lineRule="auto"/>
        <w:rPr>
          <w:sz w:val="20"/>
          <w:szCs w:val="20"/>
          <w:color w:val="auto"/>
        </w:rPr>
      </w:pPr>
      <w:r>
        <w:rPr>
          <w:rFonts w:ascii="Arial" w:cs="Arial" w:eastAsia="Arial" w:hAnsi="Arial"/>
          <w:sz w:val="11"/>
          <w:szCs w:val="11"/>
          <w:color w:val="auto"/>
        </w:rPr>
        <w:t>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(In the state of Florida, where one of our title insurers is commercially domiciled, control may be presumed to exist upon acquisition of 5% or more of the insurer’s voting securities.) Because a person acquiring 10% or more of our common shares would indirectly control the same percentage of the stock of our insurers, the insurance change of control laws would likely apply to such a transaction (and any acquisition of 5% or more would require filing a disclaimer of control with, or obtaining a change of control approval from, the State of Florida).</w:t>
      </w:r>
    </w:p>
    <w:p>
      <w:pPr>
        <w:spacing w:after="0" w:line="4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Ratings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Fidelity National Title, Lawyers Title, Continental Title Insurance Company (previously LandAmerica Title of New Jersey), Security Union Title, Ticor Title, and United Capital Title. Standard &amp; Poor’s Ratings Group (“S&amp;P”), Moody’s Investors Service (“Moody’s”), and A. M. Best Company (“A.M. Best”) provide ratings for the entire FNF family of companies as a whole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S&amp;P(1)</w:t>
            </w:r>
          </w:p>
        </w:tc>
        <w:tc>
          <w:tcPr>
            <w:tcW w:w="30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Moody’s</w:t>
            </w:r>
          </w:p>
        </w:tc>
        <w:tc>
          <w:tcPr>
            <w:tcW w:w="280" w:type="dxa"/>
            <w:vAlign w:val="bottom"/>
          </w:tcPr>
          <w:p>
            <w:pPr>
              <w:spacing w:after="0"/>
              <w:rPr>
                <w:sz w:val="10"/>
                <w:szCs w:val="10"/>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A.M. Best</w:t>
            </w:r>
          </w:p>
        </w:tc>
      </w:tr>
      <w:tr>
        <w:trPr>
          <w:trHeight w:val="185"/>
        </w:trPr>
        <w:tc>
          <w:tcPr>
            <w:tcW w:w="7360" w:type="dxa"/>
            <w:vAlign w:val="bottom"/>
            <w:gridSpan w:val="2"/>
          </w:tcPr>
          <w:p>
            <w:pPr>
              <w:spacing w:after="0"/>
              <w:rPr>
                <w:sz w:val="20"/>
                <w:szCs w:val="20"/>
                <w:color w:val="auto"/>
              </w:rPr>
            </w:pPr>
            <w:r>
              <w:rPr>
                <w:rFonts w:ascii="Arial" w:cs="Arial" w:eastAsia="Arial" w:hAnsi="Arial"/>
                <w:sz w:val="13"/>
                <w:szCs w:val="13"/>
                <w:color w:val="auto"/>
              </w:rPr>
              <w:t>FNF family of companies</w:t>
            </w:r>
          </w:p>
        </w:tc>
        <w:tc>
          <w:tcPr>
            <w:tcW w:w="54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A3</w:t>
            </w:r>
          </w:p>
        </w:tc>
        <w:tc>
          <w:tcPr>
            <w:tcW w:w="2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A-</w:t>
            </w:r>
          </w:p>
        </w:tc>
      </w:tr>
      <w:tr>
        <w:trPr>
          <w:trHeight w:val="100"/>
        </w:trPr>
        <w:tc>
          <w:tcPr>
            <w:tcW w:w="130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95"/>
        </w:trPr>
        <w:tc>
          <w:tcPr>
            <w:tcW w:w="7360" w:type="dxa"/>
            <w:vAlign w:val="bottom"/>
            <w:gridSpan w:val="2"/>
          </w:tcPr>
          <w:p>
            <w:pPr>
              <w:ind w:left="60"/>
              <w:spacing w:after="0"/>
              <w:rPr>
                <w:sz w:val="20"/>
                <w:szCs w:val="20"/>
                <w:color w:val="auto"/>
              </w:rPr>
            </w:pPr>
            <w:r>
              <w:rPr>
                <w:rFonts w:ascii="Arial" w:cs="Arial" w:eastAsia="Arial" w:hAnsi="Arial"/>
                <w:sz w:val="13"/>
                <w:szCs w:val="13"/>
                <w:color w:val="auto"/>
              </w:rPr>
              <w:t>(1)  S&amp;P has also assigned a rating of BBB+ to the LFG Underwriters.</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6"/>
        </w:trPr>
        <w:tc>
          <w:tcPr>
            <w:tcW w:w="7360" w:type="dxa"/>
            <w:vAlign w:val="bottom"/>
            <w:gridSpan w:val="2"/>
          </w:tcPr>
          <w:p>
            <w:pPr>
              <w:ind w:left="400"/>
              <w:spacing w:after="0"/>
              <w:rPr>
                <w:sz w:val="20"/>
                <w:szCs w:val="20"/>
                <w:color w:val="auto"/>
              </w:rPr>
            </w:pPr>
            <w:r>
              <w:rPr>
                <w:rFonts w:ascii="Arial" w:cs="Arial" w:eastAsia="Arial" w:hAnsi="Arial"/>
                <w:sz w:val="13"/>
                <w:szCs w:val="13"/>
                <w:color w:val="auto"/>
                <w:w w:val="94"/>
              </w:rPr>
              <w:t>Demotech provides financial strength/stability ratings for each of our principal title insurance underwriters individually, as follows:</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00"/>
        </w:trPr>
        <w:tc>
          <w:tcPr>
            <w:tcW w:w="736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57"/>
        </w:trPr>
        <w:tc>
          <w:tcPr>
            <w:tcW w:w="7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Alamo Title Insurance</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tcPr>
          <w:p>
            <w:pPr>
              <w:spacing w:after="0"/>
              <w:rPr>
                <w:sz w:val="20"/>
                <w:szCs w:val="20"/>
                <w:color w:val="auto"/>
              </w:rPr>
            </w:pPr>
            <w:r>
              <w:rPr>
                <w:rFonts w:ascii="Arial" w:cs="Arial" w:eastAsia="Arial" w:hAnsi="Arial"/>
                <w:sz w:val="13"/>
                <w:szCs w:val="13"/>
                <w:color w:val="auto"/>
              </w:rPr>
              <w:t>Chicago Title Insurance Co.</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Chicago Title Insurance Co. of Oregon</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tcPr>
          <w:p>
            <w:pPr>
              <w:spacing w:after="0"/>
              <w:rPr>
                <w:sz w:val="20"/>
                <w:szCs w:val="20"/>
                <w:color w:val="auto"/>
              </w:rPr>
            </w:pPr>
            <w:r>
              <w:rPr>
                <w:rFonts w:ascii="Arial" w:cs="Arial" w:eastAsia="Arial" w:hAnsi="Arial"/>
                <w:sz w:val="13"/>
                <w:szCs w:val="13"/>
                <w:color w:val="auto"/>
              </w:rPr>
              <w:t>Commonwealth Land Title Insurance Co.</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Fidelity National Title Insurance Co.</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tcPr>
          <w:p>
            <w:pPr>
              <w:spacing w:after="0"/>
              <w:rPr>
                <w:sz w:val="20"/>
                <w:szCs w:val="20"/>
                <w:color w:val="auto"/>
              </w:rPr>
            </w:pPr>
            <w:r>
              <w:rPr>
                <w:rFonts w:ascii="Arial" w:cs="Arial" w:eastAsia="Arial" w:hAnsi="Arial"/>
                <w:sz w:val="13"/>
                <w:szCs w:val="13"/>
                <w:color w:val="auto"/>
              </w:rPr>
              <w:t>Lawyers Title Insurance Corporation</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LandAmerica NJ Title Insurance Company</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tcPr>
          <w:p>
            <w:pPr>
              <w:spacing w:after="0"/>
              <w:rPr>
                <w:sz w:val="20"/>
                <w:szCs w:val="20"/>
                <w:color w:val="auto"/>
              </w:rPr>
            </w:pPr>
            <w:r>
              <w:rPr>
                <w:rFonts w:ascii="Arial" w:cs="Arial" w:eastAsia="Arial" w:hAnsi="Arial"/>
                <w:sz w:val="13"/>
                <w:szCs w:val="13"/>
                <w:color w:val="auto"/>
              </w:rPr>
              <w:t>Nations Title Insurance of New York, Inc.</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Security Union Title Insurance Co.</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tcPr>
          <w:p>
            <w:pPr>
              <w:spacing w:after="0"/>
              <w:rPr>
                <w:sz w:val="20"/>
                <w:szCs w:val="20"/>
                <w:color w:val="auto"/>
              </w:rPr>
            </w:pPr>
            <w:r>
              <w:rPr>
                <w:rFonts w:ascii="Arial" w:cs="Arial" w:eastAsia="Arial" w:hAnsi="Arial"/>
                <w:sz w:val="13"/>
                <w:szCs w:val="13"/>
                <w:color w:val="auto"/>
              </w:rPr>
              <w:t>Ticor Title Insurance Co.</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A’</w:t>
            </w:r>
          </w:p>
        </w:tc>
      </w:tr>
      <w:tr>
        <w:trPr>
          <w:trHeight w:val="157"/>
        </w:trPr>
        <w:tc>
          <w:tcPr>
            <w:tcW w:w="7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Ticor Title Insurance Co. of Florida</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w:t>
            </w:r>
          </w:p>
        </w:tc>
      </w:tr>
      <w:tr>
        <w:trPr>
          <w:trHeight w:val="165"/>
        </w:trPr>
        <w:tc>
          <w:tcPr>
            <w:tcW w:w="7360" w:type="dxa"/>
            <w:vAlign w:val="bottom"/>
            <w:gridSpan w:val="2"/>
          </w:tcPr>
          <w:p>
            <w:pPr>
              <w:spacing w:after="0"/>
              <w:rPr>
                <w:sz w:val="20"/>
                <w:szCs w:val="20"/>
                <w:color w:val="auto"/>
              </w:rPr>
            </w:pPr>
            <w:r>
              <w:rPr>
                <w:rFonts w:ascii="Arial" w:cs="Arial" w:eastAsia="Arial" w:hAnsi="Arial"/>
                <w:sz w:val="13"/>
                <w:szCs w:val="13"/>
                <w:color w:val="auto"/>
              </w:rPr>
              <w:t>United Capital Title Insurance Co.</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A</w:t>
            </w:r>
          </w:p>
        </w:tc>
      </w:tr>
    </w:tbl>
    <w:p>
      <w:pPr>
        <w:spacing w:after="0" w:line="72"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 xml:space="preserve">The ratings of S&amp;P, Moody’s, A.M. Best,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 If the rating agencies downgrade our Company, our results of operations and competitive position in the title insurance industry may suffer” for further information.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Investment Policies and Investment Portfolio</w:t>
      </w:r>
    </w:p>
    <w:p>
      <w:pPr>
        <w:spacing w:after="0" w:line="100" w:lineRule="exact"/>
        <w:rPr>
          <w:sz w:val="20"/>
          <w:szCs w:val="20"/>
          <w:color w:val="auto"/>
        </w:rPr>
      </w:pPr>
    </w:p>
    <w:p>
      <w:pPr>
        <w:ind w:left="680" w:right="920" w:firstLine="399"/>
        <w:spacing w:after="0" w:line="285" w:lineRule="auto"/>
        <w:rPr>
          <w:sz w:val="20"/>
          <w:szCs w:val="20"/>
          <w:color w:val="auto"/>
        </w:rPr>
      </w:pPr>
      <w:r>
        <w:rPr>
          <w:rFonts w:ascii="Arial" w:cs="Arial" w:eastAsia="Arial" w:hAnsi="Arial"/>
          <w:sz w:val="12"/>
          <w:szCs w:val="12"/>
          <w:color w:val="auto"/>
        </w:rPr>
        <w:t>Our investment policy is designed to maximize total return through investment income and capital appreciation consistent with moderate risk of principal, while providing adequate liquidity. The various states in which we operate regulate the types of assets that qualify for purposes of capital, surplus, and statutory unearned premium reserves. Our investment policy specifically limits duration and non-investment grade allocations in the core fixed-income portfolio. Maintaining shorter durations on the investment portfolio allows for the mitigation of interest rate risk. Equity securities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55"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As of December 31, 2009 and 2008, the carrying amount, which approximates the fair value, of total investments, excluding investments in unconsolidated affiliates, was $4.1 billion and $3.7 billion, respectively.</w:t>
      </w:r>
    </w:p>
    <w:p>
      <w:pPr>
        <w:spacing w:after="0" w:line="59" w:lineRule="exact"/>
        <w:rPr>
          <w:sz w:val="20"/>
          <w:szCs w:val="20"/>
          <w:color w:val="auto"/>
        </w:rPr>
      </w:pPr>
    </w:p>
    <w:p>
      <w:pPr>
        <w:ind w:left="680" w:right="880" w:firstLine="399"/>
        <w:spacing w:after="0" w:line="258" w:lineRule="auto"/>
        <w:rPr>
          <w:sz w:val="20"/>
          <w:szCs w:val="20"/>
          <w:color w:val="auto"/>
        </w:rPr>
      </w:pPr>
      <w:r>
        <w:rPr>
          <w:rFonts w:ascii="Arial" w:cs="Arial" w:eastAsia="Arial" w:hAnsi="Arial"/>
          <w:sz w:val="13"/>
          <w:szCs w:val="13"/>
          <w:color w:val="auto"/>
        </w:rPr>
        <w:t>We purchase investment grade fixed maturity securities, selected non-investment grade fixed maturity securities and equity securities. The securities in our portfolio are subject to economic conditions and normal market risks and uncertainties. Our fixed maturities include auction rate securities at December 31, 2009 with a par value of $69.7 million and fair value of $45.2 million and at December 31, 2008, a par value of $88.8 million and fair value of $32.0 million, which were included in the assets of the LFG Underwriters that we acquired on December 22, 2008. Our cost basis at December 31, 2009 was $26.4 million, which represents the fair value at the acquisition date. These auction rate securities make up approximately one percent of our total portfolio. Fair values for auction rate securities are provided by a third-party pricing service.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information regarding the investment ratings of our fixed maturity portfolio at December 31, 2009 and 2008.</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w w:val="95"/>
              </w:rPr>
              <w:t>December 31,</w:t>
            </w: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Rating(1)</w:t>
            </w:r>
          </w:p>
        </w:tc>
        <w:tc>
          <w:tcPr>
            <w:tcW w:w="960" w:type="dxa"/>
            <w:vAlign w:val="bottom"/>
            <w:gridSpan w:val="3"/>
          </w:tcPr>
          <w:p>
            <w:pPr>
              <w:ind w:left="60"/>
              <w:spacing w:after="0" w:line="91" w:lineRule="exact"/>
              <w:rPr>
                <w:sz w:val="20"/>
                <w:szCs w:val="20"/>
                <w:color w:val="auto"/>
              </w:rPr>
            </w:pPr>
            <w:r>
              <w:rPr>
                <w:rFonts w:ascii="Arial" w:cs="Arial" w:eastAsia="Arial" w:hAnsi="Arial"/>
                <w:sz w:val="10"/>
                <w:szCs w:val="10"/>
                <w:b w:val="1"/>
                <w:bCs w:val="1"/>
                <w:color w:val="auto"/>
              </w:rPr>
              <w:t>Amortized</w:t>
            </w:r>
          </w:p>
        </w:tc>
        <w:tc>
          <w:tcPr>
            <w:tcW w:w="800" w:type="dxa"/>
            <w:vAlign w:val="bottom"/>
            <w:gridSpan w:val="2"/>
          </w:tcPr>
          <w:p>
            <w:pPr>
              <w:jc w:val="right"/>
              <w:ind w:right="480"/>
              <w:spacing w:after="0" w:line="91" w:lineRule="exact"/>
              <w:rPr>
                <w:sz w:val="20"/>
                <w:szCs w:val="20"/>
                <w:color w:val="auto"/>
              </w:rPr>
            </w:pPr>
            <w:r>
              <w:rPr>
                <w:rFonts w:ascii="Arial" w:cs="Arial" w:eastAsia="Arial" w:hAnsi="Arial"/>
                <w:sz w:val="10"/>
                <w:szCs w:val="10"/>
                <w:b w:val="1"/>
                <w:bCs w:val="1"/>
                <w:color w:val="auto"/>
              </w:rPr>
              <w:t>% of</w:t>
            </w:r>
          </w:p>
        </w:tc>
        <w:tc>
          <w:tcPr>
            <w:tcW w:w="100" w:type="dxa"/>
            <w:vAlign w:val="bottom"/>
          </w:tcPr>
          <w:p>
            <w:pPr>
              <w:spacing w:after="0"/>
              <w:rPr>
                <w:sz w:val="7"/>
                <w:szCs w:val="7"/>
                <w:color w:val="auto"/>
              </w:rPr>
            </w:pPr>
          </w:p>
        </w:tc>
        <w:tc>
          <w:tcPr>
            <w:tcW w:w="860" w:type="dxa"/>
            <w:vAlign w:val="bottom"/>
            <w:gridSpan w:val="2"/>
          </w:tcPr>
          <w:p>
            <w:pPr>
              <w:jc w:val="center"/>
              <w:ind w:right="480"/>
              <w:spacing w:after="0" w:line="91" w:lineRule="exact"/>
              <w:rPr>
                <w:sz w:val="20"/>
                <w:szCs w:val="20"/>
                <w:color w:val="auto"/>
              </w:rPr>
            </w:pPr>
            <w:r>
              <w:rPr>
                <w:rFonts w:ascii="Arial" w:cs="Arial" w:eastAsia="Arial" w:hAnsi="Arial"/>
                <w:sz w:val="10"/>
                <w:szCs w:val="10"/>
                <w:b w:val="1"/>
                <w:bCs w:val="1"/>
                <w:color w:val="auto"/>
                <w:w w:val="97"/>
              </w:rPr>
              <w:t>Fair</w:t>
            </w:r>
          </w:p>
        </w:tc>
        <w:tc>
          <w:tcPr>
            <w:tcW w:w="3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 of</w:t>
            </w:r>
          </w:p>
        </w:tc>
        <w:tc>
          <w:tcPr>
            <w:tcW w:w="400" w:type="dxa"/>
            <w:vAlign w:val="bottom"/>
          </w:tcPr>
          <w:p>
            <w:pPr>
              <w:spacing w:after="0"/>
              <w:rPr>
                <w:sz w:val="7"/>
                <w:szCs w:val="7"/>
                <w:color w:val="auto"/>
              </w:rPr>
            </w:pPr>
          </w:p>
        </w:tc>
        <w:tc>
          <w:tcPr>
            <w:tcW w:w="980" w:type="dxa"/>
            <w:vAlign w:val="bottom"/>
            <w:gridSpan w:val="3"/>
          </w:tcPr>
          <w:p>
            <w:pPr>
              <w:jc w:val="right"/>
              <w:ind w:right="440"/>
              <w:spacing w:after="0" w:line="91" w:lineRule="exact"/>
              <w:rPr>
                <w:sz w:val="20"/>
                <w:szCs w:val="20"/>
                <w:color w:val="auto"/>
              </w:rPr>
            </w:pPr>
            <w:r>
              <w:rPr>
                <w:rFonts w:ascii="Arial" w:cs="Arial" w:eastAsia="Arial" w:hAnsi="Arial"/>
                <w:sz w:val="10"/>
                <w:szCs w:val="10"/>
                <w:b w:val="1"/>
                <w:bCs w:val="1"/>
                <w:color w:val="auto"/>
              </w:rPr>
              <w:t>Amortized</w:t>
            </w:r>
          </w:p>
        </w:tc>
        <w:tc>
          <w:tcPr>
            <w:tcW w:w="800" w:type="dxa"/>
            <w:vAlign w:val="bottom"/>
            <w:gridSpan w:val="2"/>
          </w:tcPr>
          <w:p>
            <w:pPr>
              <w:jc w:val="right"/>
              <w:ind w:right="480"/>
              <w:spacing w:after="0" w:line="91" w:lineRule="exact"/>
              <w:rPr>
                <w:sz w:val="20"/>
                <w:szCs w:val="20"/>
                <w:color w:val="auto"/>
              </w:rPr>
            </w:pPr>
            <w:r>
              <w:rPr>
                <w:rFonts w:ascii="Arial" w:cs="Arial" w:eastAsia="Arial" w:hAnsi="Arial"/>
                <w:sz w:val="10"/>
                <w:szCs w:val="10"/>
                <w:b w:val="1"/>
                <w:bCs w:val="1"/>
                <w:color w:val="auto"/>
              </w:rPr>
              <w:t>% of</w:t>
            </w:r>
          </w:p>
        </w:tc>
        <w:tc>
          <w:tcPr>
            <w:tcW w:w="120" w:type="dxa"/>
            <w:vAlign w:val="bottom"/>
          </w:tcPr>
          <w:p>
            <w:pPr>
              <w:spacing w:after="0"/>
              <w:rPr>
                <w:sz w:val="7"/>
                <w:szCs w:val="7"/>
                <w:color w:val="auto"/>
              </w:rPr>
            </w:pPr>
          </w:p>
        </w:tc>
        <w:tc>
          <w:tcPr>
            <w:tcW w:w="860" w:type="dxa"/>
            <w:vAlign w:val="bottom"/>
            <w:gridSpan w:val="2"/>
          </w:tcPr>
          <w:p>
            <w:pPr>
              <w:jc w:val="center"/>
              <w:ind w:right="500"/>
              <w:spacing w:after="0" w:line="91" w:lineRule="exact"/>
              <w:rPr>
                <w:sz w:val="20"/>
                <w:szCs w:val="20"/>
                <w:color w:val="auto"/>
              </w:rPr>
            </w:pPr>
            <w:r>
              <w:rPr>
                <w:rFonts w:ascii="Arial" w:cs="Arial" w:eastAsia="Arial" w:hAnsi="Arial"/>
                <w:sz w:val="10"/>
                <w:szCs w:val="10"/>
                <w:b w:val="1"/>
                <w:bCs w:val="1"/>
                <w:color w:val="auto"/>
              </w:rPr>
              <w:t>Fair</w:t>
            </w:r>
          </w:p>
        </w:tc>
        <w:tc>
          <w:tcPr>
            <w:tcW w:w="3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220" w:type="dxa"/>
            <w:vAlign w:val="bottom"/>
            <w:gridSpan w:val="2"/>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Cost</w:t>
            </w:r>
          </w:p>
        </w:tc>
        <w:tc>
          <w:tcPr>
            <w:tcW w:w="360" w:type="dxa"/>
            <w:vAlign w:val="bottom"/>
          </w:tcPr>
          <w:p>
            <w:pPr>
              <w:spacing w:after="0"/>
              <w:rPr>
                <w:sz w:val="10"/>
                <w:szCs w:val="10"/>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7"/>
              </w:rPr>
              <w:t>Value</w:t>
            </w:r>
          </w:p>
        </w:tc>
        <w:tc>
          <w:tcPr>
            <w:tcW w:w="380" w:type="dxa"/>
            <w:vAlign w:val="bottom"/>
          </w:tcPr>
          <w:p>
            <w:pPr>
              <w:spacing w:after="0"/>
              <w:rPr>
                <w:sz w:val="10"/>
                <w:szCs w:val="10"/>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w w:val="98"/>
              </w:rPr>
              <w:t>Cost</w:t>
            </w:r>
          </w:p>
        </w:tc>
        <w:tc>
          <w:tcPr>
            <w:tcW w:w="380" w:type="dxa"/>
            <w:vAlign w:val="bottom"/>
          </w:tcPr>
          <w:p>
            <w:pPr>
              <w:spacing w:after="0"/>
              <w:rPr>
                <w:sz w:val="10"/>
                <w:szCs w:val="10"/>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57"/>
              <w:spacing w:after="0"/>
              <w:rPr>
                <w:sz w:val="20"/>
                <w:szCs w:val="20"/>
                <w:color w:val="auto"/>
              </w:rPr>
            </w:pPr>
            <w:r>
              <w:rPr>
                <w:rFonts w:ascii="Arial" w:cs="Arial" w:eastAsia="Arial" w:hAnsi="Arial"/>
                <w:sz w:val="10"/>
                <w:szCs w:val="10"/>
                <w:b w:val="1"/>
                <w:bCs w:val="1"/>
                <w:color w:val="auto"/>
                <w:w w:val="97"/>
              </w:rPr>
              <w:t>Value</w:t>
            </w:r>
          </w:p>
        </w:tc>
        <w:tc>
          <w:tcPr>
            <w:tcW w:w="400" w:type="dxa"/>
            <w:vAlign w:val="bottom"/>
          </w:tcPr>
          <w:p>
            <w:pPr>
              <w:spacing w:after="0"/>
              <w:rPr>
                <w:sz w:val="10"/>
                <w:szCs w:val="10"/>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5"/>
          </w:tcPr>
          <w:p>
            <w:pPr>
              <w:jc w:val="right"/>
              <w:ind w:right="720"/>
              <w:spacing w:after="0"/>
              <w:rPr>
                <w:sz w:val="20"/>
                <w:szCs w:val="20"/>
                <w:color w:val="auto"/>
              </w:rPr>
            </w:pPr>
            <w:r>
              <w:rPr>
                <w:rFonts w:ascii="Arial" w:cs="Arial" w:eastAsia="Arial" w:hAnsi="Arial"/>
                <w:sz w:val="10"/>
                <w:szCs w:val="10"/>
                <w:b w:val="1"/>
                <w:bCs w:val="1"/>
                <w:color w:val="auto"/>
              </w:rPr>
              <w:t>(Dollars in millions)</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AAA/Aaa</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1,154.1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1,195.8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33.9%</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1,154.9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1,194.0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57"/>
        </w:trPr>
        <w:tc>
          <w:tcPr>
            <w:tcW w:w="3220" w:type="dxa"/>
            <w:vAlign w:val="bottom"/>
            <w:gridSpan w:val="2"/>
          </w:tcPr>
          <w:p>
            <w:pPr>
              <w:spacing w:after="0"/>
              <w:rPr>
                <w:sz w:val="20"/>
                <w:szCs w:val="20"/>
                <w:color w:val="auto"/>
              </w:rPr>
            </w:pPr>
            <w:r>
              <w:rPr>
                <w:rFonts w:ascii="Arial" w:cs="Arial" w:eastAsia="Arial" w:hAnsi="Arial"/>
                <w:sz w:val="13"/>
                <w:szCs w:val="13"/>
                <w:color w:val="auto"/>
              </w:rPr>
              <w:t>AA/Aa</w:t>
            </w:r>
          </w:p>
        </w:tc>
        <w:tc>
          <w:tcPr>
            <w:tcW w:w="14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868.1</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898.2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25.5</w:t>
            </w:r>
          </w:p>
        </w:tc>
        <w:tc>
          <w:tcPr>
            <w:tcW w:w="16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621.4</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627.7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57"/>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930.2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985.5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778.5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761.0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57"/>
        </w:trPr>
        <w:tc>
          <w:tcPr>
            <w:tcW w:w="3220" w:type="dxa"/>
            <w:vAlign w:val="bottom"/>
            <w:gridSpan w:val="2"/>
          </w:tcPr>
          <w:p>
            <w:pPr>
              <w:spacing w:after="0"/>
              <w:rPr>
                <w:sz w:val="20"/>
                <w:szCs w:val="20"/>
                <w:color w:val="auto"/>
              </w:rPr>
            </w:pPr>
            <w:r>
              <w:rPr>
                <w:rFonts w:ascii="Arial" w:cs="Arial" w:eastAsia="Arial" w:hAnsi="Arial"/>
                <w:sz w:val="13"/>
                <w:szCs w:val="13"/>
                <w:color w:val="auto"/>
              </w:rPr>
              <w:t>BBB/Baa</w:t>
            </w:r>
          </w:p>
        </w:tc>
        <w:tc>
          <w:tcPr>
            <w:tcW w:w="14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329.5</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341.8</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9.7</w:t>
            </w:r>
          </w:p>
        </w:tc>
        <w:tc>
          <w:tcPr>
            <w:tcW w:w="16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231.9</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223.3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7"/>
        </w:trPr>
        <w:tc>
          <w:tcPr>
            <w:tcW w:w="3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51.1</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3220" w:type="dxa"/>
            <w:vAlign w:val="bottom"/>
            <w:gridSpan w:val="2"/>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50.3</w:t>
            </w:r>
          </w:p>
        </w:tc>
        <w:tc>
          <w:tcPr>
            <w:tcW w:w="3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51.8</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42.4</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43.4</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3,354.6</w:t>
            </w:r>
          </w:p>
        </w:tc>
        <w:tc>
          <w:tcPr>
            <w:tcW w:w="3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3,524.2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2,834.2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2,853.8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-904240</wp:posOffset>
            </wp:positionV>
            <wp:extent cx="184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080" w:right="3500" w:hanging="339"/>
        <w:spacing w:after="0" w:line="428" w:lineRule="auto"/>
        <w:tabs>
          <w:tab w:leader="none" w:pos="986" w:val="left"/>
        </w:tabs>
        <w:numPr>
          <w:ilvl w:val="0"/>
          <w:numId w:val="14"/>
        </w:numPr>
        <w:rPr>
          <w:rFonts w:ascii="Arial" w:cs="Arial" w:eastAsia="Arial" w:hAnsi="Arial"/>
          <w:sz w:val="12"/>
          <w:szCs w:val="12"/>
          <w:color w:val="auto"/>
        </w:rPr>
      </w:pPr>
      <w:r>
        <w:rPr>
          <w:rFonts w:ascii="Arial" w:cs="Arial" w:eastAsia="Arial" w:hAnsi="Arial"/>
          <w:sz w:val="12"/>
          <w:szCs w:val="12"/>
          <w:color w:val="auto"/>
        </w:rPr>
        <w:t>Ratings as assigned by Standard &amp; Poor’s Ratings Group or Moody’s Investors Services if a Standard &amp; Poor’s rating is unavailable. The following table presents certain information regarding contractual maturities of our fixed maturity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2009</w:t>
            </w: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80" w:type="dxa"/>
            <w:vAlign w:val="bottom"/>
          </w:tcPr>
          <w:p>
            <w:pPr>
              <w:spacing w:after="0"/>
              <w:rPr>
                <w:sz w:val="7"/>
                <w:szCs w:val="7"/>
                <w:color w:val="auto"/>
              </w:rPr>
            </w:pPr>
          </w:p>
        </w:tc>
        <w:tc>
          <w:tcPr>
            <w:tcW w:w="35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Maturity</w:t>
            </w:r>
          </w:p>
        </w:tc>
        <w:tc>
          <w:tcPr>
            <w:tcW w:w="2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480"/>
              <w:spacing w:after="0" w:line="91" w:lineRule="exact"/>
              <w:rPr>
                <w:sz w:val="20"/>
                <w:szCs w:val="20"/>
                <w:color w:val="auto"/>
              </w:rPr>
            </w:pPr>
            <w:r>
              <w:rPr>
                <w:rFonts w:ascii="Arial" w:cs="Arial" w:eastAsia="Arial" w:hAnsi="Arial"/>
                <w:sz w:val="10"/>
                <w:szCs w:val="10"/>
                <w:b w:val="1"/>
                <w:bCs w:val="1"/>
                <w:color w:val="auto"/>
                <w:w w:val="93"/>
              </w:rPr>
              <w:t>Amortized</w:t>
            </w:r>
          </w:p>
        </w:tc>
        <w:tc>
          <w:tcPr>
            <w:tcW w:w="820" w:type="dxa"/>
            <w:vAlign w:val="bottom"/>
            <w:gridSpan w:val="2"/>
          </w:tcPr>
          <w:p>
            <w:pPr>
              <w:jc w:val="right"/>
              <w:ind w:right="500"/>
              <w:spacing w:after="0" w:line="91" w:lineRule="exact"/>
              <w:rPr>
                <w:sz w:val="20"/>
                <w:szCs w:val="20"/>
                <w:color w:val="auto"/>
              </w:rPr>
            </w:pPr>
            <w:r>
              <w:rPr>
                <w:rFonts w:ascii="Arial" w:cs="Arial" w:eastAsia="Arial" w:hAnsi="Arial"/>
                <w:sz w:val="10"/>
                <w:szCs w:val="10"/>
                <w:b w:val="1"/>
                <w:bCs w:val="1"/>
                <w:color w:val="auto"/>
              </w:rPr>
              <w:t>% of</w:t>
            </w:r>
          </w:p>
        </w:tc>
        <w:tc>
          <w:tcPr>
            <w:tcW w:w="200" w:type="dxa"/>
            <w:vAlign w:val="bottom"/>
          </w:tcPr>
          <w:p>
            <w:pPr>
              <w:spacing w:after="0"/>
              <w:rPr>
                <w:sz w:val="7"/>
                <w:szCs w:val="7"/>
                <w:color w:val="auto"/>
              </w:rPr>
            </w:pPr>
          </w:p>
        </w:tc>
        <w:tc>
          <w:tcPr>
            <w:tcW w:w="880" w:type="dxa"/>
            <w:vAlign w:val="bottom"/>
            <w:gridSpan w:val="2"/>
          </w:tcPr>
          <w:p>
            <w:pPr>
              <w:jc w:val="right"/>
              <w:ind w:right="640"/>
              <w:spacing w:after="0" w:line="91" w:lineRule="exact"/>
              <w:rPr>
                <w:sz w:val="20"/>
                <w:szCs w:val="20"/>
                <w:color w:val="auto"/>
              </w:rPr>
            </w:pPr>
            <w:r>
              <w:rPr>
                <w:rFonts w:ascii="Arial" w:cs="Arial" w:eastAsia="Arial" w:hAnsi="Arial"/>
                <w:sz w:val="10"/>
                <w:szCs w:val="10"/>
                <w:b w:val="1"/>
                <w:bCs w:val="1"/>
                <w:color w:val="auto"/>
              </w:rPr>
              <w:t>Fair</w:t>
            </w:r>
          </w:p>
        </w:tc>
        <w:tc>
          <w:tcPr>
            <w:tcW w:w="3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 of</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40" w:type="dxa"/>
            <w:vAlign w:val="bottom"/>
            <w:gridSpan w:val="2"/>
            <w:vMerge w:val="continue"/>
          </w:tcPr>
          <w:p>
            <w:pPr>
              <w:spacing w:after="0"/>
              <w:rPr>
                <w:sz w:val="10"/>
                <w:szCs w:val="10"/>
                <w:color w:val="auto"/>
              </w:rPr>
            </w:pPr>
          </w:p>
        </w:tc>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8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10"/>
                <w:szCs w:val="10"/>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89"/>
              </w:rPr>
              <w:t>Value</w:t>
            </w:r>
          </w:p>
        </w:tc>
        <w:tc>
          <w:tcPr>
            <w:tcW w:w="50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gridSpan w:val="5"/>
          </w:tcPr>
          <w:p>
            <w:pPr>
              <w:jc w:val="right"/>
              <w:ind w:right="840"/>
              <w:spacing w:after="0"/>
              <w:rPr>
                <w:sz w:val="20"/>
                <w:szCs w:val="20"/>
                <w:color w:val="auto"/>
              </w:rPr>
            </w:pPr>
            <w:r>
              <w:rPr>
                <w:rFonts w:ascii="Arial" w:cs="Arial" w:eastAsia="Arial" w:hAnsi="Arial"/>
                <w:sz w:val="10"/>
                <w:szCs w:val="10"/>
                <w:b w:val="1"/>
                <w:bCs w:val="1"/>
                <w:color w:val="auto"/>
              </w:rPr>
              <w:t>(Dollars in millions)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One year or less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250.9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gridSpan w:val="2"/>
          </w:tcPr>
          <w:p>
            <w:pPr>
              <w:spacing w:after="0"/>
              <w:rPr>
                <w:sz w:val="20"/>
                <w:szCs w:val="20"/>
                <w:color w:val="auto"/>
              </w:rPr>
            </w:pPr>
            <w:r>
              <w:rPr>
                <w:rFonts w:ascii="Arial" w:cs="Arial" w:eastAsia="Arial" w:hAnsi="Arial"/>
                <w:sz w:val="13"/>
                <w:szCs w:val="13"/>
                <w:color w:val="auto"/>
              </w:rPr>
              <w:t>After one year through five years</w:t>
            </w: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1,645.4</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49.0</w:t>
            </w: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1,739.2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After five years through ten years</w:t>
            </w:r>
          </w:p>
        </w:tc>
        <w:tc>
          <w:tcPr>
            <w:tcW w:w="2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942.6</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28.1</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974.1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gridSpan w:val="2"/>
          </w:tcPr>
          <w:p>
            <w:pPr>
              <w:spacing w:after="0"/>
              <w:rPr>
                <w:sz w:val="20"/>
                <w:szCs w:val="20"/>
                <w:color w:val="auto"/>
              </w:rPr>
            </w:pPr>
            <w:r>
              <w:rPr>
                <w:rFonts w:ascii="Arial" w:cs="Arial" w:eastAsia="Arial" w:hAnsi="Arial"/>
                <w:sz w:val="13"/>
                <w:szCs w:val="13"/>
                <w:color w:val="auto"/>
              </w:rPr>
              <w:t>After ten years</w:t>
            </w: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217.2</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6.5</w:t>
            </w:r>
          </w:p>
        </w:tc>
        <w:tc>
          <w:tcPr>
            <w:tcW w:w="2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244.3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Mortgage-backed/asset-backed securities</w:t>
            </w:r>
          </w:p>
        </w:tc>
        <w:tc>
          <w:tcPr>
            <w:tcW w:w="2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298.5</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3,354.</w:t>
            </w:r>
            <w:r>
              <w:rPr>
                <w:rFonts w:ascii="Arial" w:cs="Arial" w:eastAsia="Arial" w:hAnsi="Arial"/>
                <w:sz w:val="13"/>
                <w:szCs w:val="13"/>
                <w:u w:val="single" w:color="auto"/>
                <w:color w:val="auto"/>
              </w:rPr>
              <w:t>6</w:t>
            </w:r>
          </w:p>
        </w:tc>
        <w:tc>
          <w:tcPr>
            <w:tcW w:w="3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100.0%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3,524.2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60" w:type="dxa"/>
            <w:vAlign w:val="bottom"/>
          </w:tcPr>
          <w:p>
            <w:pPr>
              <w:jc w:val="right"/>
              <w:ind w:right="1374"/>
              <w:spacing w:after="0"/>
              <w:rPr>
                <w:sz w:val="20"/>
                <w:szCs w:val="20"/>
                <w:color w:val="auto"/>
              </w:rPr>
            </w:pPr>
            <w:r>
              <w:rPr>
                <w:rFonts w:ascii="Arial" w:cs="Arial" w:eastAsia="Arial" w:hAnsi="Arial"/>
                <w:sz w:val="13"/>
                <w:szCs w:val="13"/>
                <w:color w:val="auto"/>
              </w:rPr>
              <w:t>15</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The majority of our mortgage-backed and asset-backed securities were acquired as a result of the acquisition of the LFG Underwriters on December 22, 2008. At December 31, 2009 all of our mortgage-backed and asset-backed securities are rated AAA. The mortgage-backed and asset-backed securities are made up of $177.9 million of agency mortgage-backed securities, $79.6 million of collateralized mortgage obligations, $15.2 million of commercial mortgage-backed securities, and $39.8 million in asset-backed securities.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 Fixed maturity securities with an amortized cost of $575.6 million and a fair value of $593.8 million were callable at December 31,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equity securities at December 31, 2009 and 2008 consisted of investments at a cost basis of $64.6 million and $79.8 million, respectively, and fair value of $92.5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$71.5 million, respectively. The balance of equity securities at December 31, 2009 is primarily composed of an investment in FIS stock of $50.0 million, which we purchased on October 1,</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2009, pursuant to an investment agreement between us and FIS dated March 31, 2009 in connection with a merger between FIS and Metavante Technologies, Inc. We are required to hold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this investment for a period of at least 6 months from the date of purchase in accordance with Securities and Exchange Commission Rule 144. The fair value of the FIS stock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$75.4 million as of December 31, 2009. There were no significant investments in banks, trust or insurance companies at December 31, 2009 or 2008.</w:t>
      </w:r>
    </w:p>
    <w:p>
      <w:pPr>
        <w:spacing w:after="0" w:line="8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At December 31, 2009 and 2008, we also held $617.1 million and $644.5 million, respectively, in investments that are accounted for using the equity method of accounting, principally our ownership interests in Sedgwick, Ceridian, and Remy (see note D of Notes to Consolidated Financial Statements).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Other long-term investments consist primarily of fixed-maturity structured notes as well as investments accounted for using the cost method of accounting. As of December 31, 2009, other long-term investments included structured notes at a cost basis of $75 million and a fair value of $78.7 million at December 31, 2009, which we purchased in the third quarter of 2009. Also included in other long-term investments were investments accounted for using the cost method of accounting of $24.8 million and $18.3 million, as of December 31, 2009 and 2008, respectively.</w:t>
      </w:r>
    </w:p>
    <w:p>
      <w:pPr>
        <w:spacing w:after="0" w:line="7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Short-term investments, which consist primarily of securities purchased under agreements to resell, commercial paper and money market instruments which have an original maturity of one year or less, are carried at amortized cost, which approximates fair value. As of December 31, 2009 and 2008, short-term investments amounted to $348.1 million and $788.4 million, respectively.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investment results for the years ended December 31, 2009, 2008 and 2007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98"/>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center"/>
              <w:ind w:right="218"/>
              <w:spacing w:after="0" w:line="98" w:lineRule="exact"/>
              <w:rPr>
                <w:sz w:val="20"/>
                <w:szCs w:val="20"/>
                <w:color w:val="auto"/>
              </w:rPr>
            </w:pPr>
            <w:r>
              <w:rPr>
                <w:rFonts w:ascii="Arial" w:cs="Arial" w:eastAsia="Arial" w:hAnsi="Arial"/>
                <w:sz w:val="10"/>
                <w:szCs w:val="10"/>
                <w:b w:val="1"/>
                <w:bCs w:val="1"/>
                <w:color w:val="auto"/>
                <w:w w:val="89"/>
              </w:rPr>
              <w:t>2008</w:t>
            </w: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98"/>
              <w:spacing w:after="0" w:line="98" w:lineRule="exact"/>
              <w:rPr>
                <w:sz w:val="20"/>
                <w:szCs w:val="20"/>
                <w:color w:val="auto"/>
              </w:rPr>
            </w:pPr>
            <w:r>
              <w:rPr>
                <w:rFonts w:ascii="Arial" w:cs="Arial" w:eastAsia="Arial" w:hAnsi="Arial"/>
                <w:sz w:val="10"/>
                <w:szCs w:val="10"/>
                <w:b w:val="1"/>
                <w:bCs w:val="1"/>
                <w:color w:val="auto"/>
              </w:rPr>
              <w:t>2007</w:t>
            </w:r>
          </w:p>
        </w:tc>
      </w:tr>
      <w:tr>
        <w:trPr>
          <w:trHeight w:val="131"/>
        </w:trPr>
        <w:tc>
          <w:tcPr>
            <w:tcW w:w="13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(Dollars in millions)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3"/>
        </w:trPr>
        <w:tc>
          <w:tcPr>
            <w:tcW w:w="6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investment income(1)</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188.1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153.8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219.8</w:t>
            </w:r>
          </w:p>
        </w:tc>
      </w:tr>
      <w:tr>
        <w:trPr>
          <w:trHeight w:val="157"/>
        </w:trPr>
        <w:tc>
          <w:tcPr>
            <w:tcW w:w="6580" w:type="dxa"/>
            <w:vAlign w:val="bottom"/>
            <w:gridSpan w:val="2"/>
          </w:tcPr>
          <w:p>
            <w:pPr>
              <w:spacing w:after="0"/>
              <w:rPr>
                <w:sz w:val="20"/>
                <w:szCs w:val="20"/>
                <w:color w:val="auto"/>
              </w:rPr>
            </w:pPr>
            <w:r>
              <w:rPr>
                <w:rFonts w:ascii="Arial" w:cs="Arial" w:eastAsia="Arial" w:hAnsi="Arial"/>
                <w:sz w:val="13"/>
                <w:szCs w:val="13"/>
                <w:color w:val="auto"/>
              </w:rPr>
              <w:t>Average invested assets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8"/>
              <w:spacing w:after="0"/>
              <w:rPr>
                <w:sz w:val="20"/>
                <w:szCs w:val="20"/>
                <w:color w:val="auto"/>
              </w:rPr>
            </w:pPr>
            <w:r>
              <w:rPr>
                <w:rFonts w:ascii="Arial" w:cs="Arial" w:eastAsia="Arial" w:hAnsi="Arial"/>
                <w:sz w:val="13"/>
                <w:szCs w:val="13"/>
                <w:color w:val="auto"/>
                <w:w w:val="87"/>
              </w:rPr>
              <w:t>4,288.8</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8"/>
              <w:spacing w:after="0"/>
              <w:rPr>
                <w:sz w:val="20"/>
                <w:szCs w:val="20"/>
                <w:color w:val="auto"/>
              </w:rPr>
            </w:pPr>
            <w:r>
              <w:rPr>
                <w:rFonts w:ascii="Arial" w:cs="Arial" w:eastAsia="Arial" w:hAnsi="Arial"/>
                <w:sz w:val="13"/>
                <w:szCs w:val="13"/>
                <w:color w:val="auto"/>
                <w:w w:val="87"/>
              </w:rPr>
              <w:t>3,545.5</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8"/>
              <w:spacing w:after="0"/>
              <w:rPr>
                <w:sz w:val="20"/>
                <w:szCs w:val="20"/>
                <w:color w:val="auto"/>
              </w:rPr>
            </w:pPr>
            <w:r>
              <w:rPr>
                <w:rFonts w:ascii="Arial" w:cs="Arial" w:eastAsia="Arial" w:hAnsi="Arial"/>
                <w:sz w:val="13"/>
                <w:szCs w:val="13"/>
                <w:color w:val="auto"/>
                <w:w w:val="87"/>
              </w:rPr>
              <w:t>4,415.0</w:t>
            </w:r>
          </w:p>
        </w:tc>
      </w:tr>
      <w:tr>
        <w:trPr>
          <w:trHeight w:val="157"/>
        </w:trPr>
        <w:tc>
          <w:tcPr>
            <w:tcW w:w="6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Effective return on average invested assets</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4.4%</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4.3%</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5.0%</w:t>
            </w:r>
          </w:p>
        </w:tc>
      </w:tr>
      <w:tr>
        <w:trPr>
          <w:trHeight w:val="98"/>
        </w:trPr>
        <w:tc>
          <w:tcPr>
            <w:tcW w:w="130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40" w:lineRule="exact"/>
        <w:rPr>
          <w:sz w:val="20"/>
          <w:szCs w:val="20"/>
          <w:color w:val="auto"/>
        </w:rPr>
      </w:pPr>
    </w:p>
    <w:p>
      <w:pPr>
        <w:ind w:left="1000" w:right="520" w:hanging="259"/>
        <w:spacing w:after="0" w:line="276"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Net investment income as reported in our Consolidated Statements of Operations has been adjusted in the presentation above to provide the tax equivalent yield on tax exempt investments.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Loss Reserves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For information about our loss reserves, see Item 7.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 Critical Accounting Policies.</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As of January 31, 2010, we had approximately 17,200 full-time equivalent employees. From 2006 to 2008, we actively sought to reduce our head count as activity in our Fidelity National Title Group segment declined. As the economic environment and order counts began to stabilize in 2009, we curtailed efforts to reduce staffing levels in our legacy title operations, but aggressively reduced staff in the acquired LFG Underwriters to meet our intended profitability standards. We continue to monitor our staffing levels based on current economic activity. We believe that our relations with employees are generally good. None of our employees are subject to collective bargaining agreements.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Statement Regarding Forward-Looking Information</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statements contained in this Form 10-K or in our other documents or in oral presentations or other statements made by our management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Fidelity.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w:t>
      </w:r>
    </w:p>
    <w:p>
      <w:pPr>
        <w:spacing w:after="0" w:line="72"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general economic, business, and political conditions, including changes in the financial markets;</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continued weakness or adverse changes in the level of real estate activity, which may be caused by, among other things, high or increasing interest rates, a limited supply of mortgage funding, or a weak U.S. economy;</w:t>
      </w:r>
    </w:p>
    <w:p>
      <w:pPr>
        <w:spacing w:after="0" w:line="49"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dependence on distributions from our title insurance underwriters as our main source of cash flow;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competition that our operating subsidiaries face;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compliance with extensive government regulation of our operating subsidiaries and adverse changes in applicable laws or regulations or in their application by regulators;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regulatory investigations of the title insurance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business concentration in the State of California, the source of approximately 17.6% of our title insurance premiums;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risks detailed elsewhere in this document and in our other filings with the SEC.</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Information</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6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adverse changes in the levels of real estate activity occur, our revenues may decline.</w:t>
      </w:r>
    </w:p>
    <w:p>
      <w:pPr>
        <w:spacing w:after="0" w:line="5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experienced declines in many parts of the country over the past 3 years, and these trends appear likely to continue. The volume of refinancing transactions in particular and mortgage originations in general declined over the past four years from 2005 and prior levels, resulting in a reduction of revenues in our businesses.</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found that residential real estate activity generally decreases in the following situations:</w:t>
      </w:r>
    </w:p>
    <w:p>
      <w:pPr>
        <w:spacing w:after="0" w:line="57"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when mortgage interest rates are high or increasing;</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when the mortgage funding supply is limited;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when the United States economy is weak.</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Declines in the level of real estate activity or the average price of real estate sales are likely to adversely affect our title insurance revenues. In 2009, the continued mortgage delinquency and default rates caused negative operating results at a number of banks and financial institutions and, as a result, continue to suppress the level of lending activity. The MBA’s Mortgage Finance Forecast currently estimates an approximately $1.3 trillion mortgage origination market for 2010, which would be a decrease of 39.5% from 2009. The MBA forecasts that the 39.5% decrease will result almost entirely from decreased refinance activity. Our revenues in future periods will continue to be subject to these and other factors which are beyond our control and, as a result, are likely to fluctuate.</w:t>
      </w:r>
    </w:p>
    <w:p>
      <w:pPr>
        <w:spacing w:after="0" w:line="111"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We have recorded goodwill as a result of prior acquisitions, and a continued economic downturn could cause these balances to become impaired, requiring write-downs that would reduce our operating income.</w:t>
      </w:r>
    </w:p>
    <w:p>
      <w:pPr>
        <w:spacing w:after="0" w:line="59"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Goodwill aggregated approximately $1,455.2 million, or 18.3% of our total assets, as of December 31, 2009.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2009. However, if there is a continued economic downturn,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a continued economic downturn on our business to determine if there is an impairment of goodwill in future periods.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economic and credit market conditions further deteriorate, it could have a material adverse impact on our investment portfolio.</w:t>
      </w:r>
    </w:p>
    <w:p>
      <w:pPr>
        <w:spacing w:after="0" w:line="57" w:lineRule="exact"/>
        <w:rPr>
          <w:sz w:val="20"/>
          <w:szCs w:val="20"/>
          <w:color w:val="auto"/>
        </w:rPr>
      </w:pPr>
    </w:p>
    <w:p>
      <w:pPr>
        <w:ind w:left="680" w:right="300" w:firstLine="399"/>
        <w:spacing w:after="0" w:line="296" w:lineRule="auto"/>
        <w:rPr>
          <w:sz w:val="20"/>
          <w:szCs w:val="20"/>
          <w:color w:val="auto"/>
        </w:rPr>
      </w:pPr>
      <w:r>
        <w:rPr>
          <w:rFonts w:ascii="Arial" w:cs="Arial" w:eastAsia="Arial" w:hAnsi="Arial"/>
          <w:sz w:val="12"/>
          <w:szCs w:val="12"/>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fixed-income securities and money market instruments denominated in U.S. dollars. We also make investments in certain equity securities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92"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2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makes us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32" w:lineRule="exact"/>
        <w:rPr>
          <w:sz w:val="20"/>
          <w:szCs w:val="20"/>
          <w:color w:val="auto"/>
        </w:rPr>
      </w:pPr>
    </w:p>
    <w:p>
      <w:pPr>
        <w:ind w:left="680" w:right="80" w:firstLine="399"/>
        <w:spacing w:after="0" w:line="308" w:lineRule="auto"/>
        <w:rPr>
          <w:sz w:val="20"/>
          <w:szCs w:val="20"/>
          <w:color w:val="auto"/>
        </w:rPr>
      </w:pPr>
      <w:r>
        <w:rPr>
          <w:rFonts w:ascii="Arial" w:cs="Arial" w:eastAsia="Arial" w:hAnsi="Arial"/>
          <w:sz w:val="11"/>
          <w:szCs w:val="11"/>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actuarial point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point estimate, but not at the point estimate, management assesses other factors in order to determine our best estimate. These factors, which are more qualitative than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point estimate, we would record a charge or credit and reassess the provision rate on a go forward basis.</w:t>
      </w:r>
    </w:p>
    <w:p>
      <w:pPr>
        <w:spacing w:after="0" w:line="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a result of favorable claim loss development on prior policy years, we recorded a credit in 2009 of $74.4 million ($47.1 million net of income taxes) to our provision for claim losses. As a result of adverse claim loss development on prior policy years, we recorded charges in 2008 totaling $261.6 million ($157.0 million net of income taxes), in our provision for claim losses. These amounts were recorded in addition to our average provision for claim losses of 7.25% and 8.5%, in 2009 and 2008, respectively, of title premiums. We will reassess the provision to be recorded in future periods consistent with this methodology and can make no assurance that we will not need to record additional charges in the future to increase reserves in respect of prior periods.</w:t>
      </w:r>
    </w:p>
    <w:p>
      <w:pPr>
        <w:spacing w:after="0" w:line="111"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20"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20"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licensing requirements;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trade and marketing practices;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accounting and financing practices;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capital and surplus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amount of dividends and other payments made by insurance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investment practices;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rate schedules;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deposits of securities for the benefit of policyholders;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establishing reserves;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regulation of reinsurance.</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at least one state legislature (New York) has recently proposed taking over the title industry in that state and making it a state-run agency, as a means to increase state government revenues. Although we think any such takeover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3"/>
          <w:szCs w:val="13"/>
          <w:i w:val="1"/>
          <w:iCs w:val="1"/>
          <w:color w:val="auto"/>
        </w:rPr>
        <w:t>Business</w:t>
      </w:r>
      <w:r>
        <w:rPr>
          <w:rFonts w:ascii="Arial" w:cs="Arial" w:eastAsia="Arial" w:hAnsi="Arial"/>
          <w:sz w:val="13"/>
          <w:szCs w:val="13"/>
          <w:color w:val="auto"/>
        </w:rPr>
        <w:t xml:space="preserve"> — Regulation.”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State regulation of the rates we charge for title insurance could adversely affect our results of operations.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title insurance subsidiaries are subject to extensive rate regulation by the applicable state agencies in the jurisdictions in which they operate. Title insurance rates are regulated differently in the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 See also the risk factor below relating to regulatory conditions in California.</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Regulatory investigations of the insurance industry may lead to fines, settlements, new regulation or legal uncertainty, which could negatively affect our results of operations.</w:t>
      </w:r>
    </w:p>
    <w:p>
      <w:pPr>
        <w:spacing w:after="0" w:line="11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These fines may be significant and actions we are required to take may adversely affect our business.</w:t>
      </w:r>
    </w:p>
    <w:p>
      <w:pPr>
        <w:spacing w:after="0" w:line="148" w:lineRule="exact"/>
        <w:rPr>
          <w:sz w:val="20"/>
          <w:szCs w:val="20"/>
          <w:color w:val="auto"/>
        </w:rPr>
      </w:pPr>
    </w:p>
    <w:p>
      <w:pPr>
        <w:ind w:left="880" w:right="340"/>
        <w:spacing w:after="0" w:line="276" w:lineRule="auto"/>
        <w:rPr>
          <w:sz w:val="20"/>
          <w:szCs w:val="20"/>
          <w:color w:val="auto"/>
        </w:rPr>
      </w:pPr>
      <w:r>
        <w:rPr>
          <w:rFonts w:ascii="Arial" w:cs="Arial" w:eastAsia="Arial" w:hAnsi="Arial"/>
          <w:sz w:val="13"/>
          <w:szCs w:val="13"/>
          <w:b w:val="1"/>
          <w:bCs w:val="1"/>
          <w:i w:val="1"/>
          <w:iCs w:val="1"/>
          <w:color w:val="auto"/>
        </w:rPr>
        <w:t>Because we are dependent upon California for approximately 17.6 percent of our title insurance premiums, our business may be adversely affected by regulatory conditions in California.</w:t>
      </w:r>
    </w:p>
    <w:p>
      <w:pPr>
        <w:spacing w:after="0" w:line="5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California is the largest source of revenue for the title insurance industry and, in 2009, California-based premiums accounted for 25% of premiums earned by our direct operations and 6% of our agency premium revenues. In the aggregate, California accounted for approximately 17.6% of our total title insurance premiums for 2009.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rating agencies downgrade our Company, our results of operations and competitive position in the title insurance industry may suffer.</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Ratings have always been an important factor in establishing the competitive position of insurance companies. Our title insurance subsidiaries are rated by S&amp;P, Moody’s, A.M. Best,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53" w:lineRule="exact"/>
        <w:rPr>
          <w:sz w:val="20"/>
          <w:szCs w:val="20"/>
          <w:color w:val="auto"/>
        </w:rPr>
      </w:pPr>
    </w:p>
    <w:p>
      <w:pPr>
        <w:ind w:left="880" w:right="420"/>
        <w:spacing w:after="0" w:line="264" w:lineRule="auto"/>
        <w:rPr>
          <w:sz w:val="20"/>
          <w:szCs w:val="20"/>
          <w:color w:val="auto"/>
        </w:rPr>
      </w:pPr>
      <w:r>
        <w:rPr>
          <w:rFonts w:ascii="Arial" w:cs="Arial" w:eastAsia="Arial" w:hAnsi="Arial"/>
          <w:sz w:val="13"/>
          <w:szCs w:val="13"/>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management has stated that we may make acquisitions in lines of business that are not directly tied to or synergistic with our core operating segments. Accordingly, we have in the past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a holding company and depend on distributions from our subsidiaries for cash.</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title insurance and specialty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2010, our title insurers will be able to pay dividends or make distributions to us without prior regulatory approval of approximately $289.4 million.</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specialty insurance segment is a smaller operation; and as a result, it is unlikely to be a significant source of dividends to us in 2010.</w:t>
      </w:r>
    </w:p>
    <w:p>
      <w:pPr>
        <w:spacing w:after="0" w:line="175" w:lineRule="exact"/>
        <w:rPr>
          <w:sz w:val="20"/>
          <w:szCs w:val="20"/>
          <w:color w:val="auto"/>
        </w:rPr>
      </w:pPr>
    </w:p>
    <w:p>
      <w:pPr>
        <w:jc w:val="center"/>
        <w:ind w:right="-739"/>
        <w:spacing w:after="0"/>
        <w:rPr>
          <w:sz w:val="20"/>
          <w:szCs w:val="20"/>
          <w:color w:val="auto"/>
        </w:rPr>
      </w:pPr>
      <w:r>
        <w:rPr>
          <w:rFonts w:ascii="Arial" w:cs="Arial" w:eastAsia="Arial" w:hAnsi="Arial"/>
          <w:sz w:val="11"/>
          <w:szCs w:val="11"/>
          <w:b w:val="1"/>
          <w:bCs w:val="1"/>
          <w:i w:val="1"/>
          <w:iCs w:val="1"/>
          <w:color w:val="auto"/>
        </w:rPr>
        <w:t>We could have conflicts with FIS, and our chairman of our Board of Directors and other officers and directors could have conflicts of interest due to their relationships with FIS.</w:t>
      </w:r>
    </w:p>
    <w:p>
      <w:pPr>
        <w:spacing w:after="0" w:line="11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FIS and FNF were under common ownership by another publicly traded company, also called Fidelity National Financial, Inc. (“Old FNF”) until October 2006, when Old FNF distributed all of its FNF shares to the stockholders of Old FNF. In November 2006, Old FNF then merged into FIS.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Conflicts may arise between us and FIS as a result of our ongoing agreements and the nature of our respective businesses. We are party to a number of agreements with FIS, and we may enter into further agreements with FIS. Certain of our executive officers and directors could be subject to conflicts of interest with respect to such agreements and other matters due to their relationships with FIS.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Some of our executive officers and directors own substantial amounts of FIS stock and stock options. Such ownership could create or appear to create potential conflicts of interest when our directors and officers are faced with decisions that involve FIS or any of its subsidiaries.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William P. Foley, II, is the chairman of our Board of Directors and the executive Chairman of the Board of FIS. As a result of these roles, he has obligations to us and FIS and may have conflicts of interest with respect to matters potentially or actually involving or affecting our and FIS’s respective businesses. In addition, Mr. Foley may also have conflicts of time with respect to his multiple responsibilities. If his duties to either of these companies require more time than Mr. Foley is able to allot, then his oversight of that company’s activities could be diminished. Finally, FIS and FNF have overlapping directors and officers.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Matters that could give rise to conflicts between us and FIS include, among other things:</w:t>
      </w:r>
    </w:p>
    <w:p>
      <w:pPr>
        <w:spacing w:after="0" w:line="96" w:lineRule="exact"/>
        <w:rPr>
          <w:sz w:val="20"/>
          <w:szCs w:val="20"/>
          <w:color w:val="auto"/>
        </w:rPr>
      </w:pPr>
    </w:p>
    <w:p>
      <w:pPr>
        <w:ind w:left="1280" w:right="6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ongoing and future relationships with FIS, including related party agreements and other arrangements with respect to the information technology support services, administrative corporate support and cost sharing services, indemnification, and other matters;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quality and pricing of services that we have agreed to provide to FIS or that it has agreed to provide to us.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seek to manage these potential conflicts through dispute resolution and other provisions of our agreements with FIS and through oversight by independent members of our Board of Directors. However, there can be no assurance that such measures will be effective or that we will be able to resolve all potential conflicts with FIS, or that the resolution of any such conflicts will be no less favorable to us than if we were dealing with a third party.</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the first quarter of 2010, we received a comment from the SEC on our periodic disclosure filings requesting information as to our determination that realization of an insurance recoverable balance that was written off at September 30, 2009 was recoverable as of the end of prior periods. The amount written off during the quarter ended September 30, 2009 was $63.2 million. We are in the process of responding to the SEC’s comment.</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our corporate headquarters on our campus in Jacksonville, Florida, which we lease from our former affiliate, Lender Processing Services (“LPS”). The majority of our branch offices are leased from third parties (see note L to Notes to Consolidated Financial Statements). Our subsidiaries conduct their business operations primarily in leased office space in 43 states, Washington, DC, Puerto Rico, Canada, and Mexico.</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ordinary course of business, we are involved in various pending and threatened litigation matters related to our operations, some of which include claims for punitive or exemplary damages. This customary litigation includes but is not limited to a wide variety of cases arising out of or related to title and escrow claims, for which we make provisions through our loss reserves. We believe that no actions, other than those listed below, depart from customary litigation incidental to our business. As background to the disclosure below, please note the following:</w:t>
      </w:r>
    </w:p>
    <w:p>
      <w:pPr>
        <w:spacing w:after="0" w:line="70" w:lineRule="exact"/>
        <w:rPr>
          <w:sz w:val="20"/>
          <w:szCs w:val="20"/>
          <w:color w:val="auto"/>
        </w:rPr>
      </w:pPr>
    </w:p>
    <w:p>
      <w:pPr>
        <w:ind w:left="1280" w:right="140" w:hanging="190"/>
        <w:spacing w:after="0" w:line="276" w:lineRule="auto"/>
        <w:tabs>
          <w:tab w:leader="none" w:pos="1280"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line="289" w:lineRule="auto"/>
        <w:rPr>
          <w:sz w:val="20"/>
          <w:szCs w:val="20"/>
          <w:color w:val="auto"/>
        </w:rPr>
      </w:pPr>
      <w:r>
        <w:rPr>
          <w:rFonts w:ascii="Arial" w:cs="Arial" w:eastAsia="Arial" w:hAnsi="Arial"/>
          <w:sz w:val="12"/>
          <w:szCs w:val="12"/>
          <w:color w:val="auto"/>
        </w:rPr>
        <w:t>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53" w:lineRule="exact"/>
        <w:rPr>
          <w:sz w:val="20"/>
          <w:szCs w:val="20"/>
          <w:color w:val="auto"/>
        </w:rPr>
      </w:pPr>
    </w:p>
    <w:p>
      <w:pPr>
        <w:ind w:left="1280" w:hanging="190"/>
        <w:spacing w:after="0" w:line="281" w:lineRule="auto"/>
        <w:tabs>
          <w:tab w:leader="none" w:pos="1280" w:val="left"/>
        </w:tabs>
        <w:numPr>
          <w:ilvl w:val="0"/>
          <w:numId w:val="22"/>
        </w:numPr>
        <w:rPr>
          <w:rFonts w:ascii="Arial" w:cs="Arial" w:eastAsia="Arial" w:hAnsi="Arial"/>
          <w:sz w:val="12"/>
          <w:szCs w:val="12"/>
          <w:b w:val="1"/>
          <w:bCs w:val="1"/>
          <w:color w:val="auto"/>
        </w:rPr>
      </w:pPr>
      <w:r>
        <w:rPr>
          <w:rFonts w:ascii="Arial" w:cs="Arial" w:eastAsia="Arial" w:hAnsi="Arial"/>
          <w:sz w:val="12"/>
          <w:szCs w:val="12"/>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our experience, monetary demands in plaintiffs’ court pleadings bear little relation to the ultimate loss, if any, that we may experience. None of the cases described below includes a statement as to the dollar amount of damages demanded. Instead, each of the cases includes a demand in an amount to be proved at trial.</w:t>
      </w:r>
    </w:p>
    <w:p>
      <w:pPr>
        <w:spacing w:after="0" w:line="48" w:lineRule="exact"/>
        <w:rPr>
          <w:rFonts w:ascii="Arial" w:cs="Arial" w:eastAsia="Arial" w:hAnsi="Arial"/>
          <w:sz w:val="12"/>
          <w:szCs w:val="12"/>
          <w:b w:val="1"/>
          <w:bCs w:val="1"/>
          <w:color w:val="auto"/>
        </w:rPr>
      </w:pPr>
    </w:p>
    <w:p>
      <w:pPr>
        <w:ind w:left="1280" w:right="120" w:hanging="190"/>
        <w:spacing w:after="0" w:line="264" w:lineRule="auto"/>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For the reasons specified above, it is not possible to make meaningful estimates of the amount or range of loss that could result from these matters at this time. We review these matters on an ongoing basis when making accrual and disclosure decisions. When assessing reasonably possible and probable outcomes, management bases its decision on its assessment of the ultimate outcome following all appeals.</w:t>
      </w:r>
    </w:p>
    <w:p>
      <w:pPr>
        <w:spacing w:after="0" w:line="57" w:lineRule="exact"/>
        <w:rPr>
          <w:rFonts w:ascii="Arial" w:cs="Arial" w:eastAsia="Arial" w:hAnsi="Arial"/>
          <w:sz w:val="13"/>
          <w:szCs w:val="13"/>
          <w:b w:val="1"/>
          <w:bCs w:val="1"/>
          <w:color w:val="auto"/>
        </w:rPr>
      </w:pPr>
    </w:p>
    <w:p>
      <w:pPr>
        <w:ind w:left="1280" w:right="80" w:hanging="190"/>
        <w:spacing w:after="0" w:line="276" w:lineRule="auto"/>
        <w:tabs>
          <w:tab w:leader="none" w:pos="12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We intend to vigorously defend each of these matters. In the opinion of our management, while some of these matters may be material to our operating results for any particular period if an unfavorable outcome results, none will have a material adverse effect on our overall financial condition.</w:t>
      </w:r>
    </w:p>
    <w:p>
      <w:pPr>
        <w:spacing w:after="0" w:line="5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There are class actions pending against several title insurance companies, including Security Union Title Insurance Company, Fidelity National Title Insurance Company, Chicago Title Insurance Company, Ticor Title Insurance Company of Florida, Commonwealth Land Title Insurance Company, Lawyers Title Insurance Corporation, and Ticor Title Insurance Company, alleging improper premiums were charged for title insurance. These cases allege that the named defendant companies failed to provide notice of premium discounts to consumers refinancing their mortgages, and/or failed to give discounts in refinancing transactions in violation of the filed rates. These cases include: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Arizona</w:t>
      </w:r>
    </w:p>
    <w:p>
      <w:pPr>
        <w:spacing w:after="0" w:line="96"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Ramirez v. Fidelity National Title Insurance Company, filed on March 27, 2009, in Pima County Superior Court, State of Arizona</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Connecticut</w:t>
      </w:r>
    </w:p>
    <w:p>
      <w:pPr>
        <w:spacing w:after="0" w:line="96" w:lineRule="exact"/>
        <w:rPr>
          <w:sz w:val="20"/>
          <w:szCs w:val="20"/>
          <w:color w:val="auto"/>
        </w:rPr>
      </w:pPr>
    </w:p>
    <w:p>
      <w:pPr>
        <w:ind w:left="12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Mahon v. Chicago Title Insurance Company, Ticor Title Insurance Company, and Ticor Title Insurance Company of Florida, filed on April 28, 2009, in the U.S. District Court for the District of Connecticut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Florida</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Bleich v. Chicago Title Insurance Company, filed on June 5, 2007, in the Circuit Court for Miami Dade County, State of Florida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Chereskin v. Fidelity National Title Insurance Company of New York, filed on September 21, 2004, in the Circuit Court for Nassau County, State of Florida</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Figueroa v. Fidelity National Title Insurance Company, filed on April 20, 2004, in the Circuit Court for Miami Dade County, State of Florida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Grosso v. Fidelity National Title Insurance Company of New York, filed on August 24, 2004, in the Circuit Court for Broward County, State of Florida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Higgins v. Commonwealth Land Title Insurance Company, filed on September 20, 2004, in the Circuit Court of Nassau County, State of Florida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Turner v. Chicago Title Insurance Company, filed on November 10, 2004, in the Circuit Court for Nassau County, State of Florida</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Kentucky</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Tenhundfeld v. Chicago Title Insurance Company, filed on February 15, 2007, in the United States District Court for the Eastern District of Kentucky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Michigan</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Corwin v. Lawyers Title Insurance Corporation, filed October 2, 2009, in the U.S. District Court for the Eastern District of Michigan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Hoving v. Transnation Title Insurance Company, filed December 13, 2007, in the U.S. District Court for the Eastern District of Michigan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New Hampshire</w:t>
      </w:r>
    </w:p>
    <w:p>
      <w:pPr>
        <w:spacing w:after="0" w:line="96"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Carberry v. Commonwealth Land Title Insurance Company, filed April 10, 2008, in the Stafford County Superior Court, State of New Hampshire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Fitzpatrick v. Chicago Title Insurance Company, filed July 23, 2009, in the Hillsborough County Superior Court, State of New Hampshire</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New Jersey</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Charles v. Lawyers Title Insurance Corporation, filed May 24, 2006, in the U.S. District Court for the District of New Jersey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New Mexico</w:t>
      </w:r>
    </w:p>
    <w:p>
      <w:pPr>
        <w:spacing w:after="0" w:line="96"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Woodard v. Fidelity National Financial, filed December 7, 2006, in the U.S. District Court for the District of New Mexico</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New York</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Partell v. Lawyers Title Insurance Corporation, filed February 26, 2008, in the U.S. District Court for the Western District of New York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Ohio</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Dubin v. Security Union Title Insurance Company, filed on March 12, 2003, in the Court of Common Pleas, Cuyahoga County, Ohio</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Macula v. Lawyers Title Insurance Corporation, filed May 25, 2007, in the U.S. District Court for the Northern District of Ohio, Eastern District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Randleman v. Fidelity National Title Insurance Company, filed on February 15, 2006 in the U.S. District Court for the Northern District of Ohio, Western Division</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Pennsylvania</w:t>
      </w:r>
    </w:p>
    <w:p>
      <w:pPr>
        <w:spacing w:after="0" w:line="96"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Alberton v. Commonwealth Land Title Insurance Company filed on July 24, 2006 in the United States District Court of the Eastern District of Pennsylvania</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Cahall v. Fidelity National Title Insurance Company and Fidelity National Title Insurance Company of New York, filed on January 2, 2008, in the U.S. District Court for the Eastern District of Pennsylvania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Cohen v. Chicago Title Insurance Company, filed on January 27, 2006 in the Court of Common Pleas of Philadelphia County, Pennsylvania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Coleman v. Commonwealth Land Title Insurance Company, filed February 18, 2009, in the U.S. District Court for the Eastern District of Pennsylvania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DeCooman v. Lawyers Title Insurance Corporation, filed on August 12, 2005 in the Court of Common Pleas of Allegheny County, Pennsylvania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Guizarri v. Ticor Title Insurance Company, filed on October 17, 2006 in the U.S. District Court for the Eastern District of Pennsylvania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O’Day v. Ticor Title Insurance Company of Florida, filed on October 18, 2006 in the U.S. District Court for the Eastern District of Pennsylvania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Patterson v. Fidelity National Title Insurance Company of New York, filed on October 27, 2003 in the Court of Common Pleas of Allegheny County, Pennsylvania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Schwartz v. Lawyers Title Insurance Company, filed February 26, 2009, in the U.S. District Court for the Eastern District of Pennsylvania</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Texas</w:t>
      </w:r>
    </w:p>
    <w:p>
      <w:pPr>
        <w:spacing w:after="0" w:line="96"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Hancock v. Chicago Title Insurance Company, filed on August 22, 2007; filed in the United States District Court for the Northern District of Texas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Chapman v. Commonwealth Land Title Insurance Company, filed on January 29, 2009; filed in the United States District Court for the Northern District of Texas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Patino v. Lawyers Title Insurance Corporation, filed August 16, 2006, in the U.S. District Court for the Northern District of Texas, Dallas Division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Walker v. Fidelity National Title Insurance Company, filed October 21, 2009, in the U.S. District Court for the Northern District of Texas, Dallas Division</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February 2008, thirteen putative class actions were commenced against several title insurance companies, including Fidelity National Title Insurance Company, Chicago Title Insurance Company, Security Union Title Insurance Company, Alamo Title Insurance Company, Ticor Title Insurance Company of Florida, Commonwealth Land Title Insurance Company, LandAmerica New Jersey Title Insurance Company (now Continental Title Insurance Company), Lawyers Title Insurance Corporation, Transnation Title Insurance Company (which has merged into Lawyers Title Insurance Corporation), and Ticor Title Insurance Company (collectively, the “Fidelity Affiliates”). The complaints also name Fidelity National Financial, Inc.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numerous complaints pending alleging that the Fidelity Defendants conspired with their competitors to unlawfully inflate rates for title insurance in every major market in the United States. A motion was filed</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before the Multidistrict Litigation Panel to consolidate and/or coordinate these actions in the United States District Court in the Southern District of New York. However, that motion was denied. Where there are multiple cases in one state they have been consolidated before one district court judge in each state and scheduled for the filing of consolidated complaints and motion practice. In 2009, the complaints filed in Texas and New York were dismissed with prejudice, but the plaintiffs have appealed. On February 11, 2010, the Second Circuit Court of Appeals in a summary opinion affirmed the dismissal of the complaint in so far as it alleged antitrust violations. A count of the complaint alleging RESPA violations remains, however the Company believes it is meritless and will be dismissed on motion. The complaints in Arkansas and Washington were dismissed with leave to amend, but the plaintiffs have not amended. The complaint in California was dismissed with leave to amend, the plaintiffs have amended, and the companies have moved to dismiss the amended complaint and the court denied the motion. The case will proceed on a state consumer protection cause of action. The complaint in Delaware was dismissed, but the plaintiffs were permitted to amend to state a claim for injunctive relief. The plaintiffs amended, and the defendants have moved to dismiss the amended complaint. The damage claims in the Pennsylvania cases were dismissed, but the plaintiffs were permitted to pursue injunctive relief. The plaintiffs were permitted limited discovery and a schedule for summary judgment briefing after the first of the year has been set. The magistrate has recommended that the Ohio complaint be dismissed. On December 17, 2009 the District Court judge heard motions on the recommendation, and permitted the filing of additional briefs on January 25, 2010. On February 2, 2010, the District Court judge recused himself, and the matter has been transferred to a new judge. In New Jersey, the Company’s motion to dismiss the amended complaint remains under submission. In West Virginia, the case has been placed on the inactive list pending the resolution of the LandAmerica bankruptcy. The complaints filed in Florida and Massachusetts were all voluntarily dismissed. These cases include: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Arkansas</w:t>
      </w:r>
    </w:p>
    <w:p>
      <w:pPr>
        <w:spacing w:after="0" w:line="96"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Classic Homes and Development, LLC v. Fidelity National Title Insurance Company, filed on March 19, 2008, in the Eastern District of Arkansas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California</w:t>
      </w:r>
    </w:p>
    <w:p>
      <w:pPr>
        <w:spacing w:after="0" w:line="96"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 re California Title Insurance Litigation, filed on March 10, 2008, in the Northern District of California</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Delaware</w:t>
      </w:r>
    </w:p>
    <w:p>
      <w:pPr>
        <w:spacing w:after="0" w:line="96" w:lineRule="exact"/>
        <w:rPr>
          <w:sz w:val="20"/>
          <w:szCs w:val="20"/>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McCray, et al. v. Fidelity National Title Insurance Company, et al., filed on October 15, 2008, in the District of Delaware</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New Jersey</w:t>
      </w:r>
    </w:p>
    <w:p>
      <w:pPr>
        <w:spacing w:after="0" w:line="96"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re New Jersey Title Insurance Litigation, filed on March 19, 2008, in the District of New Jersey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New York</w:t>
      </w:r>
    </w:p>
    <w:p>
      <w:pPr>
        <w:spacing w:after="0" w:line="96" w:lineRule="exact"/>
        <w:rPr>
          <w:sz w:val="20"/>
          <w:szCs w:val="20"/>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Dolan, et al. v. Fidelity National Title Insurance Company, et al. (consolidated New York Actions), filed on February 1, 2008, in the Eastern District of New York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Ohio</w:t>
      </w:r>
    </w:p>
    <w:p>
      <w:pPr>
        <w:spacing w:after="0" w:line="96"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 re Title Insurance Antitrust Cases, filed March 18, 2008, in the Northern District of Ohio</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Pennsylvania</w:t>
      </w:r>
    </w:p>
    <w:p>
      <w:pPr>
        <w:spacing w:after="0" w:line="96" w:lineRule="exact"/>
        <w:rPr>
          <w:sz w:val="20"/>
          <w:szCs w:val="20"/>
          <w:color w:val="auto"/>
        </w:rPr>
      </w:pPr>
    </w:p>
    <w:p>
      <w:pPr>
        <w:ind w:left="5620" w:right="2280" w:hanging="4530"/>
        <w:spacing w:after="0" w:line="750" w:lineRule="auto"/>
        <w:tabs>
          <w:tab w:leader="none" w:pos="1295"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 re Pennsylvania Title Insurance Antitrust Litigation (consolidated), filed on August 22, 2008, in the Eastern District of Pennsylvania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Texas</w:t>
      </w:r>
    </w:p>
    <w:p>
      <w:pPr>
        <w:spacing w:after="0" w:line="96"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Winn, et al. v. Alamo Title Insurance Company, et al., filed on April 3, 2008, in the Eastern District of Texas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Washington</w:t>
      </w:r>
    </w:p>
    <w:p>
      <w:pPr>
        <w:spacing w:after="0" w:line="96"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re Washington Title Insurance Price Fixing Litigation, filed on March 10, 2008, in the Western District of Washington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West Virginia</w:t>
      </w:r>
    </w:p>
    <w:p>
      <w:pPr>
        <w:spacing w:after="0" w:line="96"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Backel, et al. v. Fidelity National Title Insurance Company, et al., filed on March 20, 2008, in the Southern District of West Virginia</w:t>
      </w:r>
    </w:p>
    <w:p>
      <w:pPr>
        <w:spacing w:after="0" w:line="96" w:lineRule="exact"/>
        <w:rPr>
          <w:sz w:val="20"/>
          <w:szCs w:val="20"/>
          <w:color w:val="auto"/>
        </w:rPr>
      </w:pPr>
    </w:p>
    <w:p>
      <w:pPr>
        <w:ind w:left="680" w:right="80" w:firstLine="399"/>
        <w:spacing w:after="0" w:line="277" w:lineRule="auto"/>
        <w:rPr>
          <w:sz w:val="20"/>
          <w:szCs w:val="20"/>
          <w:color w:val="auto"/>
        </w:rPr>
      </w:pPr>
      <w:r>
        <w:rPr>
          <w:rFonts w:ascii="Arial" w:cs="Arial" w:eastAsia="Arial" w:hAnsi="Arial"/>
          <w:sz w:val="12"/>
          <w:szCs w:val="12"/>
          <w:color w:val="auto"/>
        </w:rPr>
        <w:t>On September 24, 2007 a third party complaint was filed in the In Re Ameriquest Mortgage Lending Practices Litigation in the United States District Court for the Northern District of Illinois by Ameriquest Mortgage Company (“Ameriquest”) and Argent Mortgage Company (“Argent”) against numerous title insurers and agents (the “Title Insurer Defendants”), including Chicago Title Company, Fidelity National Title Company, Fidelity National Title Insurance Company, American Pioneer Title Insurance Company (now known as Ticor</w:t>
      </w:r>
    </w:p>
    <w:p>
      <w:pPr>
        <w:spacing w:after="0" w:line="1" w:lineRule="exact"/>
        <w:rPr>
          <w:sz w:val="20"/>
          <w:szCs w:val="20"/>
          <w:color w:val="auto"/>
        </w:rPr>
      </w:pPr>
    </w:p>
    <w:p>
      <w:pPr>
        <w:ind w:left="680"/>
        <w:spacing w:after="0" w:line="276" w:lineRule="auto"/>
        <w:rPr>
          <w:sz w:val="20"/>
          <w:szCs w:val="20"/>
          <w:color w:val="auto"/>
        </w:rPr>
      </w:pPr>
      <w:r>
        <w:rPr>
          <w:rFonts w:ascii="Arial" w:cs="Arial" w:eastAsia="Arial" w:hAnsi="Arial"/>
          <w:sz w:val="12"/>
          <w:szCs w:val="12"/>
          <w:color w:val="auto"/>
        </w:rPr>
        <w:t>Title Insurance Company of Florida), Chicago Title of Michigan, Fidelity National Title Insurance Company of New York, Transnation Title Insurance Company (now known as Lawyers Title Insurance Corporation), Commonwealth Land Title Insurance Company, Commonwealth Land Title Company, Lawyers Title Insurance Corporation, Chicago Title Insurance Company, Alamo Title Company, and Ticor Title Insurance Company (collectively, the “FNF Affiliates”). The third party complaint alleges that Ameriquest and Argent have been sued by a class of borrowers (and by numerous persons who have preemptively opted out of any class that may be certified) alleging that the two lenders violated the Truth in Lending Act (“TILA”) by failing to comply with the notice of right to cancel provisions and making misrepresentations in lending to the borrowers, who now seek money damages. In the third party complaint, Ameriquest and Argent each alleges that the FNF Affiliates contracted and warranted to close these loans in conformity with the lender’s instructions which correctly followed the requirements of TILA and contained no misrepresentations; therefore, if Ameriquest and Argent are liable to the class or to the opt-out plaintiffs, then the FNF Affiliates are liable to them for failing to close the lending transactions as agreed. Ameriquest and Argent seek to recover the cost of resolving the class action and other cases against them including their attorney’s fees and costs in the action. The Title Insurer Defendants organized to form a defense group and, as requested by the court, are exploring the possibility of filing a single collective response. The Seventh Circuit, in which circuit these matters are pending, ruled in a separate case that TILA violations as alleged in these complaints could not be the subject of a class action seeking rescission, though the plaintiffs in the case against Ameriquest and Argent have not yet sought class certification and so the court in their case has not yet ruled on the applicability of the Court of Appeals’ decision (which, in any event, would not affect the cases of individual plaintiffs). Ameriquest filed its fifth amended third party complaint against the defendants, and the Title Insurer Defendants moved to dismiss. On January 19, 2010 the court granted the motion as to the negligence claims, but denied the motion as to the contract claims and negligent misrepresentation claims. The Title Insurer Defendants will answer the Fifth Amended complaint.</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class actions pending against Fidelity National Financial, Inc., Fidelity National Title Group and several title insurance companies, including Fidelity National</w:t>
      </w:r>
    </w:p>
    <w:p>
      <w:pPr>
        <w:spacing w:after="0" w:line="15"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Title Insurance Company, Chicago Title Insurance Company, Lawyers Title Insurance Corporation, Transnation Title Insurance Company (which has merged into Lawyers Title Insurance Corporation), United Title Company, Inc., and Ticor Title Insurance Company, alleging overcharges for government recording fees. These cases allege that the named defendant companies charged fees in excess of the fees charged by government entities in closing transactions and charged for documents releasing encumbrances that were never recorded by us. These suits seek various remedies including compensatory damages, prejudgment interest, punitive damages and attorney’s fees. One case filed in Missouri (Hartis) in the summer of 2008 but removed to the Federal District Court in Missouri, seeks to certify a national class against Chicago Title Insurance Company. Although the Federal District Court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2" w:lineRule="auto"/>
        <w:rPr>
          <w:sz w:val="20"/>
          <w:szCs w:val="20"/>
          <w:color w:val="auto"/>
        </w:rPr>
      </w:pPr>
      <w:r>
        <w:rPr>
          <w:rFonts w:ascii="Arial" w:cs="Arial" w:eastAsia="Arial" w:hAnsi="Arial"/>
          <w:sz w:val="12"/>
          <w:szCs w:val="12"/>
          <w:color w:val="auto"/>
        </w:rPr>
        <w:t>in Kansas refused to certify a national class previously filed by the same plaintiff’s attorneys, this suit seeks to overcome that Court’s objections to certification. In September 2009, we filed a motion to deny class certification. And, although similar cases filed in Indiana were decertified by the appellate court and trial court, the Missouri courts have refused to decertify a case now pending, which has been assigned to a judge and set for trial on March 1, 2010. On January 26, 2009, a recording fee class action was filed in New Jersey. On January 30, 2009, the court granted the named defendants’ motion for summary judgment in the recording fee class action in the Federal District Court in Texas, which alleged recording fee overcharges in five states. The plaintiff has appealed this decision and oral argument was heard in the Fifth Circuit Court of Appeals on November 2, 2009. On January 15, 2010, the Fifth Circuit Court of Appeals affirmed the Federal District Court’s decision to grant the named defendants’ motion for summary judgment (Arevalo). These cases include: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Colorado</w:t>
      </w:r>
    </w:p>
    <w:p>
      <w:pPr>
        <w:spacing w:after="0" w:line="96"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Halpin v. United Title Company, Inc., filed on January 25, 2008, in the Boulder County District Court, Colorado</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Missouri</w:t>
      </w:r>
    </w:p>
    <w:p>
      <w:pPr>
        <w:spacing w:after="0" w:line="96"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Hartis v. Chicago Title Insurance Company, filed on August 21, 2008, in the U.S. District Court for the Western District of Missouri</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Krause v. Chicago Title Insurance Company, filed on September 2, 2005, in the Circuit Court of Jackson County, Kansas City, Missouri</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New Jersey</w:t>
      </w:r>
    </w:p>
    <w:p>
      <w:pPr>
        <w:spacing w:after="0" w:line="96" w:lineRule="exact"/>
        <w:rPr>
          <w:sz w:val="20"/>
          <w:szCs w:val="20"/>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Chassen v. Fidelity National Financial, et al. filed in the U.S. District Court for the District of New Jersey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Texas</w:t>
      </w:r>
    </w:p>
    <w:p>
      <w:pPr>
        <w:spacing w:after="0" w:line="96" w:lineRule="exact"/>
        <w:rPr>
          <w:sz w:val="20"/>
          <w:szCs w:val="20"/>
          <w:color w:val="auto"/>
        </w:rPr>
      </w:pPr>
    </w:p>
    <w:p>
      <w:pPr>
        <w:ind w:left="1280" w:right="620" w:hanging="190"/>
        <w:spacing w:after="0" w:line="276"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Arevalo v. Chicago Title Insurance Company and Ticor Title Insurance Company, filed on March 24, 2006, in the U.S. District Court for the Western District of Texas, San Antonio Division</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There are class actions pending against Fidelity National Title Company, Fidelity National Title Company of Washington, Inc., and Chicago Title Insurance Company, alleging that the named defendants in each case charged unnecessary reconveyance fees without performing any separate service for those fees which was not already included as a service for the “escrow fee.” Additionally, the Cornelius case alleges that the named defendants wrongfully earned interest or other benefits on escrowed funds from the time funds were deposited into escrow until any disbursement checks cleared the account. Motions for class certification were filed in both of these cases, and the Company then moved for summary judgment in both cases and to continue the briefing of the class certification motions until the summary judgment motions were determined. Both courts granted the motions to continue class certification briefing until the summary judgment motions were determined and those motions are now fully briefed and submitted. These cases are:</w:t>
      </w:r>
    </w:p>
    <w:p>
      <w:pPr>
        <w:spacing w:after="0" w:line="59" w:lineRule="exact"/>
        <w:rPr>
          <w:sz w:val="20"/>
          <w:szCs w:val="20"/>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Bushbeck, et al. v. Chicago Title Insurance Company, filed on May 14, 2008, in the U.S. District Court for the Western District of Washington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Cornelius, et al. v. Fidelity National Title Insurance Company, filed on May 14, 2008, in the U.S. District Court for the Western District of Washington</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 class action has been filed in state court in Hawaii against Fidelity National Title and Escrow of Hawaii, Inc. alleging the Company wrongfully released funds from escrow thereby engaging in unfair or deceptive trade practices in violation of state statute. The suit seeks damages, treble damages, prejudgment interest, attorney’s fees and costs. We answered the complaint and are investigating the allegations informally and through discovery. The case filed is Cynthia A. Smith Berg, et al. v. Fidelity National Title and Escrow of Hawaii, Inc. filed December 1, 2009 in the Circuit Court of the Fifth Circuit, State of Hawaii.</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 class action filed in District Court in Nevada has been amended to allege a cause of action for breach of fiduciary duty in handling escrows against Commonwealth Land Title Insurance Company and Fidelity National Title Agency of Nevada, Inc. The complaint seeks compensatory and punitive damages and attorney’s fees. We are investigating the allegations and have moved for a more definite statement of the allegations against it, which was opposed by plaintiffs and is now fully briefed and submitted. The case filed is Frank Taddeo, et al. v. American Invsco Corporation, Second Amended Complaint filed October 15, 2009 in the United States District Court, District of Nevada.</w:t>
      </w:r>
    </w:p>
    <w:p>
      <w:pPr>
        <w:spacing w:after="0" w:line="53"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On December 3, 2007, a former title officer in California filed a putative class action suit against Lawyers Title Company, and LandAmerica Financial Group, Inc (collectively, the “Defendants”). The lawsuits were later amended to include Commonwealth Land Title Company and Commonwealth Land Title Insurance Company as defendants in the Superior Court of California for Los Angeles County. A similar putative class action was filed against the Defendants by former escrow officers in California, in the same court on December 12, 2007. The plaintiffs’ complaints in both lawsuits allege failure to pay overtime and other related violations of the California Labor Code, as well as unfair business practices under the California Business and Professions Code § 17200 on behalf of all current and former California title and escrow officers. The underlying basis for both lawsuits is an alleged misclassification of title and escrow officers as “exempt” employees for purposes of the California Labor Code, which resulted in a failure to pay overtime and provide for required meal and rest breaks. Although such employees were reclassified as “non-exempt” beginning on January 1, 2006, the complaints allege similar violations of the California Labor Code even after that date for alleged “off-the-clock” work. The plaintiffs’ complaints in both cases demand an unspecified amount of back wages, statutory penalties, declaratory and injunctive relief, punitive damages, interest, and attorneys’ fees and costs. The plaintiffs have yet to file a motion for class certification, as the parties have agreed to mediation. A mediation date has not yet been set. Should further litigation prove necessary following the mediation, the Defendants believe that they have meritorious defenses both to class certification and to liability. These cases are:</w:t>
      </w:r>
    </w:p>
    <w:p>
      <w:pPr>
        <w:spacing w:after="0" w:line="63"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Chaffin v. Lawyers Title Company and LandAmerica Financial Group, Inc., filed on December 3, 2007 in the Superior Court for Los Angeles County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Hay v. Lawyers Title Company and LandAmerica Financial Group, Inc., filed on December 12, 2007 in the Superior Court for Los Angeles County</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Georgia Insurance Commissioner and the Company are engaged in discussions regarding market conduct matters involving rates, closing protection letters and the licensing of agents. Closing protection letters are standardized indemnity agreements given to individually named lenders and specify conditions under, and the extent to which, a title insurer will accept liability for the acts or omissions of its agents connected with the closing of insured real estate transactions. These discussions are in the early stage and we do not know the impact the outcome thereof will have on the Company, if any.</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Various governmental entities are studying the title insurance product, market, pricing, business practices, and potential regulatory and legislative changes. We receive inquiries and requests for information from state insurance departments, attorneys general and other regulatory agencies from time to time about various matters relating to our business. Sometimes these take the form of civil investigative subpoenas or market conduct examinations. We attempt to cooperate with all such inquiries. From time to time, we are assessed fines for violations of regulations or other matters or enter into settlements with such authorities which require us to pay money or take other actions.</w:t>
      </w:r>
    </w:p>
    <w:p>
      <w:pPr>
        <w:spacing w:after="0" w:line="12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Our common stock is traded on the New York Stock Exchange under the symbol “FNF”. The following table shows, for the periods indicated, the high and low sales prices of our common stock, as reported by the New York Stock Exchange, and the amounts of dividends per share declared on our common stock.</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0"/>
                <w:szCs w:val="10"/>
                <w:b w:val="1"/>
                <w:bCs w:val="1"/>
                <w:color w:val="auto"/>
              </w:rPr>
              <w:t>Low</w:t>
            </w:r>
          </w:p>
        </w:tc>
        <w:tc>
          <w:tcPr>
            <w:tcW w:w="280" w:type="dxa"/>
            <w:vAlign w:val="bottom"/>
          </w:tcPr>
          <w:p>
            <w:pPr>
              <w:spacing w:after="0"/>
              <w:rPr>
                <w:sz w:val="10"/>
                <w:szCs w:val="10"/>
                <w:color w:val="auto"/>
              </w:rPr>
            </w:pPr>
          </w:p>
        </w:tc>
        <w:tc>
          <w:tcPr>
            <w:tcW w:w="1200" w:type="dxa"/>
            <w:vAlign w:val="bottom"/>
          </w:tcPr>
          <w:p>
            <w:pPr>
              <w:jc w:val="right"/>
              <w:ind w:right="188"/>
              <w:spacing w:after="0"/>
              <w:rPr>
                <w:sz w:val="20"/>
                <w:szCs w:val="20"/>
                <w:color w:val="auto"/>
              </w:rPr>
            </w:pPr>
            <w:r>
              <w:rPr>
                <w:rFonts w:ascii="Arial" w:cs="Arial" w:eastAsia="Arial" w:hAnsi="Arial"/>
                <w:sz w:val="10"/>
                <w:szCs w:val="10"/>
                <w:b w:val="1"/>
                <w:bCs w:val="1"/>
                <w:color w:val="auto"/>
              </w:rPr>
              <w:t>Cash Dividends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Declared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2009</w:t>
            </w:r>
          </w:p>
        </w:tc>
        <w:tc>
          <w:tcPr>
            <w:tcW w:w="3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4240" w:type="dxa"/>
            <w:vAlign w:val="bottom"/>
            <w:gridSpan w:val="2"/>
          </w:tcPr>
          <w:p>
            <w:pPr>
              <w:jc w:val="right"/>
              <w:ind w:right="128"/>
              <w:spacing w:after="0"/>
              <w:rPr>
                <w:sz w:val="20"/>
                <w:szCs w:val="20"/>
                <w:color w:val="auto"/>
              </w:rPr>
            </w:pPr>
            <w:r>
              <w:rPr>
                <w:rFonts w:ascii="Arial" w:cs="Arial" w:eastAsia="Arial" w:hAnsi="Arial"/>
                <w:sz w:val="13"/>
                <w:szCs w:val="13"/>
                <w:color w:val="auto"/>
              </w:rPr>
              <w:t>$20.51</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$14.20</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42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22.85</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11.97</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4240" w:type="dxa"/>
            <w:vAlign w:val="bottom"/>
            <w:gridSpan w:val="2"/>
          </w:tcPr>
          <w:p>
            <w:pPr>
              <w:jc w:val="right"/>
              <w:ind w:right="128"/>
              <w:spacing w:after="0"/>
              <w:rPr>
                <w:sz w:val="20"/>
                <w:szCs w:val="20"/>
                <w:color w:val="auto"/>
              </w:rPr>
            </w:pPr>
            <w:r>
              <w:rPr>
                <w:rFonts w:ascii="Arial" w:cs="Arial" w:eastAsia="Arial" w:hAnsi="Arial"/>
                <w:sz w:val="13"/>
                <w:szCs w:val="13"/>
                <w:color w:val="auto"/>
              </w:rPr>
              <w:t>16.76</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12.45</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42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17.00</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13.11</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Year ended December 31, 2008</w:t>
            </w:r>
          </w:p>
        </w:tc>
        <w:tc>
          <w:tcPr>
            <w:tcW w:w="3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42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$20.96</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$12.60</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4240" w:type="dxa"/>
            <w:vAlign w:val="bottom"/>
            <w:gridSpan w:val="2"/>
          </w:tcPr>
          <w:p>
            <w:pPr>
              <w:jc w:val="right"/>
              <w:ind w:right="128"/>
              <w:spacing w:after="0"/>
              <w:rPr>
                <w:sz w:val="20"/>
                <w:szCs w:val="20"/>
                <w:color w:val="auto"/>
              </w:rPr>
            </w:pPr>
            <w:r>
              <w:rPr>
                <w:rFonts w:ascii="Arial" w:cs="Arial" w:eastAsia="Arial" w:hAnsi="Arial"/>
                <w:sz w:val="13"/>
                <w:szCs w:val="13"/>
                <w:color w:val="auto"/>
              </w:rPr>
              <w:t>19.17</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12.56</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42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18.19</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11.93</w:t>
            </w:r>
          </w:p>
        </w:tc>
        <w:tc>
          <w:tcPr>
            <w:tcW w:w="14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4240" w:type="dxa"/>
            <w:vAlign w:val="bottom"/>
            <w:gridSpan w:val="2"/>
          </w:tcPr>
          <w:p>
            <w:pPr>
              <w:jc w:val="right"/>
              <w:ind w:right="128"/>
              <w:spacing w:after="0"/>
              <w:rPr>
                <w:sz w:val="20"/>
                <w:szCs w:val="20"/>
                <w:color w:val="auto"/>
              </w:rPr>
            </w:pPr>
            <w:r>
              <w:rPr>
                <w:rFonts w:ascii="Arial" w:cs="Arial" w:eastAsia="Arial" w:hAnsi="Arial"/>
                <w:sz w:val="13"/>
                <w:szCs w:val="13"/>
                <w:color w:val="auto"/>
              </w:rPr>
              <w:t>18.51</w:t>
            </w:r>
          </w:p>
        </w:tc>
        <w:tc>
          <w:tcPr>
            <w:tcW w:w="960" w:type="dxa"/>
            <w:vAlign w:val="bottom"/>
            <w:gridSpan w:val="2"/>
          </w:tcPr>
          <w:p>
            <w:pPr>
              <w:jc w:val="right"/>
              <w:ind w:right="128"/>
              <w:spacing w:after="0"/>
              <w:rPr>
                <w:sz w:val="20"/>
                <w:szCs w:val="20"/>
                <w:color w:val="auto"/>
              </w:rPr>
            </w:pPr>
            <w:r>
              <w:rPr>
                <w:rFonts w:ascii="Arial" w:cs="Arial" w:eastAsia="Arial" w:hAnsi="Arial"/>
                <w:sz w:val="13"/>
                <w:szCs w:val="13"/>
                <w:color w:val="auto"/>
              </w:rPr>
              <w:t>6.66</w:t>
            </w:r>
          </w:p>
        </w:tc>
        <w:tc>
          <w:tcPr>
            <w:tcW w:w="1480" w:type="dxa"/>
            <w:vAlign w:val="bottom"/>
            <w:gridSpan w:val="2"/>
          </w:tcPr>
          <w:p>
            <w:pPr>
              <w:jc w:val="right"/>
              <w:ind w:right="428"/>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60" w:type="dxa"/>
            <w:vAlign w:val="bottom"/>
          </w:tcPr>
          <w:p>
            <w:pPr>
              <w:jc w:val="right"/>
              <w:ind w:right="1734"/>
              <w:spacing w:after="0"/>
              <w:rPr>
                <w:sz w:val="20"/>
                <w:szCs w:val="20"/>
                <w:color w:val="auto"/>
              </w:rPr>
            </w:pPr>
            <w:r>
              <w:rPr>
                <w:rFonts w:ascii="Arial" w:cs="Arial" w:eastAsia="Arial" w:hAnsi="Arial"/>
                <w:sz w:val="13"/>
                <w:szCs w:val="13"/>
                <w:color w:val="auto"/>
              </w:rPr>
              <w:t>30</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PERFORMANCE GRAPH</w:t>
      </w:r>
    </w:p>
    <w:p>
      <w:pPr>
        <w:spacing w:after="0" w:line="100"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color w:val="auto"/>
        </w:rPr>
        <w:t>Set forth below is a graph comparing cumulative total stockholder return on our common stock against the cumulative total return on the S &amp; P 500 Index and against the cumulative total return of a peer group index consisting of certain companies in the primary industry in which we compete (SIC code 6361 — Title Insurance) for the period ending December 31, 2009. This peer group consists of the following companies: First American Corporation and Stewart Information Services Corp. The peer group comparison has been weighted based on our stock market capitalization. The graph assumes an initial investment of $100.00 on October 18, 2005, with dividends reinvested over the periods indicated.</w:t>
      </w:r>
    </w:p>
    <w:p>
      <w:pPr>
        <w:spacing w:after="0" w:line="4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Comparison of 5 Year Cumulative Total Returns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Among Fidelity National Financial, Inc., the S&amp;P 500 Index</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62230</wp:posOffset>
            </wp:positionV>
            <wp:extent cx="3701415" cy="2097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01415" cy="209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ASSUMES $100 INVESTED ON OCTOBER 18, 2005</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ASSUMES DIVIDENDS REINVESTED</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FISCAL YEAR ENDING DECEMBER 31, 2009</w:t>
      </w:r>
    </w:p>
    <w:p>
      <w:pPr>
        <w:spacing w:after="0" w:line="8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On February 1, 2010 the last reported sale price of our common stock on the New York Stock Exchange was $12.80 per share. As of January 31, 2010, we had approximately 5,995 stockholders of record.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February 3, 2010, our Board of Directors formally declared a $0.15 per share cash dividend that is payable on March 31, 2010 to stockholders of record as of March 17, 2010.</w:t>
      </w:r>
    </w:p>
    <w:p>
      <w:pPr>
        <w:spacing w:after="0" w:line="108"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5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2009, $2,435.3 million of our net assets are restricted from dividend payments without prior approval from the Departments of Insurance in the States where our title insurance subsidiaries are domiciled. During 2010, our directly owned title insurance subsidiaries can pay dividends or make distributions to us of approximately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$289.4 million without prior approval. The limits placed on such subsidiaries’ abilities to pay dividends affect our ability to pay dividends.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October 25, 2006, our Board of Directors approved a three-year stock repurchase program under which we can repurchase up to 25 million shares of our common stock. On July 21, 2009, our Board of Directors approved a new three-year stock repurchase program under which we can repurchase up to 15 million shares through July 31, 2012. We may make repurchases from time to time in the open market, in block purchases or in privately negotiated transactions, depending on market conditions and other factors. Since the original commencement of the plan adopted in October 2006, and through September 2009, we repurchased a total of 17,161,120 shares for $286.2 million, or an average of $16.68 per share. In October 2009, we began repurchasing shares under the program approved July 21, 2009, and, through December 31, 2009, we had repurchased a total of 1,294,400 shares for $17.9 million, or an average of $13.83 per share. For more information, see “Liquidity and Capital Resources” in Item 7 of this Form 10-K.</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2009 presentation.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firstLine="399"/>
        <w:spacing w:after="0" w:line="255" w:lineRule="auto"/>
        <w:rPr>
          <w:sz w:val="20"/>
          <w:szCs w:val="20"/>
          <w:color w:val="auto"/>
        </w:rPr>
      </w:pPr>
      <w:r>
        <w:rPr>
          <w:rFonts w:ascii="Arial" w:cs="Arial" w:eastAsia="Arial" w:hAnsi="Arial"/>
          <w:sz w:val="13"/>
          <w:szCs w:val="13"/>
          <w:color w:val="auto"/>
        </w:rPr>
        <w:t>Acquisitions among entities under common control such as Old FNF’s 2006 contribution of assets to us in connection with the 2006 Distribution are not considered business combinations and are to be accounted for at historical cost in accordance with generally accepted accounting principles on exchanges of ownership interests between enterprises under common control. Furthermore, the substance of that asset contribution, the 2006 Distribution and the Old FNF-FIS merger is effectively a reverse spin-off of FIS by Old FNF in accordance with the FASB’s guidance on accounting for reverse spinoffs. Accordingly, the historical financial statements of Old FNF became those of FNF. As a result, the data shown below for periods or dates prior to October 24, 2006, the date the 2006 Distribution was completed, are the data of Old FNF, including the results of both FIS and us as subsidiaries of Old FNF. Following completion of the 2006 Distribution, however, the criteria to account for FIS as discontinued operations as prescribed by the FASB’s guidance on accounting for the impairment or disposal of long-lived assets were not met. This is primarily due to our continuing involvement with and significant influence over FIS subsequent to the merger of Old FNF and FIS through common board members, common senior management and continuing business relationships. As a result, for periods prior to October 24, 2006, FIS continues to be included in our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2009(1)</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2008(2)</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2007(3)</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8"/>
              </w:rPr>
              <w:t>per share)</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2006(4)</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2005(5)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4"/>
          </w:tcPr>
          <w:p>
            <w:pPr>
              <w:spacing w:after="0"/>
              <w:rPr>
                <w:sz w:val="20"/>
                <w:szCs w:val="20"/>
                <w:color w:val="auto"/>
              </w:rPr>
            </w:pPr>
            <w:r>
              <w:rPr>
                <w:rFonts w:ascii="Arial" w:cs="Arial" w:eastAsia="Arial" w:hAnsi="Arial"/>
                <w:sz w:val="10"/>
                <w:szCs w:val="10"/>
                <w:b w:val="1"/>
                <w:bCs w:val="1"/>
                <w:color w:val="auto"/>
                <w:w w:val="91"/>
              </w:rPr>
              <w:t>(Dollars in millions, except</w:t>
            </w: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Data:</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5,828.4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4,251.2</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5,465.6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9,434.4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9,654.2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Personnel costs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1,649.8</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1,322.0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1,668.6</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3,225.3</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3,224.7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operating expenses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1,343.5</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1,179.8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1,078.8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2,075.0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Agent commissions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1,951.7</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1,218.0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1,698.2</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2,035.4</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2,060.5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109.2</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122.1</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127.9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460.8</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Provision for claim losses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392.6</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630.4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653.9</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486.3</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58.6</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5,483.5</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4,530.9</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5,280.3</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8,492.8</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8,046.7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Earnings (loss) before income taxes, equity in (loss) earnings of</w:t>
            </w: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and noncontrolling interest</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344.9</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(279.7)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185.3</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941.6</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106.8</w:t>
            </w:r>
          </w:p>
        </w:tc>
        <w:tc>
          <w:tcPr>
            <w:tcW w:w="160" w:type="dxa"/>
            <w:vAlign w:val="bottom"/>
          </w:tcPr>
          <w:p>
            <w:pPr>
              <w:spacing w:after="0"/>
              <w:rPr>
                <w:sz w:val="13"/>
                <w:szCs w:val="13"/>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3"/>
                <w:szCs w:val="13"/>
                <w:color w:val="auto"/>
              </w:rPr>
              <w:t>(119.9)</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50.3</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350.9</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573.4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before equity in (loss) earnings of unconsolidated affiliates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238.1</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(159.8)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135.0</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590.7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Equity in (loss) earnings of unconsolidated affiliates</w:t>
            </w:r>
          </w:p>
        </w:tc>
        <w:tc>
          <w:tcPr>
            <w:tcW w:w="14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(11.7)</w:t>
            </w:r>
          </w:p>
        </w:tc>
        <w:tc>
          <w:tcPr>
            <w:tcW w:w="160" w:type="dxa"/>
            <w:vAlign w:val="bottom"/>
          </w:tcPr>
          <w:p>
            <w:pPr>
              <w:spacing w:after="0"/>
              <w:rPr>
                <w:sz w:val="13"/>
                <w:szCs w:val="13"/>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3"/>
                <w:szCs w:val="13"/>
                <w:color w:val="auto"/>
              </w:rPr>
              <w:t>(13.4)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from continuing operations, net of tax</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226.4</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(173.2)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135.8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592.4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Net loss from discontinued operations, net of tax</w:t>
            </w:r>
          </w:p>
        </w:tc>
        <w:tc>
          <w:tcPr>
            <w:tcW w:w="14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3"/>
                <w:szCs w:val="13"/>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3"/>
                <w:szCs w:val="13"/>
                <w:color w:val="auto"/>
              </w:rPr>
              <w:t>(10.0)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88"/>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224.5</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(183.2)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129.8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592.4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Less: net earnings (loss) attributable to noncontrolling interests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3"/>
                <w:szCs w:val="13"/>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3"/>
                <w:szCs w:val="13"/>
                <w:color w:val="auto"/>
              </w:rPr>
              <w:t>(4.2)</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154.6</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attributable to FNF common shareholders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(179.0)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437.8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2009(1)</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2008(2)</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2007(3)</w:t>
            </w:r>
          </w:p>
        </w:tc>
        <w:tc>
          <w:tcPr>
            <w:tcW w:w="4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2"/>
              </w:rPr>
              <w:t>per share)</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2006(4)</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2005(5)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0"/>
                <w:szCs w:val="10"/>
                <w:b w:val="1"/>
                <w:bCs w:val="1"/>
                <w:color w:val="auto"/>
                <w:w w:val="93"/>
              </w:rPr>
              <w:t>(Dollars in millions, except</w:t>
            </w:r>
          </w:p>
        </w:tc>
        <w:tc>
          <w:tcPr>
            <w:tcW w:w="4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Per Share Data(6):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w w:val="94"/>
              </w:rPr>
              <w:t>Basic net earnings (loss) per share attributable to FNF common shareholders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0.99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8"/>
              <w:spacing w:after="0"/>
              <w:rPr>
                <w:sz w:val="20"/>
                <w:szCs w:val="20"/>
                <w:color w:val="auto"/>
              </w:rPr>
            </w:pPr>
            <w:r>
              <w:rPr>
                <w:rFonts w:ascii="Arial" w:cs="Arial" w:eastAsia="Arial" w:hAnsi="Arial"/>
                <w:sz w:val="13"/>
                <w:szCs w:val="13"/>
                <w:color w:val="auto"/>
              </w:rPr>
              <w:t>(0.85)</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0.60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2.40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shares outstanding, basic basis(7)</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224.7</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210.0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216.6</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173.5</w:t>
            </w: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3"/>
                <w:szCs w:val="13"/>
                <w:color w:val="auto"/>
              </w:rPr>
              <w:t>Diluted net earnings (loss) per share attributable to FNF common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40" w:type="dxa"/>
            <w:vAlign w:val="bottom"/>
            <w:gridSpan w:val="2"/>
          </w:tcPr>
          <w:p>
            <w:pPr>
              <w:ind w:left="140"/>
              <w:spacing w:after="0"/>
              <w:rPr>
                <w:sz w:val="20"/>
                <w:szCs w:val="20"/>
                <w:color w:val="auto"/>
              </w:rPr>
            </w:pPr>
            <w:r>
              <w:rPr>
                <w:rFonts w:ascii="Arial" w:cs="Arial" w:eastAsia="Arial" w:hAnsi="Arial"/>
                <w:sz w:val="13"/>
                <w:szCs w:val="13"/>
                <w:color w:val="auto"/>
              </w:rPr>
              <w:t>shareholders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0.97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8"/>
              <w:spacing w:after="0"/>
              <w:rPr>
                <w:sz w:val="20"/>
                <w:szCs w:val="20"/>
                <w:color w:val="auto"/>
              </w:rPr>
            </w:pPr>
            <w:r>
              <w:rPr>
                <w:rFonts w:ascii="Arial" w:cs="Arial" w:eastAsia="Arial" w:hAnsi="Arial"/>
                <w:sz w:val="13"/>
                <w:szCs w:val="13"/>
                <w:color w:val="auto"/>
              </w:rPr>
              <w:t>(0.85)</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0.59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shares outstanding, diluted basis(7)</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228.5</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210.0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220.0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182.9</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Dividends declared per share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0.60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8"/>
              <w:spacing w:after="0"/>
              <w:rPr>
                <w:sz w:val="20"/>
                <w:szCs w:val="20"/>
                <w:color w:val="auto"/>
              </w:rPr>
            </w:pPr>
            <w:r>
              <w:rPr>
                <w:rFonts w:ascii="Arial" w:cs="Arial" w:eastAsia="Arial" w:hAnsi="Arial"/>
                <w:sz w:val="13"/>
                <w:szCs w:val="13"/>
                <w:color w:val="auto"/>
              </w:rPr>
              <w:t>1.05</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1.20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5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Investments(8)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4,685.4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8"/>
              <w:spacing w:after="0"/>
              <w:rPr>
                <w:sz w:val="20"/>
                <w:szCs w:val="20"/>
                <w:color w:val="auto"/>
              </w:rPr>
            </w:pPr>
            <w:r>
              <w:rPr>
                <w:rFonts w:ascii="Arial" w:cs="Arial" w:eastAsia="Arial" w:hAnsi="Arial"/>
                <w:sz w:val="13"/>
                <w:szCs w:val="13"/>
                <w:color w:val="auto"/>
              </w:rPr>
              <w:t>4,376.5</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4,101.8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4,121.8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4,564.2</w:t>
            </w:r>
          </w:p>
        </w:tc>
        <w:tc>
          <w:tcPr>
            <w:tcW w:w="0" w:type="dxa"/>
            <w:vAlign w:val="bottom"/>
          </w:tcPr>
          <w:p>
            <w:pPr>
              <w:spacing w:after="0"/>
              <w:rPr>
                <w:sz w:val="1"/>
                <w:szCs w:val="1"/>
                <w:color w:val="auto"/>
              </w:rPr>
            </w:pPr>
          </w:p>
        </w:tc>
      </w:tr>
      <w:tr>
        <w:trPr>
          <w:trHeight w:val="15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equivalents(9)</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202.1</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315.3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569.6</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676.4</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513.4</w:t>
            </w: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7,934.4</w:t>
            </w:r>
          </w:p>
        </w:tc>
        <w:tc>
          <w:tcPr>
            <w:tcW w:w="160" w:type="dxa"/>
            <w:vAlign w:val="bottom"/>
          </w:tcPr>
          <w:p>
            <w:pPr>
              <w:spacing w:after="0"/>
              <w:rPr>
                <w:sz w:val="13"/>
                <w:szCs w:val="13"/>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3"/>
                <w:szCs w:val="13"/>
                <w:color w:val="auto"/>
              </w:rPr>
              <w:t>8,368.2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7,587.9</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7,259.6</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11,104.6</w:t>
            </w:r>
          </w:p>
        </w:tc>
        <w:tc>
          <w:tcPr>
            <w:tcW w:w="0" w:type="dxa"/>
            <w:vAlign w:val="bottom"/>
          </w:tcPr>
          <w:p>
            <w:pPr>
              <w:spacing w:after="0"/>
              <w:rPr>
                <w:sz w:val="1"/>
                <w:szCs w:val="1"/>
                <w:color w:val="auto"/>
              </w:rPr>
            </w:pPr>
          </w:p>
        </w:tc>
      </w:tr>
      <w:tr>
        <w:trPr>
          <w:trHeight w:val="15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Notes payable</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861.9</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1,350.8</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1,167.7</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491.2</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3,217.0</w:t>
            </w: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Reserve for claim losses(10)</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2,541.4</w:t>
            </w:r>
          </w:p>
        </w:tc>
        <w:tc>
          <w:tcPr>
            <w:tcW w:w="160" w:type="dxa"/>
            <w:vAlign w:val="bottom"/>
          </w:tcPr>
          <w:p>
            <w:pPr>
              <w:spacing w:after="0"/>
              <w:rPr>
                <w:sz w:val="13"/>
                <w:szCs w:val="13"/>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3"/>
                <w:szCs w:val="13"/>
                <w:color w:val="auto"/>
              </w:rPr>
              <w:t>2,738.6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1,419.9</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1,220.6</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1,113.5</w:t>
            </w:r>
          </w:p>
        </w:tc>
        <w:tc>
          <w:tcPr>
            <w:tcW w:w="0" w:type="dxa"/>
            <w:vAlign w:val="bottom"/>
          </w:tcPr>
          <w:p>
            <w:pPr>
              <w:spacing w:after="0"/>
              <w:rPr>
                <w:sz w:val="1"/>
                <w:szCs w:val="1"/>
                <w:color w:val="auto"/>
              </w:rPr>
            </w:pPr>
          </w:p>
        </w:tc>
      </w:tr>
      <w:tr>
        <w:trPr>
          <w:trHeight w:val="15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3,344.9</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2,856.8</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3,298.0</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3,530.4</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3,916.1</w:t>
            </w: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Book value per share(11)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14.53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8"/>
              <w:spacing w:after="0"/>
              <w:rPr>
                <w:sz w:val="20"/>
                <w:szCs w:val="20"/>
                <w:color w:val="auto"/>
              </w:rPr>
            </w:pPr>
            <w:r>
              <w:rPr>
                <w:rFonts w:ascii="Arial" w:cs="Arial" w:eastAsia="Arial" w:hAnsi="Arial"/>
                <w:sz w:val="13"/>
                <w:szCs w:val="13"/>
                <w:color w:val="auto"/>
              </w:rPr>
              <w:t>13.29</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15.48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15.94</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22.47</w:t>
            </w:r>
          </w:p>
        </w:tc>
        <w:tc>
          <w:tcPr>
            <w:tcW w:w="0" w:type="dxa"/>
            <w:vAlign w:val="bottom"/>
          </w:tcPr>
          <w:p>
            <w:pPr>
              <w:spacing w:after="0"/>
              <w:rPr>
                <w:sz w:val="1"/>
                <w:szCs w:val="1"/>
                <w:color w:val="auto"/>
              </w:rPr>
            </w:pPr>
          </w:p>
        </w:tc>
      </w:tr>
      <w:tr>
        <w:trPr>
          <w:trHeight w:val="15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Orders opened by direct title operations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2,611,400</w:t>
            </w:r>
          </w:p>
        </w:tc>
        <w:tc>
          <w:tcPr>
            <w:tcW w:w="160" w:type="dxa"/>
            <w:vAlign w:val="bottom"/>
          </w:tcPr>
          <w:p>
            <w:pPr>
              <w:spacing w:after="0"/>
              <w:rPr>
                <w:sz w:val="13"/>
                <w:szCs w:val="13"/>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3"/>
                <w:szCs w:val="13"/>
                <w:color w:val="auto"/>
              </w:rPr>
              <w:t>1,860,400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8"/>
              <w:spacing w:after="0"/>
              <w:rPr>
                <w:sz w:val="20"/>
                <w:szCs w:val="20"/>
                <w:color w:val="auto"/>
              </w:rPr>
            </w:pPr>
            <w:r>
              <w:rPr>
                <w:rFonts w:ascii="Arial" w:cs="Arial" w:eastAsia="Arial" w:hAnsi="Arial"/>
                <w:sz w:val="13"/>
                <w:szCs w:val="13"/>
                <w:color w:val="auto"/>
              </w:rPr>
              <w:t>2,259,800</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3,146,200</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3,615,400</w:t>
            </w:r>
          </w:p>
        </w:tc>
        <w:tc>
          <w:tcPr>
            <w:tcW w:w="0" w:type="dxa"/>
            <w:vAlign w:val="bottom"/>
          </w:tcPr>
          <w:p>
            <w:pPr>
              <w:spacing w:after="0"/>
              <w:rPr>
                <w:sz w:val="1"/>
                <w:szCs w:val="1"/>
                <w:color w:val="auto"/>
              </w:rPr>
            </w:pPr>
          </w:p>
        </w:tc>
      </w:tr>
      <w:tr>
        <w:trPr>
          <w:trHeight w:val="15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Orders closed by direct title operations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1,792,000</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1,121,200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1,434,800</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2,051,500</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2,487,000</w:t>
            </w: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3"/>
                <w:szCs w:val="13"/>
                <w:color w:val="auto"/>
              </w:rPr>
              <w:t>Provision for title insurance claim losses as a percent of title insurance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40" w:type="dxa"/>
            <w:vAlign w:val="bottom"/>
            <w:gridSpan w:val="2"/>
          </w:tcPr>
          <w:p>
            <w:pPr>
              <w:ind w:left="140"/>
              <w:spacing w:after="0"/>
              <w:rPr>
                <w:sz w:val="20"/>
                <w:szCs w:val="20"/>
                <w:color w:val="auto"/>
              </w:rPr>
            </w:pPr>
            <w:r>
              <w:rPr>
                <w:rFonts w:ascii="Arial" w:cs="Arial" w:eastAsia="Arial" w:hAnsi="Arial"/>
                <w:sz w:val="13"/>
                <w:szCs w:val="13"/>
                <w:color w:val="auto"/>
              </w:rPr>
              <w:t>premiums(10)</w:t>
            </w:r>
          </w:p>
        </w:tc>
        <w:tc>
          <w:tcPr>
            <w:tcW w:w="14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3"/>
                <w:szCs w:val="13"/>
                <w:color w:val="auto"/>
              </w:rPr>
              <w:t>18.2%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3"/>
                <w:szCs w:val="13"/>
                <w:color w:val="auto"/>
              </w:rPr>
              <w:t>13.2%</w:t>
            </w:r>
          </w:p>
        </w:tc>
        <w:tc>
          <w:tcPr>
            <w:tcW w:w="16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7.5%</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8"/>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Title related revenue(12):</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color w:val="auto"/>
              </w:rPr>
              <w:t>Percentage direct operations</w:t>
            </w:r>
          </w:p>
        </w:tc>
        <w:tc>
          <w:tcPr>
            <w:tcW w:w="14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53.6%</w:t>
            </w:r>
          </w:p>
        </w:tc>
        <w:tc>
          <w:tcPr>
            <w:tcW w:w="160" w:type="dxa"/>
            <w:vAlign w:val="bottom"/>
          </w:tcPr>
          <w:p>
            <w:pPr>
              <w:spacing w:after="0"/>
              <w:rPr>
                <w:sz w:val="13"/>
                <w:szCs w:val="13"/>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3"/>
                <w:szCs w:val="13"/>
                <w:color w:val="auto"/>
              </w:rPr>
              <w:t>58.7%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3"/>
                <w:szCs w:val="13"/>
                <w:color w:val="auto"/>
              </w:rPr>
              <w:t>54.9%</w:t>
            </w:r>
          </w:p>
        </w:tc>
        <w:tc>
          <w:tcPr>
            <w:tcW w:w="16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53.7%</w:t>
            </w:r>
          </w:p>
        </w:tc>
        <w:tc>
          <w:tcPr>
            <w:tcW w:w="1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57"/>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Percentage agency operations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46.4%</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41.3%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45.1%</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46.3%</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240" w:hanging="241"/>
        <w:spacing w:after="0" w:line="264" w:lineRule="auto"/>
        <w:tabs>
          <w:tab w:leader="none" w:pos="10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Our financial results for the year ended December 31, 2009, include a decrease to our provision for claim losses of $74.4 million ($47.1 million net of income taxes) as a result of favorable claim loss development on prior policy years, offset by an increase to the provision for claim losses of $63.2 million ($40.0 million net of income taxes) as a result of unfavorable developments in the third quarter on a previously recorded insurance receivable.</w:t>
      </w:r>
    </w:p>
    <w:p>
      <w:pPr>
        <w:spacing w:after="0" w:line="17" w:lineRule="exact"/>
        <w:rPr>
          <w:rFonts w:ascii="Arial" w:cs="Arial" w:eastAsia="Arial" w:hAnsi="Arial"/>
          <w:sz w:val="13"/>
          <w:szCs w:val="13"/>
          <w:color w:val="auto"/>
        </w:rPr>
      </w:pPr>
    </w:p>
    <w:p>
      <w:pPr>
        <w:ind w:left="1080" w:right="380" w:hanging="241"/>
        <w:spacing w:after="0" w:line="307" w:lineRule="auto"/>
        <w:tabs>
          <w:tab w:leader="none" w:pos="10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Our financial results for the year ended December 31, 2008, include a charge to our provision for claim losses of $261.6 million ($157.0 million net of income taxes) which we recorded as a result of adverse claim loss development on prior policy years and the results of various entities acquired on various dates during 2008.</w:t>
      </w:r>
    </w:p>
    <w:p>
      <w:pPr>
        <w:ind w:left="1080" w:right="120" w:hanging="241"/>
        <w:spacing w:after="0" w:line="320" w:lineRule="auto"/>
        <w:tabs>
          <w:tab w:leader="none" w:pos="10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Our financial results for the year ended December 31, 2007, include charges to our provision for claim losses totaling $217.2 million ($159.5 million net of income taxes) which we recorded as a result of adverse claim loss development on prior policy years and the results of various entities acquired on various dates during 2007.</w:t>
      </w:r>
    </w:p>
    <w:p>
      <w:pPr>
        <w:spacing w:after="0" w:line="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120" w:hanging="241"/>
        <w:spacing w:after="0" w:line="264" w:lineRule="auto"/>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Beginning October 24, 2006, the date on which the 2006 Distribution was completed, our financial results no longer include the results of FIS. The operations of FIS continue to be included in our results for periods prior to October 24, 2006. In addition, FIS’s financial results for 2006 include the results of operations of Certegy Inc. (“Certegy”) since February 1, 2006, the date on which Certegy was acquired by FIS.</w:t>
      </w:r>
    </w:p>
    <w:p>
      <w:pPr>
        <w:spacing w:after="0" w:line="17" w:lineRule="exact"/>
        <w:rPr>
          <w:rFonts w:ascii="Arial" w:cs="Arial" w:eastAsia="Arial" w:hAnsi="Arial"/>
          <w:sz w:val="13"/>
          <w:szCs w:val="13"/>
          <w:color w:val="auto"/>
        </w:rPr>
      </w:pPr>
    </w:p>
    <w:p>
      <w:pPr>
        <w:ind w:left="1080" w:right="360" w:hanging="241"/>
        <w:spacing w:after="0" w:line="264" w:lineRule="auto"/>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financial results for the year ended December 31, 2005 include in revenue and net earnings a $318.2 million gain on sale relating to the issuance of subsidiary stock, approximately $100.0 million in additional income tax expense relating to the distribution to our shareholders of a 17.5% interest of FNT and additional noncontrolling interest related to the noncontrolling interests issued in FNT and FIS.</w:t>
      </w:r>
    </w:p>
    <w:p>
      <w:pPr>
        <w:spacing w:after="0" w:line="17" w:lineRule="exact"/>
        <w:rPr>
          <w:rFonts w:ascii="Arial" w:cs="Arial" w:eastAsia="Arial" w:hAnsi="Arial"/>
          <w:sz w:val="13"/>
          <w:szCs w:val="13"/>
          <w:color w:val="auto"/>
        </w:rPr>
      </w:pPr>
    </w:p>
    <w:p>
      <w:pPr>
        <w:ind w:left="1080" w:hanging="241"/>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historical basic and diluted earnings per share for 2006 and 2005 have been calculated using FNT’s basic and diluted weighted average shares outstanding.</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Weighted average shares outstanding as of December 31, 2009 includes 18,170,000 shares that were issued as part of an equity offering by the Company on April 20, 2009.</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Investments as of December 31, 2009, 2008, 2007, 2006, and 2005, include securities pledged to secure trust deposits of $288.7 million, $382.5 million, $513.8 million,</w:t>
      </w:r>
    </w:p>
    <w:p>
      <w:pPr>
        <w:spacing w:after="0" w:line="26" w:lineRule="exact"/>
        <w:rPr>
          <w:rFonts w:ascii="Arial" w:cs="Arial" w:eastAsia="Arial" w:hAnsi="Arial"/>
          <w:sz w:val="12"/>
          <w:szCs w:val="12"/>
          <w:color w:val="auto"/>
        </w:rPr>
      </w:pPr>
    </w:p>
    <w:p>
      <w:pPr>
        <w:ind w:left="1080" w:right="340"/>
        <w:spacing w:after="0" w:line="264" w:lineRule="auto"/>
        <w:rPr>
          <w:rFonts w:ascii="Arial" w:cs="Arial" w:eastAsia="Arial" w:hAnsi="Arial"/>
          <w:sz w:val="12"/>
          <w:szCs w:val="12"/>
          <w:color w:val="auto"/>
        </w:rPr>
      </w:pPr>
      <w:r>
        <w:rPr>
          <w:rFonts w:ascii="Arial" w:cs="Arial" w:eastAsia="Arial" w:hAnsi="Arial"/>
          <w:sz w:val="13"/>
          <w:szCs w:val="13"/>
          <w:color w:val="auto"/>
        </w:rPr>
        <w:t>$696.8 million, and $656.0 million, respectively. Investments as of December 31, 2009, 2008, 2007, 2006, and 2005 include securities pledged relating to our securities lending program of $25.6 million, $103.6 million, $264.2 million, $305.3 million and $138.7 million, respectively.</w:t>
      </w:r>
    </w:p>
    <w:p>
      <w:pPr>
        <w:spacing w:after="0" w:line="17" w:lineRule="exact"/>
        <w:rPr>
          <w:rFonts w:ascii="Arial" w:cs="Arial" w:eastAsia="Arial" w:hAnsi="Arial"/>
          <w:sz w:val="12"/>
          <w:szCs w:val="12"/>
          <w:color w:val="auto"/>
        </w:rPr>
      </w:pPr>
    </w:p>
    <w:p>
      <w:pPr>
        <w:jc w:val="both"/>
        <w:ind w:left="1080" w:right="300" w:hanging="241"/>
        <w:spacing w:after="0" w:line="264" w:lineRule="auto"/>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Cash and cash equivalents as of December 31, 2009, 2008, 2007, 2006, and 2005 include cash pledged to secure trust deposits of $96.8 million, $109.6 million, $193.5 million, $228.5 million, and $234.7 million, respectively. Cash and cash equivalents as of December 31, 2009, 2008, 2007, 2006 and 2005 include cash pledged relating to our securities lending program of $26.5 million, $107.6 million, $271.8 million, $316.0 million, and $143.4 million, respectively.</w:t>
      </w:r>
    </w:p>
    <w:p>
      <w:pPr>
        <w:spacing w:after="0" w:line="17" w:lineRule="exact"/>
        <w:rPr>
          <w:rFonts w:ascii="Arial" w:cs="Arial" w:eastAsia="Arial" w:hAnsi="Arial"/>
          <w:sz w:val="13"/>
          <w:szCs w:val="13"/>
          <w:color w:val="auto"/>
        </w:rPr>
      </w:pPr>
    </w:p>
    <w:p>
      <w:pPr>
        <w:ind w:left="1080" w:hanging="307"/>
        <w:spacing w:after="0" w:line="289" w:lineRule="auto"/>
        <w:tabs>
          <w:tab w:leader="none" w:pos="10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As a result of favorable title insurance claim loss development on prior policy years, we recorded a credit in 2009 totaling $74.4 million, or $47.1 million net of income taxes, to our provision for claims losses. As a result of adverse title insurance claim loss development on prior policy years, we recorded charges in 2008 totaling $261.6 million, or $157.0 million net of income taxes, and in 2007 totaling $217.2 million, or $159.5 million net of income taxes, to our provision for claim losses. These credits/charges were recorded in addition to our average provision for claim losses of 7.25%, 8.5% and 7.5% for the years ended December 31, 2009, 2008 and 2007, respectively.</w:t>
      </w:r>
    </w:p>
    <w:p>
      <w:pPr>
        <w:spacing w:after="0" w:line="3" w:lineRule="exact"/>
        <w:rPr>
          <w:rFonts w:ascii="Arial" w:cs="Arial" w:eastAsia="Arial" w:hAnsi="Arial"/>
          <w:sz w:val="12"/>
          <w:szCs w:val="12"/>
          <w:color w:val="auto"/>
        </w:rPr>
      </w:pPr>
    </w:p>
    <w:p>
      <w:pPr>
        <w:ind w:left="1080" w:hanging="302"/>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Book value per share is calculated as equity at December 31 of each year presented divided by actual shares outstanding at December 31 of each year presented.</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title insurance premiums and escrow, title-related and other fees.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Selected Quarterly Financial Data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Selected quarterly financial data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674"/>
              <w:spacing w:after="0"/>
              <w:rPr>
                <w:sz w:val="20"/>
                <w:szCs w:val="20"/>
                <w:color w:val="auto"/>
              </w:rPr>
            </w:pPr>
            <w:r>
              <w:rPr>
                <w:rFonts w:ascii="Arial" w:cs="Arial" w:eastAsia="Arial" w:hAnsi="Arial"/>
                <w:sz w:val="10"/>
                <w:szCs w:val="10"/>
                <w:b w:val="1"/>
                <w:bCs w:val="1"/>
                <w:color w:val="auto"/>
              </w:rPr>
              <w:t>Quarter Ended</w:t>
            </w: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r>
        <w:trPr>
          <w:trHeight w:val="98"/>
        </w:trPr>
        <w:tc>
          <w:tcPr>
            <w:tcW w:w="4800" w:type="dxa"/>
            <w:vAlign w:val="bottom"/>
          </w:tcPr>
          <w:p>
            <w:pPr>
              <w:spacing w:after="0"/>
              <w:rPr>
                <w:sz w:val="8"/>
                <w:szCs w:val="8"/>
                <w:color w:val="auto"/>
              </w:rPr>
            </w:pPr>
          </w:p>
        </w:tc>
        <w:tc>
          <w:tcPr>
            <w:tcW w:w="90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March 31,</w:t>
            </w:r>
          </w:p>
        </w:tc>
        <w:tc>
          <w:tcPr>
            <w:tcW w:w="180" w:type="dxa"/>
            <w:vAlign w:val="bottom"/>
          </w:tcPr>
          <w:p>
            <w:pPr>
              <w:spacing w:after="0"/>
              <w:rPr>
                <w:sz w:val="8"/>
                <w:szCs w:val="8"/>
                <w:color w:val="auto"/>
              </w:rPr>
            </w:pPr>
          </w:p>
        </w:tc>
        <w:tc>
          <w:tcPr>
            <w:tcW w:w="700" w:type="dxa"/>
            <w:vAlign w:val="bottom"/>
            <w:tcBorders>
              <w:bottom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June 30,</w:t>
            </w:r>
          </w:p>
        </w:tc>
        <w:tc>
          <w:tcPr>
            <w:tcW w:w="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Borders>
              <w:bottom w:val="single" w:sz="8" w:color="auto"/>
            </w:tcBorders>
            <w:gridSpan w:val="2"/>
          </w:tcPr>
          <w:p>
            <w:pPr>
              <w:jc w:val="right"/>
              <w:ind w:right="294"/>
              <w:spacing w:after="0" w:line="98" w:lineRule="exact"/>
              <w:rPr>
                <w:sz w:val="20"/>
                <w:szCs w:val="20"/>
                <w:color w:val="auto"/>
              </w:rPr>
            </w:pPr>
            <w:r>
              <w:rPr>
                <w:rFonts w:ascii="Arial" w:cs="Arial" w:eastAsia="Arial" w:hAnsi="Arial"/>
                <w:sz w:val="10"/>
                <w:szCs w:val="10"/>
                <w:b w:val="1"/>
                <w:bCs w:val="1"/>
                <w:color w:val="auto"/>
              </w:rPr>
              <w:t>September 30,(1)</w:t>
            </w:r>
          </w:p>
        </w:tc>
        <w:tc>
          <w:tcPr>
            <w:tcW w:w="180" w:type="dxa"/>
            <w:vAlign w:val="bottom"/>
          </w:tcPr>
          <w:p>
            <w:pPr>
              <w:spacing w:after="0"/>
              <w:rPr>
                <w:sz w:val="8"/>
                <w:szCs w:val="8"/>
                <w:color w:val="auto"/>
              </w:rPr>
            </w:pPr>
          </w:p>
        </w:tc>
        <w:tc>
          <w:tcPr>
            <w:tcW w:w="1320" w:type="dxa"/>
            <w:vAlign w:val="bottom"/>
            <w:tcBorders>
              <w:bottom w:val="single" w:sz="8" w:color="auto"/>
            </w:tcBorders>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December 31,</w:t>
            </w:r>
          </w:p>
        </w:tc>
      </w:tr>
      <w:tr>
        <w:trPr>
          <w:trHeight w:val="131"/>
        </w:trPr>
        <w:tc>
          <w:tcPr>
            <w:tcW w:w="4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ind w:left="40"/>
              <w:spacing w:after="0"/>
              <w:rPr>
                <w:sz w:val="20"/>
                <w:szCs w:val="20"/>
                <w:color w:val="auto"/>
              </w:rPr>
            </w:pPr>
            <w:r>
              <w:rPr>
                <w:rFonts w:ascii="Arial" w:cs="Arial" w:eastAsia="Arial" w:hAnsi="Arial"/>
                <w:sz w:val="10"/>
                <w:szCs w:val="10"/>
                <w:b w:val="1"/>
                <w:bCs w:val="1"/>
                <w:color w:val="auto"/>
              </w:rPr>
              <w:t>(In</w:t>
            </w:r>
          </w:p>
        </w:tc>
        <w:tc>
          <w:tcPr>
            <w:tcW w:w="1680" w:type="dxa"/>
            <w:vAlign w:val="bottom"/>
            <w:gridSpan w:val="3"/>
          </w:tcPr>
          <w:p>
            <w:pPr>
              <w:jc w:val="right"/>
              <w:ind w:right="254"/>
              <w:spacing w:after="0"/>
              <w:rPr>
                <w:sz w:val="20"/>
                <w:szCs w:val="20"/>
                <w:color w:val="auto"/>
              </w:rPr>
            </w:pPr>
            <w:r>
              <w:rPr>
                <w:rFonts w:ascii="Arial" w:cs="Arial" w:eastAsia="Arial" w:hAnsi="Arial"/>
                <w:sz w:val="10"/>
                <w:szCs w:val="10"/>
                <w:b w:val="1"/>
                <w:bCs w:val="1"/>
                <w:color w:val="auto"/>
                <w:w w:val="89"/>
              </w:rPr>
              <w:t>millions, except per share data)</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Revenue</w:t>
            </w:r>
          </w:p>
        </w:tc>
        <w:tc>
          <w:tcPr>
            <w:tcW w:w="900" w:type="dxa"/>
            <w:vAlign w:val="bottom"/>
          </w:tcPr>
          <w:p>
            <w:pPr>
              <w:jc w:val="right"/>
              <w:ind w:right="175"/>
              <w:spacing w:after="0"/>
              <w:rPr>
                <w:sz w:val="20"/>
                <w:szCs w:val="20"/>
                <w:color w:val="auto"/>
              </w:rPr>
            </w:pPr>
            <w:r>
              <w:rPr>
                <w:rFonts w:ascii="Arial" w:cs="Arial" w:eastAsia="Arial" w:hAnsi="Arial"/>
                <w:sz w:val="13"/>
                <w:szCs w:val="13"/>
                <w:color w:val="auto"/>
              </w:rPr>
              <w:t>$1,346.5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$1,559.5</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74"/>
              <w:spacing w:after="0"/>
              <w:rPr>
                <w:sz w:val="20"/>
                <w:szCs w:val="20"/>
                <w:color w:val="auto"/>
              </w:rPr>
            </w:pPr>
            <w:r>
              <w:rPr>
                <w:rFonts w:ascii="Arial" w:cs="Arial" w:eastAsia="Arial" w:hAnsi="Arial"/>
                <w:sz w:val="13"/>
                <w:szCs w:val="13"/>
                <w:color w:val="auto"/>
                <w:w w:val="87"/>
              </w:rPr>
              <w:t>1,467.1</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94"/>
              <w:spacing w:after="0"/>
              <w:rPr>
                <w:sz w:val="20"/>
                <w:szCs w:val="20"/>
                <w:color w:val="auto"/>
              </w:rPr>
            </w:pPr>
            <w:r>
              <w:rPr>
                <w:rFonts w:ascii="Arial" w:cs="Arial" w:eastAsia="Arial" w:hAnsi="Arial"/>
                <w:sz w:val="13"/>
                <w:szCs w:val="13"/>
                <w:color w:val="auto"/>
                <w:w w:val="87"/>
              </w:rPr>
              <w:t>1,455.3</w:t>
            </w:r>
          </w:p>
        </w:tc>
      </w:tr>
      <w:tr>
        <w:trPr>
          <w:trHeight w:val="148"/>
        </w:trPr>
        <w:tc>
          <w:tcPr>
            <w:tcW w:w="48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9"/>
              </w:rPr>
              <w:t>Earnings (loss) from continuing operations before income taxes, equity in income of</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6"/>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and noncontrolling interest</w:t>
            </w: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108.3</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106.0</w:t>
            </w: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3"/>
                <w:szCs w:val="13"/>
                <w:color w:val="auto"/>
              </w:rPr>
              <w:t>Net earnings (loss) attributable to Fidelity National Financial, Inc. common</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4800" w:type="dxa"/>
            <w:vAlign w:val="bottom"/>
          </w:tcPr>
          <w:p>
            <w:pPr>
              <w:ind w:left="140"/>
              <w:spacing w:after="0"/>
              <w:rPr>
                <w:sz w:val="20"/>
                <w:szCs w:val="20"/>
                <w:color w:val="auto"/>
              </w:rPr>
            </w:pPr>
            <w:r>
              <w:rPr>
                <w:rFonts w:ascii="Arial" w:cs="Arial" w:eastAsia="Arial" w:hAnsi="Arial"/>
                <w:sz w:val="13"/>
                <w:szCs w:val="13"/>
                <w:color w:val="auto"/>
              </w:rPr>
              <w:t>shareholders</w:t>
            </w:r>
          </w:p>
        </w:tc>
        <w:tc>
          <w:tcPr>
            <w:tcW w:w="900" w:type="dxa"/>
            <w:vAlign w:val="bottom"/>
          </w:tcPr>
          <w:p>
            <w:pPr>
              <w:jc w:val="right"/>
              <w:ind w:right="135"/>
              <w:spacing w:after="0"/>
              <w:rPr>
                <w:sz w:val="20"/>
                <w:szCs w:val="20"/>
                <w:color w:val="auto"/>
              </w:rPr>
            </w:pPr>
            <w:r>
              <w:rPr>
                <w:rFonts w:ascii="Arial" w:cs="Arial" w:eastAsia="Arial" w:hAnsi="Arial"/>
                <w:sz w:val="13"/>
                <w:szCs w:val="13"/>
                <w:color w:val="auto"/>
              </w:rPr>
              <w:t>(12.4)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74"/>
              <w:spacing w:after="0"/>
              <w:rPr>
                <w:sz w:val="20"/>
                <w:szCs w:val="20"/>
                <w:color w:val="auto"/>
              </w:rPr>
            </w:pPr>
            <w:r>
              <w:rPr>
                <w:rFonts w:ascii="Arial" w:cs="Arial" w:eastAsia="Arial" w:hAnsi="Arial"/>
                <w:sz w:val="13"/>
                <w:szCs w:val="13"/>
                <w:color w:val="auto"/>
              </w:rPr>
              <w:t>73.4</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3"/>
                <w:szCs w:val="13"/>
                <w:color w:val="auto"/>
              </w:rPr>
              <w:t>69.3</w:t>
            </w:r>
          </w:p>
        </w:tc>
      </w:tr>
      <w:tr>
        <w:trPr>
          <w:trHeight w:val="149"/>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w w:val="96"/>
              </w:rPr>
              <w:t>Basic earnings (loss) per share attributable to Fidelity National Financial, Inc. common</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6"/>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shareholders</w:t>
            </w: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(0.06)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0.32</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0.30</w:t>
            </w: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3"/>
                <w:szCs w:val="13"/>
                <w:color w:val="auto"/>
              </w:rPr>
              <w:t>Diluted earnings (loss) per share attributable to Fidelity National Financial, Inc.</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4800" w:type="dxa"/>
            <w:vAlign w:val="bottom"/>
          </w:tcPr>
          <w:p>
            <w:pPr>
              <w:ind w:left="140"/>
              <w:spacing w:after="0"/>
              <w:rPr>
                <w:sz w:val="20"/>
                <w:szCs w:val="20"/>
                <w:color w:val="auto"/>
              </w:rPr>
            </w:pPr>
            <w:r>
              <w:rPr>
                <w:rFonts w:ascii="Arial" w:cs="Arial" w:eastAsia="Arial" w:hAnsi="Arial"/>
                <w:sz w:val="13"/>
                <w:szCs w:val="13"/>
                <w:color w:val="auto"/>
              </w:rPr>
              <w:t>common shareholders</w:t>
            </w:r>
          </w:p>
        </w:tc>
        <w:tc>
          <w:tcPr>
            <w:tcW w:w="900" w:type="dxa"/>
            <w:vAlign w:val="bottom"/>
          </w:tcPr>
          <w:p>
            <w:pPr>
              <w:jc w:val="right"/>
              <w:ind w:right="135"/>
              <w:spacing w:after="0"/>
              <w:rPr>
                <w:sz w:val="20"/>
                <w:szCs w:val="20"/>
                <w:color w:val="auto"/>
              </w:rPr>
            </w:pPr>
            <w:r>
              <w:rPr>
                <w:rFonts w:ascii="Arial" w:cs="Arial" w:eastAsia="Arial" w:hAnsi="Arial"/>
                <w:sz w:val="13"/>
                <w:szCs w:val="13"/>
                <w:color w:val="auto"/>
              </w:rPr>
              <w:t>(0.06)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74"/>
              <w:spacing w:after="0"/>
              <w:rPr>
                <w:sz w:val="20"/>
                <w:szCs w:val="20"/>
                <w:color w:val="auto"/>
              </w:rPr>
            </w:pPr>
            <w:r>
              <w:rPr>
                <w:rFonts w:ascii="Arial" w:cs="Arial" w:eastAsia="Arial" w:hAnsi="Arial"/>
                <w:sz w:val="13"/>
                <w:szCs w:val="13"/>
                <w:color w:val="auto"/>
              </w:rPr>
              <w:t>0.32</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3"/>
                <w:szCs w:val="13"/>
                <w:color w:val="auto"/>
              </w:rPr>
              <w:t>0.30</w:t>
            </w:r>
          </w:p>
        </w:tc>
      </w:tr>
      <w:tr>
        <w:trPr>
          <w:trHeight w:val="158"/>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Dividends paid per share</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0.15</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0.15</w:t>
            </w:r>
          </w:p>
        </w:tc>
      </w:tr>
      <w:tr>
        <w:trPr>
          <w:trHeight w:val="157"/>
        </w:trPr>
        <w:tc>
          <w:tcPr>
            <w:tcW w:w="4800" w:type="dxa"/>
            <w:vAlign w:val="bottom"/>
          </w:tcPr>
          <w:p>
            <w:pPr>
              <w:spacing w:after="0"/>
              <w:rPr>
                <w:sz w:val="20"/>
                <w:szCs w:val="20"/>
                <w:color w:val="auto"/>
              </w:rPr>
            </w:pPr>
            <w:r>
              <w:rPr>
                <w:rFonts w:ascii="Arial" w:cs="Arial" w:eastAsia="Arial" w:hAnsi="Arial"/>
                <w:sz w:val="13"/>
                <w:szCs w:val="13"/>
                <w:b w:val="1"/>
                <w:bCs w:val="1"/>
                <w:color w:val="auto"/>
              </w:rPr>
              <w:t>2008</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$1,120.2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$1,162.4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969.8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998.8</w:t>
            </w: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3"/>
                <w:szCs w:val="13"/>
                <w:color w:val="auto"/>
                <w:w w:val="99"/>
              </w:rPr>
              <w:t>Earnings (loss) from continuing operations before income taxes, equity in income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4800" w:type="dxa"/>
            <w:vAlign w:val="bottom"/>
          </w:tcPr>
          <w:p>
            <w:pPr>
              <w:ind w:left="140"/>
              <w:spacing w:after="0"/>
              <w:rPr>
                <w:sz w:val="20"/>
                <w:szCs w:val="20"/>
                <w:color w:val="auto"/>
              </w:rPr>
            </w:pPr>
            <w:r>
              <w:rPr>
                <w:rFonts w:ascii="Arial" w:cs="Arial" w:eastAsia="Arial" w:hAnsi="Arial"/>
                <w:sz w:val="13"/>
                <w:szCs w:val="13"/>
                <w:color w:val="auto"/>
              </w:rPr>
              <w:t>unconsolidated affiliates, and noncontrolling interest</w:t>
            </w:r>
          </w:p>
        </w:tc>
        <w:tc>
          <w:tcPr>
            <w:tcW w:w="900" w:type="dxa"/>
            <w:vAlign w:val="bottom"/>
          </w:tcPr>
          <w:p>
            <w:pPr>
              <w:jc w:val="right"/>
              <w:ind w:right="175"/>
              <w:spacing w:after="0"/>
              <w:rPr>
                <w:sz w:val="20"/>
                <w:szCs w:val="20"/>
                <w:color w:val="auto"/>
              </w:rPr>
            </w:pPr>
            <w:r>
              <w:rPr>
                <w:rFonts w:ascii="Arial" w:cs="Arial" w:eastAsia="Arial" w:hAnsi="Arial"/>
                <w:sz w:val="13"/>
                <w:szCs w:val="13"/>
                <w:color w:val="auto"/>
              </w:rPr>
              <w:t>42.0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34"/>
              <w:spacing w:after="0"/>
              <w:rPr>
                <w:sz w:val="20"/>
                <w:szCs w:val="20"/>
                <w:color w:val="auto"/>
              </w:rPr>
            </w:pPr>
            <w:r>
              <w:rPr>
                <w:rFonts w:ascii="Arial" w:cs="Arial" w:eastAsia="Arial" w:hAnsi="Arial"/>
                <w:sz w:val="13"/>
                <w:szCs w:val="13"/>
                <w:color w:val="auto"/>
              </w:rPr>
              <w:t>(317.2)</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Arial" w:cs="Arial" w:eastAsia="Arial" w:hAnsi="Arial"/>
                <w:sz w:val="13"/>
                <w:szCs w:val="13"/>
                <w:color w:val="auto"/>
              </w:rPr>
              <w:t>(21.0)</w:t>
            </w:r>
          </w:p>
        </w:tc>
      </w:tr>
      <w:tr>
        <w:trPr>
          <w:trHeight w:val="149"/>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attributable to Fidelity National Financial, Inc. common</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6"/>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shareholders</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27.2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(198.3)</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(14.9)</w:t>
            </w: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3"/>
                <w:szCs w:val="13"/>
                <w:color w:val="auto"/>
                <w:w w:val="96"/>
              </w:rPr>
              <w:t>Basic earnings (loss) per share attributable to Fidelity National Financial, Inc. common</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4800" w:type="dxa"/>
            <w:vAlign w:val="bottom"/>
          </w:tcPr>
          <w:p>
            <w:pPr>
              <w:ind w:left="140"/>
              <w:spacing w:after="0"/>
              <w:rPr>
                <w:sz w:val="20"/>
                <w:szCs w:val="20"/>
                <w:color w:val="auto"/>
              </w:rPr>
            </w:pPr>
            <w:r>
              <w:rPr>
                <w:rFonts w:ascii="Arial" w:cs="Arial" w:eastAsia="Arial" w:hAnsi="Arial"/>
                <w:sz w:val="13"/>
                <w:szCs w:val="13"/>
                <w:color w:val="auto"/>
              </w:rPr>
              <w:t>shareholders</w:t>
            </w:r>
          </w:p>
        </w:tc>
        <w:tc>
          <w:tcPr>
            <w:tcW w:w="900" w:type="dxa"/>
            <w:vAlign w:val="bottom"/>
          </w:tcPr>
          <w:p>
            <w:pPr>
              <w:jc w:val="right"/>
              <w:ind w:right="175"/>
              <w:spacing w:after="0"/>
              <w:rPr>
                <w:sz w:val="20"/>
                <w:szCs w:val="20"/>
                <w:color w:val="auto"/>
              </w:rPr>
            </w:pPr>
            <w:r>
              <w:rPr>
                <w:rFonts w:ascii="Arial" w:cs="Arial" w:eastAsia="Arial" w:hAnsi="Arial"/>
                <w:sz w:val="13"/>
                <w:szCs w:val="13"/>
                <w:color w:val="auto"/>
              </w:rPr>
              <w:t>0.13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0.03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34"/>
              <w:spacing w:after="0"/>
              <w:rPr>
                <w:sz w:val="20"/>
                <w:szCs w:val="20"/>
                <w:color w:val="auto"/>
              </w:rPr>
            </w:pPr>
            <w:r>
              <w:rPr>
                <w:rFonts w:ascii="Arial" w:cs="Arial" w:eastAsia="Arial" w:hAnsi="Arial"/>
                <w:sz w:val="13"/>
                <w:szCs w:val="13"/>
                <w:color w:val="auto"/>
              </w:rPr>
              <w:t>(0.95)</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Arial" w:cs="Arial" w:eastAsia="Arial" w:hAnsi="Arial"/>
                <w:sz w:val="13"/>
                <w:szCs w:val="13"/>
                <w:color w:val="auto"/>
              </w:rPr>
              <w:t>(0.07)</w:t>
            </w:r>
          </w:p>
        </w:tc>
      </w:tr>
      <w:tr>
        <w:trPr>
          <w:trHeight w:val="149"/>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share attributable to Fidelity National Financial, Inc.</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6"/>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shareholders</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(0.95)</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(0.07)</w:t>
            </w: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Dividends paid per share</w:t>
            </w:r>
          </w:p>
        </w:tc>
        <w:tc>
          <w:tcPr>
            <w:tcW w:w="900" w:type="dxa"/>
            <w:vAlign w:val="bottom"/>
          </w:tcPr>
          <w:p>
            <w:pPr>
              <w:jc w:val="right"/>
              <w:ind w:right="175"/>
              <w:spacing w:after="0"/>
              <w:rPr>
                <w:sz w:val="20"/>
                <w:szCs w:val="20"/>
                <w:color w:val="auto"/>
              </w:rPr>
            </w:pPr>
            <w:r>
              <w:rPr>
                <w:rFonts w:ascii="Arial" w:cs="Arial" w:eastAsia="Arial" w:hAnsi="Arial"/>
                <w:sz w:val="13"/>
                <w:szCs w:val="13"/>
                <w:color w:val="auto"/>
              </w:rPr>
              <w:t>0.30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474"/>
              <w:spacing w:after="0"/>
              <w:rPr>
                <w:sz w:val="20"/>
                <w:szCs w:val="20"/>
                <w:color w:val="auto"/>
              </w:rPr>
            </w:pPr>
            <w:r>
              <w:rPr>
                <w:rFonts w:ascii="Arial" w:cs="Arial" w:eastAsia="Arial" w:hAnsi="Arial"/>
                <w:sz w:val="13"/>
                <w:szCs w:val="13"/>
                <w:color w:val="auto"/>
              </w:rPr>
              <w:t>0.30</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3"/>
                <w:szCs w:val="13"/>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right="300" w:hanging="259"/>
        <w:spacing w:after="0" w:line="276"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a reduction of the loss provision of $74.4 million, or $47.1 million net of income taxes, and a loss provision charge of $63.2 million, $40.0 million net of income taxes, in 2009. Includes a loss provision charge of $261.6 million, or $157.0 million net of income taxes, in 2008.</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discussion should be read in conjunction with the Consolidated Financial Statements and the Notes thereto and Selected Financial Data included elsewhere in this Form 10-K.</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the third quarter of 2008, we re-evaluated and refined the method that we use to estimate this accrual, which resulted in a reduction in revenue from agency title insurance premiums of $138.5 million compared to the revenues that would have been accrued under our prior method. The impact of this adjustment was a decrease of $11.8 million in pre-tax earnings and $7.6 million in net income, or approximately $0.04 per share, compared to the amounts that would have been recorded under our prior method. We believe that this adjustment is properly reflected as a change in accounting estimate in the third quarter of 2008.</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are a holding company that is a provider, through our subsidiaries, of title insurance, specialty insurance, claims management services, and information services. We are the nation’s largest title insurance company through our title insurance underwriters — Fidelity National Title, Chicago Title, Commonwealth Land Title, Lawyers Title, Ticor Title, Security Union Title, and Alamo Title — which collectively issued more title insurance policies in 2008 than any other title company in the United States. We also provide flood insurance, personal lines insurance and home warranty insurance through our specialty insurance subsidiaries. We are a leading provider of outsourced claims management services to large corporate and public sector entities through our minority-owned affiliate, Sedgwick CMS Holdings (“Sedgwick”) and a provider of information services in the human resources, retail, and transportation markets through another minority-owned affiliate, Ceridian Corporation (“Ceridian”).</w:t>
      </w:r>
    </w:p>
    <w:p>
      <w:pPr>
        <w:spacing w:after="0" w:line="7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Prior to October 24, 2006, we were known as Fidelity National Title Group, Inc. (“FNT”) and were a majority-owned subsidiary of another publicly traded company, also called Fidelity National Financial, Inc. (“Old FNF”). On October 24, 2006, Old FNF transferred certain assets to us in return for the issuance of 45,265,956 shares of our common stock to Old FNF. Old FNF then distributed to its shareholders all of its shares of our common stock, making FNT a standalone public company (the “2006 Distribution”). On November 9, 2006, Old FNF was then merged with and into another of its subsidiaries, Fidelity National Information Services, Inc. (“FIS”), after which we changed our name to Fidelity National Financial, Inc. (“we” or “FNF”). On November 10, 2006, our common stock began trading on the New York Stock Exchange under the trading symbol “FNF.”</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three reporting segments as follows:</w:t>
      </w:r>
    </w:p>
    <w:p>
      <w:pPr>
        <w:spacing w:after="0" w:line="96" w:lineRule="exact"/>
        <w:rPr>
          <w:sz w:val="20"/>
          <w:szCs w:val="20"/>
          <w:color w:val="auto"/>
        </w:rPr>
      </w:pPr>
    </w:p>
    <w:p>
      <w:pPr>
        <w:ind w:left="1280" w:right="220" w:hanging="190"/>
        <w:spacing w:after="0" w:line="276"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This segment consists of the operation of our title insurance underwriters and related businesses. This segment provides core title insurance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escrow and other title-related services including collection and trust activities, trustee’s sales guarantees, recordings and reconveyances.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 xml:space="preserve">Specialty Insurance. </w:t>
      </w:r>
      <w:r>
        <w:rPr>
          <w:rFonts w:ascii="Arial" w:cs="Arial" w:eastAsia="Arial" w:hAnsi="Arial"/>
          <w:sz w:val="12"/>
          <w:szCs w:val="12"/>
          <w:color w:val="auto"/>
        </w:rPr>
        <w:t>This segment consists of certain subsidiaries that issue flood, home warranty, homeowners’, automobile and other personal lines insurance policies.</w:t>
      </w:r>
    </w:p>
    <w:p>
      <w:pPr>
        <w:spacing w:after="0" w:line="97" w:lineRule="exact"/>
        <w:rPr>
          <w:rFonts w:ascii="Arial" w:cs="Arial" w:eastAsia="Arial" w:hAnsi="Arial"/>
          <w:sz w:val="12"/>
          <w:szCs w:val="12"/>
          <w:color w:val="auto"/>
        </w:rPr>
      </w:pPr>
    </w:p>
    <w:p>
      <w:pPr>
        <w:ind w:left="1280" w:right="220" w:hanging="190"/>
        <w:spacing w:after="0" w:line="276"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This segment consists of the operations of the parent holding company, certain other unallocated corporate overhead expenses, other smaller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and our share in the operations of certain equity method investments, including Sedgwick, Ceridian and Remy International, Inc. (“Remy”).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Discontinued Operations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 September 25, 2009, we closed on the sale of Fidelity National Capital, Inc. (“FN Capital”), a financing and leasing subsidiary, to Winthrop Resources Corporation. Accordingly, the sale and results of FN Capital prior to the sale are reflected in the financial statements as discontinued operations for all periods presented. We received net proceeds of $49.2 million from the sale of FN Capital and recorded a pre-tax loss on the sale of $3.4 million ($2.2 million after tax).</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February 2009, we transferred our ownership interest in FNRES Holdings, Inc. (“FNRES”) to Lender Processing Services, Inc., a related party at the time, in exchange for all of the outstanding shares of Investment Property Exchange Services, Inc. (“IPEX”), a company that facilitates real estate exchanges under Section 1031 of the Internal Revenue Code. Accordingly, the sale and results of FNRES prior to the exchange are reflected in the financial statements as discontinued operations for all periods presented. We received net proceeds of approximately $43 million from the exchange. There was no gain or loss recognized on the transaction.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financial statements reflect transactions with FIS, which is a related party, and with LPS through March 15, 2009, which was a related party until that date. See note A of the Notes to Consolidated Financial Statements.</w:t>
      </w:r>
    </w:p>
    <w:p>
      <w:pPr>
        <w:spacing w:after="0" w:line="134" w:lineRule="exact"/>
        <w:rPr>
          <w:sz w:val="20"/>
          <w:szCs w:val="20"/>
          <w:color w:val="auto"/>
        </w:rPr>
      </w:pPr>
    </w:p>
    <w:p>
      <w:pPr>
        <w:jc w:val="right"/>
        <w:ind w:right="8120"/>
        <w:spacing w:after="0"/>
        <w:rPr>
          <w:sz w:val="20"/>
          <w:szCs w:val="20"/>
          <w:color w:val="auto"/>
        </w:rPr>
      </w:pPr>
      <w:r>
        <w:rPr>
          <w:rFonts w:ascii="Arial" w:cs="Arial" w:eastAsia="Arial" w:hAnsi="Arial"/>
          <w:sz w:val="13"/>
          <w:szCs w:val="13"/>
          <w:b w:val="1"/>
          <w:bCs w:val="1"/>
          <w:color w:val="auto"/>
        </w:rPr>
        <w:t>Business Trends and Conditions</w:t>
      </w:r>
    </w:p>
    <w:p>
      <w:pPr>
        <w:spacing w:after="0" w:line="100" w:lineRule="exact"/>
        <w:rPr>
          <w:sz w:val="20"/>
          <w:szCs w:val="20"/>
          <w:color w:val="auto"/>
        </w:rPr>
      </w:pPr>
    </w:p>
    <w:p>
      <w:pPr>
        <w:jc w:val="right"/>
        <w:ind w:right="8140"/>
        <w:spacing w:after="0"/>
        <w:rPr>
          <w:sz w:val="20"/>
          <w:szCs w:val="20"/>
          <w:color w:val="auto"/>
        </w:rPr>
      </w:pPr>
      <w:r>
        <w:rPr>
          <w:rFonts w:ascii="Arial" w:cs="Arial" w:eastAsia="Arial" w:hAnsi="Arial"/>
          <w:sz w:val="13"/>
          <w:szCs w:val="13"/>
          <w:b w:val="1"/>
          <w:bCs w:val="1"/>
          <w:i w:val="1"/>
          <w:iCs w:val="1"/>
          <w:color w:val="auto"/>
        </w:rPr>
        <w:t>Fidelity National Title Group</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recently experienced declines in many parts of the country, and these trends appear likely to continue. Declines in the level of real estate activity or the average price of real estate sales are likely to adversely affect our title insurance revenues. The volume of refinancing transactions in particular and mortgage originations in general declined over the past four years from 2005 and prior levels, resulting in reduction of revenues in some of our businesses.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found that residential real estate activity generally decreases in the following situations:</w:t>
      </w:r>
    </w:p>
    <w:p>
      <w:pPr>
        <w:spacing w:after="0" w:line="96" w:lineRule="exact"/>
        <w:rPr>
          <w:sz w:val="20"/>
          <w:szCs w:val="20"/>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when mortgage interest rates are high or increasing;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when the mortgage funding supply is limited;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when the United States economy is weak.</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Because these factors can change dramatically, revenue levels in the title insurance industry can also change dramatically. For example, from January 2001 through June 2004, the Federal Reserve decreased interest rates by a total of 550 basis points, bringing interest rates down to a low level and increasing the volume of residential real estate purchases and refinance activity. From June 2004 through September 2007, the Federal Reserve increased interest rates by a total of 425 basis points. In 2007, as interest rates on adjustable rate mortgages reset to higher rates, foreclosures on subprime mortgage loans increased to record levels. This resulted in a significant decrease in levels of available mortgage funding as investors became wary of the risk associated with investing in subprime mortgage loans. In addition, tighter lending standards and a bearish outlook on the real estate environment caused potential home buyers to become reluctant to purchase homes. In 2008, the increase in foreclosure activity, which had previously been limited to the subprime mortgage market, became more widespread as borrowers encountered difficulties in attempting to refinance their adjustable rate mortgages. In 2008 and 2009, the sharply rising mortgage delinquency and default rates caused negative operating results at a number of banks and financial institutions and, as a result, significantly reduced the level of lending activity. Multiple banks have failed over the past three years and others may fail in the future, further reducing the capacity of the mortgage industry to make loans. As a result of these factors,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although orders and revenues increased in 2009, our title insurance order counts and revenues have decreased substantially over the past three years, as compared to levels prior to 2007.</w:t>
      </w:r>
    </w:p>
    <w:p>
      <w:pPr>
        <w:spacing w:after="0" w:line="10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response to concerns about the economy, the Federal Reserve reduced interest rates throughout 2008, most recently in December 2008 to 0.0%-0.25% compared to 4.25% in December 2007, and has kept rates consistent since that time. This reduction in interest rates, along with other government programs designed to increase liquidity in the mortgage markets, resulted in a significant increase in our refinance order volumes in December 2008 and continued to positively affect our revenues through the first nine months of 2009. Mortgage interest rates remained consistent throughout 2009 and into the beginning of 2010. According to the Mortgage Bankers Association (“MBA”), U.S. mortgage originations (including refinancings) were approximately $2.1 trillion, $1.5 trillion and $2.3 trillion in 2009, 2008 and 2007, respectively. The MBA’s Mortgage Finance Forecast currently estimates an approximately $1.3 trillion mortgage origination market for 2010, which would be a decrease of 39.5% from 2009. The MBA forecasts that the 39.5% decrease will result almost entirely from decreased refinance activity.</w:t>
      </w:r>
    </w:p>
    <w:p>
      <w:pPr>
        <w:spacing w:after="0" w:line="73"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Several pieces of legislation have been enacted to address the struggling mortgage market and the current economic and financial environment, including the Emergency Economic Stabilization Act of 2008, which provides broad discretion to the Secretary of the Department of the Treasury to implement a program for the purchase of up to $700 billion in troubled assets from banks and financial institutions called the Troubled Asset Relief Program (“TARP”). On February 17, 2009, Congress also passed the American Recovery and Reinvestment Act of 2009 (“ARRA”), a $787 billion stimulus package, that provides an array of types of relief for homebuyers, such as an $8,000 tax credit that would be available to first-time homebuyers for the purchase of a principal residence on or after January 1, 2009 and before December 1, 2009. Management believes that these measures have had a positive effect on our results of operations in 2009. On November 6, 2009, the President signed into law an extension of the first-time homebuyer credit to persons who sign a purchase contract by April 30, 2010 and close the purchase by June 30, 2010. This extension also expands the program to provide a $6,500 credit for buyers who have owned and lived in their current home for at least five of the past eight years.</w:t>
      </w:r>
    </w:p>
    <w:p>
      <w:pPr>
        <w:spacing w:after="0" w:line="7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addition, other steps taken by the U.S. government to relieve the current economic situation may have a positive effect on our sales of title insurance. Under the Obama administration’s Homeowner Affordability and Stability Plan, a $75 billion program, homeowners with a solid payment history on an existing mortgage owned by Fannie Mae or Freddie Mac, who would otherwise be unable to get a refinancing loan because of a loss in home value increasing their loan-to-value ratio above 80%, would be able to get a refinancing loan. The program provides the opportunity for up to 4 to 5 million homeowners who fit this description to refinance their loans.</w:t>
      </w:r>
    </w:p>
    <w:p>
      <w:pPr>
        <w:spacing w:after="0" w:line="7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On March 18, 2009, the Federal Reserve announced plans to provide greater support to mortgage lending and housing markets by buying up to $750 billion in mortgage-backed securities issued by agencies like Fannie Mae and Freddie Mac, bringing its total proposed purchases of these securities to a total of up to $1.25 trillion in 2009, and to increase its purchases of other agency debt in 2009 by up to $100 billion to a total of up to $200 billion. The Federal Reserve also announced that it will gradually slow the pace of its purchases of both agency debt and agency mortgage-backed securities, anticipating that these transactions will be executed by the end of the first quarter of 2010. Moreover, to help improve conditions in private credit markets, the Federal Reserve decided to purchase up to $300 billion of longer-term Treasury securities, which purchases were completed in October 2009.</w:t>
      </w:r>
    </w:p>
    <w:p>
      <w:pPr>
        <w:spacing w:after="0" w:line="5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 February 10, 2009, the Treasury Department introduced its Financial Stability Plan (“FSA”) that, together with the ARRA, is designed to restart the flow of credit, clean up and strengthen banks, and provide support to homeowners and small businesses. On March 23, 2009, as part of the FSA, the Treasury Department, together with the Federal Deposit Insurance Corporation (“FDIC”) and the Federal Reserve, unveiled the Public-Private Investment Program (“PPIP”) to remove many troubled assets from banks’ books, representing one of the largest efforts by the U.S. government so far to address the ongoing financial crisis. Using $75 to $100 billion in TARP capital, capital from private investors and the funds from loans from the Federal Reserve’s Term Asset Lending Facility (“TALF”), the PPIP is intended to generate $500 billion in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purchasing power to buy toxic assets backed by mortgages and other loans, with the potential to expand to $1 trillion over time. The government expected this program, consisting of the Legacy Loans Program and the Legacy Securities Program, to help cleanse the balance sheets of many of the nation’s largest banks and to help get credit flowing again. The Legacy Securities Program, designed to attract private capital to purchase eligible mortgage-backed and asset-backed securities through the provision of debt financing by the Federal Reserve under the TALF, was implemented in the summer of 2009. The Legacy Loans Program, designed to attract private capital to purchase eligible loans from participating banks through the provision of debt guarantees by the FDIC and equity co-investment by the Treasury Department, is being tested by the FDIC. Through the end of 2009, we are uncertain to what degree these programs have affected, or may in the future affect, our business.</w:t>
      </w:r>
    </w:p>
    <w:p>
      <w:pPr>
        <w:spacing w:after="0" w:line="72"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the fourth quarter of 2008, we began to make changes in certain aspects of our approach to handling claims. Key changes implemented include a greater effort to collect contributions from agents that bear responsibility for losses, more stringent enforcement of documentation requirements for proof of claims, a more efficient process for dealing with minor, technical claim matters, and a greater focus on hiring counsel with lower rates. Our claims paid, since this initiative, have declined. We have also continued, in 2009, a process of reducing our total number of agents, with a focus in part on cancelling agents that have higher claims ratios and/or low remittances. These measures are collectively designed to reduce our claims expenses. We have taken similar measures with respect to the LFG Underwriters we recently acquired.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revenues in future periods will continue to be subject to these and other factors which are beyond our control and, as a result, are likely to fluctuate.</w:t>
      </w:r>
    </w:p>
    <w:p>
      <w:pPr>
        <w:spacing w:after="0" w:line="96"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In October 2008, we announced our plans to begin the process of reviewing and increasing our title insurance rates across the country. Through January 2010, we have instituted revised rates that are now effective in 24 states, including California, for certain of our underwriters. The pricing increases have been generally in the range of 5-10%. Additional rate revisions are pending in a number of other states.</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Because commercial real estate transactions tend to be driven more by supply and demand for commercial space and occupancy rates in a particular area rather than by macroeconomic events, our commercial real estate title insurance business can generate revenues which are not dependent on the industry cycles discussed above. However, we have experienced a significant decrease in our commercial fee per file, which we believe is due, in part, to a decrease in the number of closings of larger deals that generally have a higher fee per file resulting from difficulties or delays in obtaining financing. In addition, we believe that many banks have significant commercial loans which are coming due and in danger of default which may further negatively impact the availability of financing to commercial transactions.</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In 2007 through 2009, we have seen a divergence from these historical trends. We believe tighter lending standards, including a significant reduction in the availability of mortgage lending, combined with rising default levels and a bearish outlook on the real estate environment have caused potential home buyers to be more reluctant to buy homes and apart from the first nine months of 2009, have generally suppressed refinance activity.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Specialty Insurance</w:t>
      </w:r>
    </w:p>
    <w:p>
      <w:pPr>
        <w:spacing w:after="0" w:line="96"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Our specialty insurance business participates in the NFIP. We earn fees under that program for settling flood claims and administering the program. We serve as administrator and processor in our flood insurance business, and bear none of the underwriting or claims risk. The U.S. federal government is guarantor of flood insurance coverage written under NFIP and bears the underwriting risk. Revenues from our flood insurance business are impacted by the volume and magnitude of claims processed as well as the volume and rates for policies written. For example, when a large number of claims are processed as a result of a natural disaster, such as a hurricane, we experience an increase in the fees that we receive for settling the claims.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Revenues from our personal lines insurance and home warranty businesses are impacted by the level of residential real estate purchase activity in the U.S. and the general state of the economy as well as our market share. Recently, revenues from our homeowners’ insurance business have decreased as a result of efforts to tighten our underwriting standards and eliminate unprofitable agents and territories, a strategy which we believe will benefit us in the long term.</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 more detailed description of the significant accounting policies that have been followed in preparing our Consolidated Financial Statements.</w:t>
      </w:r>
    </w:p>
    <w:p>
      <w:pPr>
        <w:spacing w:after="0" w:line="53"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Reserve for Claim Losses. </w:t>
      </w:r>
      <w:r>
        <w:rPr>
          <w:rFonts w:ascii="Arial" w:cs="Arial" w:eastAsia="Arial" w:hAnsi="Arial"/>
          <w:sz w:val="12"/>
          <w:szCs w:val="12"/>
          <w:color w:val="auto"/>
        </w:rPr>
        <w:t>Title companies issue two types of policies, owner’s and lender’s policies, since both the new owner and the lender in real estate transactions want to know</w:t>
      </w:r>
      <w:r>
        <w:rPr>
          <w:rFonts w:ascii="Arial" w:cs="Arial" w:eastAsia="Arial" w:hAnsi="Arial"/>
          <w:sz w:val="12"/>
          <w:szCs w:val="12"/>
          <w:i w:val="1"/>
          <w:iCs w:val="1"/>
          <w:color w:val="auto"/>
        </w:rPr>
        <w:t xml:space="preserve"> </w:t>
      </w:r>
      <w:r>
        <w:rPr>
          <w:rFonts w:ascii="Arial" w:cs="Arial" w:eastAsia="Arial" w:hAnsi="Arial"/>
          <w:sz w:val="12"/>
          <w:szCs w:val="12"/>
          <w:color w:val="auto"/>
        </w:rPr>
        <w:t>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from time to time, we do incur losses in excess of policy limits. While most non-title forms of insurance, including property and casualty, provide for the assumption of risk of loss arising out of unforeseen future events, title insurance serves to protect the policyholder from risk of loss from events that predate the issuance of the policy.</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our reserves for known claims and incurred but not reported claims related to title insurance.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7"/>
              </w:rPr>
              <w:t>As of</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As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400" w:type="dxa"/>
            <w:vAlign w:val="bottom"/>
            <w:vMerge w:val="restart"/>
          </w:tcPr>
          <w:p>
            <w:pPr>
              <w:jc w:val="right"/>
              <w:ind w:right="8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380" w:type="dxa"/>
            <w:vAlign w:val="bottom"/>
            <w:vMerge w:val="restart"/>
          </w:tcPr>
          <w:p>
            <w:pPr>
              <w:jc w:val="right"/>
              <w:ind w:right="7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PLR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358.5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IBNR</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2,130.3</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85.6%</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2,334.1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 Reserve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2,488.8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2,679.0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as well as the legal environment existing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59"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Our process for recording our reserves for claim losses begins with analysis of our loss provision rate. We forecast ultimate losses for each policy year based upon examination of historical policy year loss emergence (development) and adjustment of the emergence patterns to reflect policy year differences in the effects of various influences on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premiums. This loss provision rate is set to provide for losses on current year policies. We have been recording our loss provision at an average of 7.25% and 8.5% of premiums during 2009 and 2008, respectively. 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actuarial point estimate provided in the actuarial calculation.</w:t>
      </w:r>
    </w:p>
    <w:p>
      <w:pPr>
        <w:spacing w:after="0" w:line="74"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Due to the uncertainty inherent in the process and to the judgment used by both management and our actuary, our ultimate liability may be greater or less than our current reserves and/or our actuary’s calculation. If the recorded amount is within a reasonable range of the actuary’s point estimate, but not at the point estimate, we assess other factors in order to determine our best estimate. These factors, which are more qualitative than quantitative, can change from period to period, and include items such as current trends in the real estate industry (which we can assess, but for which there is a time lag in the development of the data used by our internal actuary), any adjustments from the actuarial estimates needed for the effects of unusually large or small claims, improvements in our claims management processes, improvements in our claims management processes, and other cost saving measures. If the recorded amount is not within a reasonable range of our internal actuary’s point estimate, we would record a charge or credit and reassess the loss provision rate on a go forward basis. We will continue to reassess the provision to be recorded in future periods consistent with this methodology.</w:t>
      </w:r>
    </w:p>
    <w:p>
      <w:pPr>
        <w:spacing w:after="0" w:line="58"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As of September 30, 2009, our recorded reserve for title insurance claims losses was $2.644 billion, $74.4 million higher than our internal actuary’s point estimate of $2.570 billion. As a result, at September 30, 2009, management determined that our initial recorded amount was outside of a reasonable range from our internal actuary’s point estimate and released $74.4 million of excess reserves in addition to recording our 7.0% provision for claims losses. This resulting balance of $2.570 billion in our title insurance claim loss reserve was in agreement with our actuary’s point estimate at September 30, 2009. The release of excess reserves during the quarter ended September 30, 2009, was due to analysis of our reserve position in light of consistently lower claim payments since the third quarter of 2008. As of December 31, 2009, our reserve for title claim losses was $2.5 billion, which we believe is adequate as of December 31, 2009.</w:t>
      </w:r>
    </w:p>
    <w:p>
      <w:pPr>
        <w:spacing w:after="0" w:line="72"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As of September 30, 2008, our initial recorded reserve for title insurance claim losses was $1.303 billion, $261.6 million lower than our internal actuary’s point estimate of</w:t>
      </w:r>
    </w:p>
    <w:p>
      <w:pPr>
        <w:spacing w:after="0" w:line="15"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$1.565 billion. As a result, at September 30, 2008, management determined that our initial recorded amount was outside of a reasonable range from our internal actuary’s estimate and we recorded a charge of $261.6 million in addition to our 8.5% provision for claim losses. This charge resulted in a balance of $1.565 billion in our title insurance claim loss reserve, which was in agreement with our actuary’s point estimate at September 30, 2008. The significant development during the quarter ended September 30, 2008, was due to changes in our actuarial model resulting, in part, from adverse claim loss development on prior policy years. Because of continued adverse reported and paid claim trends over the previous six quarters, our actuarial model in the third quarter of 2008 was modified to more heavily weight the three most recent full years’ data on loss experience and to incorporate that data into the assumptions and factors that determine ultimate expected loss experience for all prior calendar years. At December 31, 2008, our initial reserve for claim losses, excluding the reserve for claim losses included in the net assets that we purchased from LFG, was $1.563 billion, which was $16.1 million, or 1.0%, higher than our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internal actuary’s point estimate of $1.547 billion. We believe our recorded position was adequate as of December 31, 2008.</w:t>
      </w:r>
    </w:p>
    <w:p>
      <w:pPr>
        <w:spacing w:after="0" w:line="96"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color w:val="auto"/>
        </w:rPr>
        <w:t>In connection with the acquisition of the LFG Underwriters on December 22, 2008, we recorded a reserve for claim losses of $1,115.8 billion. The acquired reserves were computed by performing an actuarial analysis which utilized a process similar to FNF’s process described above and then applying an adjustment to the actuarial balance to record the acquired reserves at their estimated fair value as of December 31, 2008. The fair value adjustments were calculated by taking the estimated payment stream of the actuarial reserves and discounting them utilizing the U.S. Treasury Yield Curve. We then applied a discounted risk and profit load to the discounted reserves to estimate the fair value of the claim loss reserves at December 31,</w:t>
      </w:r>
    </w:p>
    <w:p>
      <w:pPr>
        <w:spacing w:after="0" w:line="2"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2008. During 2009 we completed our evaluation of the fair value of this claims reserve as of the acquisition date and reduced the balance by $3.1 million to reflect our best estimate and the results of third party evaluations of the fair value of the liability.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presents our title insurance loss development experience for the past three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2009</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ind w:left="4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2,679.0</w:t>
            </w:r>
          </w:p>
        </w:tc>
        <w:tc>
          <w:tcPr>
            <w:tcW w:w="1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1,354.1</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1,154.9</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Reserve assumed/(transferred)(a)</w:t>
            </w:r>
          </w:p>
        </w:tc>
        <w:tc>
          <w:tcPr>
            <w:tcW w:w="16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1,115.8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Claims loss provision related to:</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Current year</w:t>
            </w:r>
          </w:p>
        </w:tc>
        <w:tc>
          <w:tcPr>
            <w:tcW w:w="16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229.1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3"/>
                <w:szCs w:val="13"/>
                <w:color w:val="auto"/>
              </w:rPr>
              <w:t>285.1</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Prior years</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(85.2)</w:t>
            </w: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261.9</w:t>
            </w:r>
          </w:p>
        </w:tc>
        <w:tc>
          <w:tcPr>
            <w:tcW w:w="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217.2</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claims loss provision</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201.5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491.0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3"/>
                <w:szCs w:val="13"/>
                <w:color w:val="auto"/>
              </w:rPr>
              <w:t>502.3</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Claims paid, net of recoupments related to:</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Current year</w:t>
            </w:r>
          </w:p>
        </w:tc>
        <w:tc>
          <w:tcPr>
            <w:tcW w:w="16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3"/>
                <w:szCs w:val="13"/>
                <w:color w:val="auto"/>
              </w:rPr>
              <w:t>(12.9)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Prior years</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(378.9)</w:t>
            </w: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(269.0)</w:t>
            </w:r>
          </w:p>
        </w:tc>
        <w:tc>
          <w:tcPr>
            <w:tcW w:w="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(286.1)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claims paid, net of recoupments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(388.6)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3"/>
                <w:szCs w:val="13"/>
                <w:color w:val="auto"/>
              </w:rPr>
              <w:t>(281.9)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3"/>
                <w:szCs w:val="13"/>
                <w:color w:val="auto"/>
              </w:rPr>
              <w:t>(303.1)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2,488.8</w:t>
            </w:r>
          </w:p>
        </w:tc>
        <w:tc>
          <w:tcPr>
            <w:tcW w:w="3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2,679.0</w:t>
            </w: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1,354.1</w:t>
            </w:r>
          </w:p>
        </w:tc>
        <w:tc>
          <w:tcPr>
            <w:tcW w:w="0" w:type="dxa"/>
            <w:vAlign w:val="bottom"/>
          </w:tcPr>
          <w:p>
            <w:pPr>
              <w:spacing w:after="0"/>
              <w:rPr>
                <w:sz w:val="1"/>
                <w:szCs w:val="1"/>
                <w:color w:val="auto"/>
              </w:rPr>
            </w:pPr>
          </w:p>
        </w:tc>
      </w:tr>
      <w:tr>
        <w:trPr>
          <w:trHeight w:val="29"/>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Title premiums</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3,927.6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2,695.0</w:t>
            </w:r>
          </w:p>
        </w:tc>
        <w:tc>
          <w:tcPr>
            <w:tcW w:w="8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ind w:right="100"/>
              <w:spacing w:after="0"/>
              <w:rPr>
                <w:sz w:val="20"/>
                <w:szCs w:val="20"/>
                <w:color w:val="auto"/>
              </w:rPr>
            </w:pPr>
            <w:r>
              <w:rPr>
                <w:rFonts w:ascii="Arial" w:cs="Arial" w:eastAsia="Arial" w:hAnsi="Arial"/>
                <w:sz w:val="13"/>
                <w:szCs w:val="13"/>
                <w:color w:val="auto"/>
              </w:rPr>
              <w:t>3,800.5</w:t>
            </w:r>
          </w:p>
        </w:tc>
        <w:tc>
          <w:tcPr>
            <w:tcW w:w="0" w:type="dxa"/>
            <w:vAlign w:val="bottom"/>
          </w:tcPr>
          <w:p>
            <w:pPr>
              <w:spacing w:after="0"/>
              <w:rPr>
                <w:sz w:val="1"/>
                <w:szCs w:val="1"/>
                <w:color w:val="auto"/>
              </w:rPr>
            </w:pPr>
          </w:p>
        </w:tc>
      </w:tr>
      <w:tr>
        <w:trPr>
          <w:trHeight w:val="286"/>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3"/>
          </w:tcPr>
          <w:p>
            <w:pPr>
              <w:ind w:left="20"/>
              <w:spacing w:after="0"/>
              <w:rPr>
                <w:sz w:val="20"/>
                <w:szCs w:val="20"/>
                <w:color w:val="auto"/>
              </w:rPr>
            </w:pPr>
            <w:r>
              <w:rPr>
                <w:rFonts w:ascii="Arial" w:cs="Arial" w:eastAsia="Arial" w:hAnsi="Arial"/>
                <w:sz w:val="10"/>
                <w:szCs w:val="10"/>
                <w:b w:val="1"/>
                <w:bCs w:val="1"/>
                <w:color w:val="auto"/>
              </w:rPr>
              <w:t>2009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claim losses as a percentage of title insurance premiums: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Current year</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w w:val="87"/>
              </w:rPr>
              <w:t>7.3%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3"/>
                <w:szCs w:val="13"/>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Prior years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8"/>
              </w:rPr>
              <w:t>(2.2)%</w:t>
            </w: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provision</w:t>
            </w: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w w:val="87"/>
              </w:rPr>
              <w:t>5.1%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w w:val="86"/>
              </w:rPr>
              <w:t>18.2%</w:t>
            </w:r>
          </w:p>
        </w:tc>
        <w:tc>
          <w:tcPr>
            <w:tcW w:w="12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Reserves assumed relate to the purchase of the LFG Underwriters.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An approximate $39.3 million increase (decrease) in our annualized provision for title claim losses would occur if our loss provision rate were 1% higher (lower), based on 2009 title premiums of $3,927.6 million. A 5% increase (decrease) in our estimate of the reserve for claim losses would result in an increase (decrease) in our provision for title claim losses of approximately $196.4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our specialty insurance businesses, we had claims reserves of $52.6 million and $59.6 million as of December 31, 2009 and 2008.</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Valuation of Investments. </w:t>
      </w:r>
      <w:r>
        <w:rPr>
          <w:rFonts w:ascii="Arial" w:cs="Arial" w:eastAsia="Arial" w:hAnsi="Arial"/>
          <w:sz w:val="12"/>
          <w:szCs w:val="12"/>
          <w:color w:val="auto"/>
        </w:rPr>
        <w:t>We regularly review our investment portfolio for factors that may indicate that a decline in fair value of an investment is other-than-temporary. Some</w:t>
      </w:r>
      <w:r>
        <w:rPr>
          <w:rFonts w:ascii="Arial" w:cs="Arial" w:eastAsia="Arial" w:hAnsi="Arial"/>
          <w:sz w:val="12"/>
          <w:szCs w:val="12"/>
          <w:i w:val="1"/>
          <w:iCs w:val="1"/>
          <w:color w:val="auto"/>
        </w:rPr>
        <w:t xml:space="preserve"> </w:t>
      </w:r>
      <w:r>
        <w:rPr>
          <w:rFonts w:ascii="Arial" w:cs="Arial" w:eastAsia="Arial" w:hAnsi="Arial"/>
          <w:sz w:val="12"/>
          <w:szCs w:val="12"/>
          <w:color w:val="auto"/>
        </w:rPr>
        <w:t>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 (iii) the financial condition and prospects of the issuer. Such reviews</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0" w:lineRule="auto"/>
        <w:rPr>
          <w:sz w:val="20"/>
          <w:szCs w:val="20"/>
          <w:color w:val="auto"/>
        </w:rPr>
      </w:pPr>
      <w:r>
        <w:rPr>
          <w:rFonts w:ascii="Arial" w:cs="Arial" w:eastAsia="Arial" w:hAnsi="Arial"/>
          <w:sz w:val="12"/>
          <w:szCs w:val="12"/>
          <w:color w:val="auto"/>
        </w:rPr>
        <w:t>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Fixed maturity investments that have unrealized losses caused by interest rate movements are not at risk as we do not anticipate having the need or intent to sell prior to maturity. Unrealized losses on investments in equity securities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 considered in the other-than-temporary impairment analysis. We believe that our monitoring and analysis has allowed for the proper recognition of other-than-temporary impairments over the past three-year period. Any change in estimate in this area will have an impact on the results of operations of the period in which a charge is taken. Our investment portfolio exposure to sub-prime mortgage-backed securities is immaterial.</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2006, the FASB issued a standard on measuring fair value which defined fair value, established a framework for measuring fair value, and expanded required disclosures about fair value measurements by establishing a fair value hierarchy based on the quality of inputs used to measure fair value. The standard on fair value did not require any new fair value measurements, but applied under other accounting pronouncements that require or permit fair value measurements. In accordance with the requirements of the standard on fair value, we adopted the standard for financial assets and financial liabilities that are re-measured for fair value on a recurring basis as of January 1, 2008. The standard was adopted for nonfinancial assets and nonfinancial liabilities for which fair value measurements are determined on a non-recurring basis only when there is an indication of potential impairment, as of January 1, 2009, as required by the standard.</w:t>
      </w:r>
    </w:p>
    <w:p>
      <w:pPr>
        <w:spacing w:after="0" w:line="7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In accordance with the standard on fair value, our financial assets and liabilities that are recorded in the Consolidated Balance Sheets are categorized based on the inputs to the valuation techniques as follows:</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Financial assets and liabilities whose values are based on unadjusted quoted prices for identical assets or liabilities in an active market that we have the ability to</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access.</w:t>
      </w:r>
    </w:p>
    <w:p>
      <w:pPr>
        <w:spacing w:after="0" w:line="89" w:lineRule="exact"/>
        <w:rPr>
          <w:sz w:val="20"/>
          <w:szCs w:val="20"/>
          <w:color w:val="auto"/>
        </w:rPr>
      </w:pPr>
    </w:p>
    <w:p>
      <w:pPr>
        <w:ind w:left="1080" w:right="8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Financial assets and liabilities whose values are based on quoted prices in markets that are not active or model inputs that are observable either directly or indirectly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for substantially the full term of the asset or liability.</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Financial assets and liabilities whose values are based on model inputs that are unobservable.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our fair value hierarchy for those assets and liabilities measured at fair value on a recurring basis as of December 31, 2009 and 2008, respectively:</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0"/>
                <w:szCs w:val="10"/>
                <w:b w:val="1"/>
                <w:bCs w:val="1"/>
                <w:color w:val="auto"/>
                <w:w w:val="93"/>
              </w:rPr>
              <w:t>December 31, 2009</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4"/>
              </w:rPr>
              <w:t>Level 1</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Level 3</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left="398"/>
              <w:spacing w:after="0"/>
              <w:rPr>
                <w:sz w:val="20"/>
                <w:szCs w:val="20"/>
                <w:color w:val="auto"/>
              </w:rPr>
            </w:pPr>
            <w:r>
              <w:rPr>
                <w:rFonts w:ascii="Arial" w:cs="Arial" w:eastAsia="Arial" w:hAnsi="Arial"/>
                <w:sz w:val="10"/>
                <w:szCs w:val="10"/>
                <w:b w:val="1"/>
                <w:bCs w:val="1"/>
                <w:color w:val="auto"/>
                <w:w w:val="99"/>
              </w:rPr>
              <w:t>(In millions)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Fixed-maturity securities available for sale:</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U.S. government and agencies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409.2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409.2</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political subdivisions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1,339.4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1,339.4</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1,379.1</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1,379.1</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government bonds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Mortgage-backed/asset-backed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312.5</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312.5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fixed-maturity</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Equity securities available for sale</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92.5</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investments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92.</w:t>
            </w:r>
            <w:r>
              <w:rPr>
                <w:rFonts w:ascii="Arial" w:cs="Arial" w:eastAsia="Arial" w:hAnsi="Arial"/>
                <w:sz w:val="13"/>
                <w:szCs w:val="13"/>
                <w:u w:val="single" w:color="auto"/>
                <w:color w:val="auto"/>
              </w:rPr>
              <w:t>5</w:t>
            </w:r>
          </w:p>
        </w:tc>
        <w:tc>
          <w:tcPr>
            <w:tcW w:w="4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3,479.</w:t>
            </w:r>
            <w:r>
              <w:rPr>
                <w:rFonts w:ascii="Arial" w:cs="Arial" w:eastAsia="Arial" w:hAnsi="Arial"/>
                <w:sz w:val="13"/>
                <w:szCs w:val="13"/>
                <w:u w:val="single" w:color="auto"/>
                <w:color w:val="auto"/>
              </w:rPr>
              <w:t>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123.9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3,695.</w:t>
            </w:r>
            <w:r>
              <w:rPr>
                <w:rFonts w:ascii="Arial" w:cs="Arial" w:eastAsia="Arial" w:hAnsi="Arial"/>
                <w:sz w:val="13"/>
                <w:szCs w:val="13"/>
                <w:u w:val="single" w:color="auto"/>
                <w:color w:val="auto"/>
              </w:rPr>
              <w:t>4</w:t>
            </w:r>
          </w:p>
        </w:tc>
        <w:tc>
          <w:tcPr>
            <w:tcW w:w="0" w:type="dxa"/>
            <w:vAlign w:val="bottom"/>
          </w:tcPr>
          <w:p>
            <w:pPr>
              <w:spacing w:after="0"/>
              <w:rPr>
                <w:sz w:val="1"/>
                <w:szCs w:val="1"/>
                <w:color w:val="auto"/>
              </w:rPr>
            </w:pPr>
          </w:p>
        </w:tc>
      </w:tr>
      <w:tr>
        <w:trPr>
          <w:trHeight w:val="295"/>
        </w:trPr>
        <w:tc>
          <w:tcPr>
            <w:tcW w:w="63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gridSpan w:val="5"/>
          </w:tcPr>
          <w:p>
            <w:pPr>
              <w:jc w:val="center"/>
              <w:ind w:right="360"/>
              <w:spacing w:after="0"/>
              <w:rPr>
                <w:sz w:val="20"/>
                <w:szCs w:val="20"/>
                <w:color w:val="auto"/>
              </w:rPr>
            </w:pPr>
            <w:r>
              <w:rPr>
                <w:rFonts w:ascii="Arial" w:cs="Arial" w:eastAsia="Arial" w:hAnsi="Arial"/>
                <w:sz w:val="10"/>
                <w:szCs w:val="10"/>
                <w:b w:val="1"/>
                <w:bCs w:val="1"/>
                <w:color w:val="auto"/>
                <w:w w:val="93"/>
              </w:rPr>
              <w:t>December 31, 2008</w:t>
            </w: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4"/>
              </w:rPr>
              <w:t>Level 1</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Level 3</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left="398"/>
              <w:spacing w:after="0"/>
              <w:rPr>
                <w:sz w:val="20"/>
                <w:szCs w:val="20"/>
                <w:color w:val="auto"/>
              </w:rPr>
            </w:pPr>
            <w:r>
              <w:rPr>
                <w:rFonts w:ascii="Arial" w:cs="Arial" w:eastAsia="Arial" w:hAnsi="Arial"/>
                <w:sz w:val="10"/>
                <w:szCs w:val="10"/>
                <w:b w:val="1"/>
                <w:bCs w:val="1"/>
                <w:color w:val="auto"/>
                <w:w w:val="99"/>
              </w:rPr>
              <w:t>(In millions)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Fixed-maturity securities available for sale:</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U.S. government and agencies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558.7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558.7</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political subdivisions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1,049.1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1,049.1</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875.0</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government bonds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Mortgage-backed/asset-backed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293.2</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293.2</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fixed-maturity</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Equity securities available for sale</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r>
              <w:rPr>
                <w:rFonts w:ascii="Arial" w:cs="Arial" w:eastAsia="Arial" w:hAnsi="Arial"/>
                <w:sz w:val="13"/>
                <w:szCs w:val="13"/>
                <w:u w:val="single" w:color="auto"/>
                <w:color w:val="auto"/>
              </w:rPr>
              <w:t>5</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2,821.</w:t>
            </w:r>
            <w:r>
              <w:rPr>
                <w:rFonts w:ascii="Arial" w:cs="Arial" w:eastAsia="Arial" w:hAnsi="Arial"/>
                <w:sz w:val="13"/>
                <w:szCs w:val="13"/>
                <w:u w:val="single" w:color="auto"/>
                <w:color w:val="auto"/>
              </w:rPr>
              <w:t>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r>
              <w:rPr>
                <w:rFonts w:ascii="Arial" w:cs="Arial" w:eastAsia="Arial" w:hAnsi="Arial"/>
                <w:sz w:val="13"/>
                <w:szCs w:val="13"/>
                <w:u w:val="single" w:color="auto"/>
                <w:color w:val="auto"/>
              </w:rPr>
              <w:t>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2,925.</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Level 2 fair value measures for fixed-maturities available for sale are provided by third-party pricing services. We utilize one firm for our taxable bond portfolio and another for our municipal bond portfolio. These pricing services are leading global providers of financial market data, analytics and related services to financial institutions. We only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believe that these investments are in actively traded markets. We review the pricing methodologies for all of our Level 2 securities to ensure that we are comfortable with them and compare the resulting prices to other publicly available measures of fair value.</w:t>
      </w:r>
    </w:p>
    <w:p>
      <w:pPr>
        <w:spacing w:after="0" w:line="72"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investments classified as Level 3 consist of auction rate securities which were included in the assets of the LFG Underwriters that were acquired on December 22, 2008, and structured notes that we purchased in the third quarter of 2009. There is no active market for the auction rate securities and they are valued using models with significant non-observable inputs. Fair values for these securities are provided by a third-party pricing service using a proprietary valuation model which considers factors such as time to maturity, interest rates, credit-worthiness of the issuer, trading characteristics, and available market data for similar securities. These securities represent less than one percent of our total investment portfolio. The structured notes are classified as other long-term investments and are measured in their entirety at fair value with changes in fair value recognized in earnings. The fair value of these instruments represents exit prices obtained from a broker-dealer. These exit prices are the product of a proprietary valuation model utilized by the trading desk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broker-dealer and contain assumptions relating to volatility, the level of interest rates, and the underlying value of the indexes, exchange-traded funds, and foreign currencies. The structured notes represent less than two percent of our total investment portfolio.</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During 2009, 2008, and 2007, we recorded other-than-temporary impairments totaling $6.9 million, $59.0 million, and $3.1 million, respectively. Impairment charges in 2009 related to equity securities that were deemed other-than-temporarily impaired. Impairment charges in 2008 included $25.4 million related to our fixed maturity securities, $30.1 million related to our equity securities, and $3.5 million related to other investments that were deemed other-than-temporarily impaired. The impairment charges relating to the fixed maturity securities were primarily the result of our conclusion that the credit risk relating to the holdings was too high to not impair the assets and record the loss through earnings. The impairment charges relating to the equity securities were primarily the result of the duration of the unrealized loss and inability to predict the time to recover if the investment continued to be held.</w:t>
      </w:r>
    </w:p>
    <w:p>
      <w:pPr>
        <w:spacing w:after="0" w:line="55" w:lineRule="exact"/>
        <w:rPr>
          <w:sz w:val="20"/>
          <w:szCs w:val="20"/>
          <w:color w:val="auto"/>
        </w:rPr>
      </w:pPr>
    </w:p>
    <w:p>
      <w:pPr>
        <w:ind w:left="680" w:right="120" w:firstLine="399"/>
        <w:spacing w:after="0" w:line="277" w:lineRule="auto"/>
        <w:rPr>
          <w:sz w:val="20"/>
          <w:szCs w:val="20"/>
          <w:color w:val="auto"/>
        </w:rPr>
      </w:pPr>
      <w:r>
        <w:rPr>
          <w:rFonts w:ascii="Arial" w:cs="Arial" w:eastAsia="Arial" w:hAnsi="Arial"/>
          <w:sz w:val="12"/>
          <w:szCs w:val="12"/>
          <w:i w:val="1"/>
          <w:iCs w:val="1"/>
          <w:color w:val="auto"/>
        </w:rPr>
        <w:t xml:space="preserve">Goodwill. </w:t>
      </w:r>
      <w:r>
        <w:rPr>
          <w:rFonts w:ascii="Arial" w:cs="Arial" w:eastAsia="Arial" w:hAnsi="Arial"/>
          <w:sz w:val="12"/>
          <w:szCs w:val="12"/>
          <w:color w:val="auto"/>
        </w:rPr>
        <w:t>We have made acquisitions in the past that have resulted in a significant amount of goodwill. As of December 31, 2009 and 2008, goodwill aggregated $1,455.2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and $1,581.7 million, respectively. The majority of our goodwill as of December 31, 2009 and 2008 relates to goodwill recorded in connection with the Chicago Title merger in 2000. The decrease of $126.5 million for the year ended December 31, 2009, relates primarily to fair value adjustments to the goodwill acquired in the acquisition of the LFG Underwriters and the disposal of FN Capital and FNRES during the year. The process of determining whether or not an asset, such as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In evaluating the recoverability of goodwill, we perform an annual goodwill impairment test based on an analysis of the discounted future cash flows generated by the underlying assets. We have completed our annual goodwill impairment tests in each of the past three years and as a result, no impairment charges were recorded to goodwill in 2009, 2008, or 2007. As of December 31, 2009, we have determined that we have a fair value which substantially exceeds our carrying value.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w:t>
      </w:r>
    </w:p>
    <w:p>
      <w:pPr>
        <w:spacing w:after="0" w:line="65"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i w:val="1"/>
          <w:iCs w:val="1"/>
          <w:color w:val="auto"/>
        </w:rPr>
        <w:t xml:space="preserve">Other Intangible Assets. </w:t>
      </w:r>
      <w:r>
        <w:rPr>
          <w:rFonts w:ascii="Arial" w:cs="Arial" w:eastAsia="Arial" w:hAnsi="Arial"/>
          <w:sz w:val="11"/>
          <w:szCs w:val="11"/>
          <w:color w:val="auto"/>
        </w:rPr>
        <w:t>We have significant intangible assets that were acquired through business acquisitions. These assets consist of purchased customer relationships, contracts,</w:t>
      </w:r>
      <w:r>
        <w:rPr>
          <w:rFonts w:ascii="Arial" w:cs="Arial" w:eastAsia="Arial" w:hAnsi="Arial"/>
          <w:sz w:val="11"/>
          <w:szCs w:val="11"/>
          <w:i w:val="1"/>
          <w:iCs w:val="1"/>
          <w:color w:val="auto"/>
        </w:rPr>
        <w:t xml:space="preserve"> </w:t>
      </w:r>
      <w:r>
        <w:rPr>
          <w:rFonts w:ascii="Arial" w:cs="Arial" w:eastAsia="Arial" w:hAnsi="Arial"/>
          <w:sz w:val="11"/>
          <w:szCs w:val="11"/>
          <w:color w:val="auto"/>
        </w:rPr>
        <w:t>and the excess of purchase price over the fair value of identifiable net assets acquired (goodwill), discussed above. The determination of estimated useful lives and the allocation of the purchase price to the fair values of the intangible assets requires significant judgment and may affect the amount of future amortization on intangible assets other than goodwill.</w:t>
      </w:r>
    </w:p>
    <w:p>
      <w:pPr>
        <w:spacing w:after="0" w:line="32"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valuation of intangible assets such as software, purchased customer relationships and contracts involves significant estimates and assumptions concerning matters such as customer retention, future cash flows and discount rates. If any of these assumptions change, it could affect the carrying value of these assets. Purchased customer relationships are amortized over their estimated useful lives using an accelerated method which takes into consideration expected customer attrition rates over a ten-year period. Contractual relationships are generally amortized using the straight-line method over their contractual life. In 2008 we determined that the carrying value of certain of our intangible assets may not be recoverable and recorded an impairment charge of $4.0 million relating to the write-off of these assets. These impairments were recorded as other operating expense in our Consolidated Statement of Operations. There were no impairment charges recorded relating to intangible assets during 2009 or 2007.</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The following describes our revenue recognition policies as they pertain to each of our segments: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Fidelity National Title Group. </w:t>
      </w:r>
      <w:r>
        <w:rPr>
          <w:rFonts w:ascii="Arial" w:cs="Arial" w:eastAsia="Arial" w:hAnsi="Arial"/>
          <w:sz w:val="12"/>
          <w:szCs w:val="12"/>
          <w:color w:val="auto"/>
        </w:rPr>
        <w:t>Our direct title insurance premiums and escrow, title-related and other fees are recognized as revenue at the time of closing of the related transaction as</w:t>
      </w:r>
      <w:r>
        <w:rPr>
          <w:rFonts w:ascii="Arial" w:cs="Arial" w:eastAsia="Arial" w:hAnsi="Arial"/>
          <w:sz w:val="12"/>
          <w:szCs w:val="12"/>
          <w:i w:val="1"/>
          <w:iCs w:val="1"/>
          <w:color w:val="auto"/>
        </w:rPr>
        <w:t xml:space="preserve"> </w:t>
      </w:r>
      <w:r>
        <w:rPr>
          <w:rFonts w:ascii="Arial" w:cs="Arial" w:eastAsia="Arial" w:hAnsi="Arial"/>
          <w:sz w:val="12"/>
          <w:szCs w:val="12"/>
          <w:color w:val="auto"/>
        </w:rPr>
        <w:t>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the second half of 2008, we re-evaluated and refined the method that we use to estimate this accrual, which resulted in a reduction in 2008 revenue from agency title insurance premiums of $138.5 million compared to the revenues that would have been accrued under our prior method. The impact of this adjustment was a decrease of $11.8 million in 2008 pre-tax earnings and $7.6 million in 2008 net income, or approximately $0.04 per share, compared to the amounts that would have been recorded under our prior method. We believe that this adjustment is properly reflected as a change in accounting estimate in 2008. We may have changes in our accrual for agency revenue in the future if additional relevant information becomes available.</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Specialty Insurance Segment. </w:t>
      </w:r>
      <w:r>
        <w:rPr>
          <w:rFonts w:ascii="Arial" w:cs="Arial" w:eastAsia="Arial" w:hAnsi="Arial"/>
          <w:sz w:val="13"/>
          <w:szCs w:val="13"/>
          <w:color w:val="auto"/>
        </w:rPr>
        <w:t>Revenues from home warranty and personal lines insurance policies are recognized over the life of the policy, which is one year. The unrecognized</w:t>
      </w:r>
      <w:r>
        <w:rPr>
          <w:rFonts w:ascii="Arial" w:cs="Arial" w:eastAsia="Arial" w:hAnsi="Arial"/>
          <w:sz w:val="13"/>
          <w:szCs w:val="13"/>
          <w:i w:val="1"/>
          <w:iCs w:val="1"/>
          <w:color w:val="auto"/>
        </w:rPr>
        <w:t xml:space="preserve"> </w:t>
      </w:r>
      <w:r>
        <w:rPr>
          <w:rFonts w:ascii="Arial" w:cs="Arial" w:eastAsia="Arial" w:hAnsi="Arial"/>
          <w:sz w:val="13"/>
          <w:szCs w:val="13"/>
          <w:color w:val="auto"/>
        </w:rPr>
        <w:t>portion is recorded as deferred revenue. Revenues and commissions related to the sale of flood insurance are recognized when the policy is reported.</w:t>
      </w:r>
    </w:p>
    <w:p>
      <w:pPr>
        <w:spacing w:after="0" w:line="59"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i w:val="1"/>
          <w:iCs w:val="1"/>
          <w:color w:val="auto"/>
        </w:rPr>
        <w:t xml:space="preserve">Accounting for Income Taxes. </w:t>
      </w:r>
      <w:r>
        <w:rPr>
          <w:rFonts w:ascii="Arial" w:cs="Arial" w:eastAsia="Arial" w:hAnsi="Arial"/>
          <w:sz w:val="11"/>
          <w:szCs w:val="11"/>
          <w:color w:val="auto"/>
        </w:rPr>
        <w:t>As part of the process of preparing the consolidated financial statements, we are required to determine income taxes in each of the jurisdictions in</w:t>
      </w:r>
      <w:r>
        <w:rPr>
          <w:rFonts w:ascii="Arial" w:cs="Arial" w:eastAsia="Arial" w:hAnsi="Arial"/>
          <w:sz w:val="11"/>
          <w:szCs w:val="11"/>
          <w:i w:val="1"/>
          <w:iCs w:val="1"/>
          <w:color w:val="auto"/>
        </w:rPr>
        <w:t xml:space="preserve"> </w:t>
      </w:r>
      <w:r>
        <w:rPr>
          <w:rFonts w:ascii="Arial" w:cs="Arial" w:eastAsia="Arial" w:hAnsi="Arial"/>
          <w:sz w:val="11"/>
          <w:szCs w:val="11"/>
          <w:color w:val="auto"/>
        </w:rPr>
        <w:t>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income tax expense in the Consolidated Statement of Operations. Determination of the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However,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Factors Affecting Comparability</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Year ended December 31, 2009. </w:t>
      </w:r>
      <w:r>
        <w:rPr>
          <w:rFonts w:ascii="Arial" w:cs="Arial" w:eastAsia="Arial" w:hAnsi="Arial"/>
          <w:sz w:val="12"/>
          <w:szCs w:val="12"/>
          <w:color w:val="auto"/>
        </w:rPr>
        <w:t>For the year ending December 31, 2009, our Consolidated Statement of Operations includes the results of the LFG Underwriters, acquired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22, 2008 (see note B of the Notes to Consolidated Financial Statements). As a result of favorable claim loss development on our prior policy years, we released excess reserves of $74.4 million, or $47.1 million net of income taxes, to our provision for claim losses. In addition, we recorded an average 7.25% provision for claims losses. Also, as a result of recent court rulings, we reversed an insurance receivable by $63.2 million, or $40.0 million, net of income taxes, as an increase to our provision for claim losses.</w:t>
      </w:r>
    </w:p>
    <w:p>
      <w:pPr>
        <w:spacing w:after="0" w:line="5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Year ended December 31, 2008. </w:t>
      </w:r>
      <w:r>
        <w:rPr>
          <w:rFonts w:ascii="Arial" w:cs="Arial" w:eastAsia="Arial" w:hAnsi="Arial"/>
          <w:sz w:val="13"/>
          <w:szCs w:val="13"/>
          <w:color w:val="auto"/>
        </w:rPr>
        <w:t>As a result of a change in our actuarial model resulting, in part, from adverse claim loss development on prior policy years, we recorded a charge in</w:t>
      </w:r>
      <w:r>
        <w:rPr>
          <w:rFonts w:ascii="Arial" w:cs="Arial" w:eastAsia="Arial" w:hAnsi="Arial"/>
          <w:sz w:val="13"/>
          <w:szCs w:val="13"/>
          <w:i w:val="1"/>
          <w:iCs w:val="1"/>
          <w:color w:val="auto"/>
        </w:rPr>
        <w:t xml:space="preserve"> </w:t>
      </w:r>
      <w:r>
        <w:rPr>
          <w:rFonts w:ascii="Arial" w:cs="Arial" w:eastAsia="Arial" w:hAnsi="Arial"/>
          <w:sz w:val="13"/>
          <w:szCs w:val="13"/>
          <w:color w:val="auto"/>
        </w:rPr>
        <w:t>2008 of $261.6 million, 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$157.0 million net of income taxes, to our provision for claim losses. This charge was recorded in addition to our 8.5% provision for claim losses.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Year ended December 31, 2007. </w:t>
      </w:r>
      <w:r>
        <w:rPr>
          <w:rFonts w:ascii="Arial" w:cs="Arial" w:eastAsia="Arial" w:hAnsi="Arial"/>
          <w:sz w:val="13"/>
          <w:szCs w:val="13"/>
          <w:color w:val="auto"/>
        </w:rPr>
        <w:t>As a result of adverse claim loss development on prior policy years, we recorded charges in 2007 totaling $217.2 million, or $159.5 million net of</w:t>
      </w:r>
      <w:r>
        <w:rPr>
          <w:rFonts w:ascii="Arial" w:cs="Arial" w:eastAsia="Arial" w:hAnsi="Arial"/>
          <w:sz w:val="13"/>
          <w:szCs w:val="13"/>
          <w:i w:val="1"/>
          <w:iCs w:val="1"/>
          <w:color w:val="auto"/>
        </w:rPr>
        <w:t xml:space="preserve"> </w:t>
      </w:r>
      <w:r>
        <w:rPr>
          <w:rFonts w:ascii="Arial" w:cs="Arial" w:eastAsia="Arial" w:hAnsi="Arial"/>
          <w:sz w:val="13"/>
          <w:szCs w:val="13"/>
          <w:color w:val="auto"/>
        </w:rPr>
        <w:t>income taxes, to our provision for claim losses. These charges were recorded in addition to our 7.5% provision for claim losses.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Results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Net earnings (loss). </w:t>
      </w:r>
      <w:r>
        <w:rPr>
          <w:rFonts w:ascii="Arial" w:cs="Arial" w:eastAsia="Arial" w:hAnsi="Arial"/>
          <w:sz w:val="13"/>
          <w:szCs w:val="13"/>
          <w:color w:val="auto"/>
        </w:rPr>
        <w:t>The following table presents certain financial data for the years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w w:val="94"/>
              </w:rPr>
              <w:t>(Dollars in millions)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Direct title insurance premiums</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1,475.3</w:t>
            </w:r>
          </w:p>
        </w:tc>
        <w:tc>
          <w:tcPr>
            <w:tcW w:w="4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1,140.3</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1,601.8</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Agency title insurance premiums</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2,452.3</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1,554.7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2,198.7</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Escrow, title-related and other fees</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1,352.9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1,071.3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1,076.0</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Specialty insurance</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366.0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386.4</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Interest and investment income</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154.5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134.0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184.2</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Realized gains and losses, net</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80"/>
              <w:spacing w:after="0"/>
              <w:rPr>
                <w:sz w:val="20"/>
                <w:szCs w:val="20"/>
                <w:color w:val="auto"/>
              </w:rPr>
            </w:pPr>
            <w:r>
              <w:rPr>
                <w:rFonts w:ascii="Arial" w:cs="Arial" w:eastAsia="Arial" w:hAnsi="Arial"/>
                <w:sz w:val="13"/>
                <w:szCs w:val="13"/>
                <w:color w:val="auto"/>
              </w:rPr>
              <w:t>Total revenue</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5,828.4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4,251.2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5,465.6</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Personnel costs</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1,649.8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1,322.0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1,668.6</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operating expenses</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1,343.5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1,179.8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1,078.8</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Agent commissions</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1,951.7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1,218.0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1,698.2</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109.2</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122.1</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127.9</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Provision for claim losses</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392.6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630.4</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58.6</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80"/>
              <w:spacing w:after="0"/>
              <w:rPr>
                <w:sz w:val="20"/>
                <w:szCs w:val="20"/>
                <w:color w:val="auto"/>
              </w:rPr>
            </w:pPr>
            <w:r>
              <w:rPr>
                <w:rFonts w:ascii="Arial" w:cs="Arial" w:eastAsia="Arial" w:hAnsi="Arial"/>
                <w:sz w:val="13"/>
                <w:szCs w:val="13"/>
                <w:color w:val="auto"/>
              </w:rPr>
              <w:t>Total expenses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5,483.5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4,530.9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5,280.3</w:t>
            </w:r>
          </w:p>
        </w:tc>
        <w:tc>
          <w:tcPr>
            <w:tcW w:w="0" w:type="dxa"/>
            <w:vAlign w:val="bottom"/>
          </w:tcPr>
          <w:p>
            <w:pPr>
              <w:spacing w:after="0"/>
              <w:rPr>
                <w:sz w:val="1"/>
                <w:szCs w:val="1"/>
                <w:color w:val="auto"/>
              </w:rPr>
            </w:pPr>
          </w:p>
        </w:tc>
      </w:tr>
      <w:tr>
        <w:trPr>
          <w:trHeight w:val="148"/>
        </w:trPr>
        <w:tc>
          <w:tcPr>
            <w:tcW w:w="6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Earnings (loss) from continuing operations before income taxes and equity in earnings (loss) of unconsolidated</w:t>
            </w: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affiliates</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344.9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(279.7)</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106.8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(119.9)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Equity in (loss) earnings of unconsolidated affiliates</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Net earnings (loss) from continuing operations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226.4</w:t>
            </w:r>
          </w:p>
        </w:tc>
        <w:tc>
          <w:tcPr>
            <w:tcW w:w="4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(173.2)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135.8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Orders opened by direct title operations</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2,611,400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1,860,400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2,259,800</w:t>
            </w:r>
          </w:p>
        </w:tc>
        <w:tc>
          <w:tcPr>
            <w:tcW w:w="0" w:type="dxa"/>
            <w:vAlign w:val="bottom"/>
          </w:tcPr>
          <w:p>
            <w:pPr>
              <w:spacing w:after="0"/>
              <w:rPr>
                <w:sz w:val="1"/>
                <w:szCs w:val="1"/>
                <w:color w:val="auto"/>
              </w:rPr>
            </w:pPr>
          </w:p>
        </w:tc>
      </w:tr>
      <w:tr>
        <w:trPr>
          <w:trHeight w:val="165"/>
        </w:trPr>
        <w:tc>
          <w:tcPr>
            <w:tcW w:w="6400" w:type="dxa"/>
            <w:vAlign w:val="bottom"/>
          </w:tcPr>
          <w:p>
            <w:pPr>
              <w:spacing w:after="0"/>
              <w:rPr>
                <w:sz w:val="20"/>
                <w:szCs w:val="20"/>
                <w:color w:val="auto"/>
              </w:rPr>
            </w:pPr>
            <w:r>
              <w:rPr>
                <w:rFonts w:ascii="Arial" w:cs="Arial" w:eastAsia="Arial" w:hAnsi="Arial"/>
                <w:sz w:val="13"/>
                <w:szCs w:val="13"/>
                <w:color w:val="auto"/>
              </w:rPr>
              <w:t>Orders closed by direct title operations</w:t>
            </w: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1,792,000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1,121,200</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1,434,800</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Total revenue in 2009 increased $1,577.2 million compared to 2008, reflecting increases in the Fidelity National Title Group and corporate and other segments, partially offset by a decrease in the specialty insurance segment. Total revenue in 2008 decreased $1,214.4 million compared to 2007, reflecting decreases across all business segments.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percentages of title insurance premiums generated by our direct and agency operations: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2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0"/>
              <w:spacing w:after="0" w:line="98"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2"/>
              <w:spacing w:after="0" w:line="98"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780" w:type="dxa"/>
            <w:vAlign w:val="bottom"/>
            <w:gridSpan w:val="2"/>
          </w:tcPr>
          <w:p>
            <w:pPr>
              <w:jc w:val="right"/>
              <w:ind w:right="178"/>
              <w:spacing w:after="0"/>
              <w:rPr>
                <w:sz w:val="20"/>
                <w:szCs w:val="20"/>
                <w:color w:val="auto"/>
              </w:rPr>
            </w:pPr>
            <w:r>
              <w:rPr>
                <w:rFonts w:ascii="Arial" w:cs="Arial" w:eastAsia="Arial" w:hAnsi="Arial"/>
                <w:sz w:val="10"/>
                <w:szCs w:val="10"/>
                <w:b w:val="1"/>
                <w:bCs w:val="1"/>
                <w:color w:val="auto"/>
                <w:w w:val="98"/>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Direct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1,475.3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1,140.3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42.1%</w:t>
            </w: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Agency</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2,452.3</w:t>
            </w:r>
          </w:p>
        </w:tc>
        <w:tc>
          <w:tcPr>
            <w:tcW w:w="38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1,554.7</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57.7</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2,198.7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57.9</w:t>
            </w:r>
          </w:p>
        </w:tc>
      </w:tr>
      <w:tr>
        <w:trPr>
          <w:trHeight w:val="20"/>
        </w:trPr>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title insurance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3,927.6</w:t>
            </w:r>
          </w:p>
        </w:tc>
        <w:tc>
          <w:tcPr>
            <w:tcW w:w="3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2,695.0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2009, the proportion of agency premiums to direct premiums increased, with agency premiums comprising 62.4% of total premiums in 2009, compared with 57.7% in 2008. The mix of agency premiums as a percentage of total title insurance premiums increased in 2009 due to the acquisition of the LFG Underwriters in December 2008, which historically had a higher percentage of agency business. In 2008 and 2007, our mix of direct and agency title premiums stayed relatively consistent, with agency premiums comprising 57.7% of total premiums in 2008, compared with 57.9% in 2007.</w:t>
      </w:r>
    </w:p>
    <w:p>
      <w:pPr>
        <w:spacing w:after="0" w:line="70" w:lineRule="exact"/>
        <w:rPr>
          <w:sz w:val="20"/>
          <w:szCs w:val="20"/>
          <w:color w:val="auto"/>
        </w:rPr>
      </w:pPr>
    </w:p>
    <w:p>
      <w:pPr>
        <w:ind w:left="680" w:right="220" w:firstLine="399"/>
        <w:spacing w:after="0" w:line="301" w:lineRule="auto"/>
        <w:rPr>
          <w:sz w:val="20"/>
          <w:szCs w:val="20"/>
          <w:color w:val="auto"/>
        </w:rPr>
      </w:pPr>
      <w:r>
        <w:rPr>
          <w:rFonts w:ascii="Arial" w:cs="Arial" w:eastAsia="Arial" w:hAnsi="Arial"/>
          <w:sz w:val="11"/>
          <w:szCs w:val="11"/>
          <w:color w:val="auto"/>
        </w:rPr>
        <w:t>The increase in title premiums from direct operations in 2009 compared to 2008 was due to our acquisition of the LFG Underwriters and increases in closed order volumes, which were partially offset by decreases in average fee per file. Excluding the operations of the LFG Underwriters in 2009, direct title premiums increased $78.1 million, or 6.8%, in 2009 compared to 2008. Direct title premiums decreased $461.5 million, or 28.8%, in 2008 compared to 2007. The decreased level of direct title premiums in 2008 is the result of decreases in closed order volumes and fee per file. Excluding the operations of LFG Underwriters in 2009, closed order volumes in our direct operations were approximately 1,507,800 in 2009,</w:t>
      </w:r>
    </w:p>
    <w:p>
      <w:pPr>
        <w:spacing w:after="0" w:line="2" w:lineRule="exact"/>
        <w:rPr>
          <w:sz w:val="20"/>
          <w:szCs w:val="20"/>
          <w:color w:val="auto"/>
        </w:rPr>
      </w:pPr>
    </w:p>
    <w:p>
      <w:pPr>
        <w:ind w:left="680" w:right="20"/>
        <w:spacing w:after="0" w:line="303" w:lineRule="auto"/>
        <w:rPr>
          <w:sz w:val="20"/>
          <w:szCs w:val="20"/>
          <w:color w:val="auto"/>
        </w:rPr>
      </w:pPr>
      <w:r>
        <w:rPr>
          <w:rFonts w:ascii="Arial" w:cs="Arial" w:eastAsia="Arial" w:hAnsi="Arial"/>
          <w:sz w:val="11"/>
          <w:szCs w:val="11"/>
          <w:color w:val="auto"/>
        </w:rPr>
        <w:t>1,121,200 in 2008, and 1,434,800 in 2007. Increases in 2009 reflect increases in refinance transactions as mortgage rates remained at historic lows during the year. Mortgage interest rates in 2009 were significantly lower than in 2008 due to the introduction of government programs designed to provide liquidity to the home mortgage market. Decreases in 2008 reflect declines in the purchase and refinance markets, which were partially offset by some strengthening in the refinance market very close to the end of 2008. These declines can be attributed to the lack of liquidity in the mortgage market as mortgage default levels continued to increase, and to falling home prices, which caused potential buyers to defer purchase decisions. Average mortgage interest rates in the year ended December 31, 2008, were slightly lower than rates in the year ended December 31, 2007 and decreased substantially at the end of 2008 as the government introduced programs intended to increase liquidity in the mortgage markets. In September 2007, the Federal Reserve began decreasing interest rates to infuse money into the economy, decreasing rates by a total of 100 basis points during 2007. During 2008, the Federal Reserve continued to decrease the federal funds rate by a total of 425 basis points. The federal funds rate is now 0.0%-0.25% compared to 4.25% in December 2007. The average fee per file in our direct operations, excluding the operations of the LFG Underwriters in 2009, was $1,236, $1,503, and $1,635 for the years ended December 31, 2009, 2008, and 2007, respectively. The decreases in 2009 and 2008 reflect a decline in home values, a slow commercial market, and an increase in refinance transactions relative to purchase transactions. The fee per file tends to change as the mix of refinance and purchase transactions changes, because purchase transactions generally involve the issuance of both a lender’s policy and an owner’s policy, resulting in higher fees, whereas refinance transactions typically only require a lender’s policy, resulting in lower fees. Including the operations of the LFG Underwriters, closed order volumes and fee per file were 1,792,000 and $1,248 respectively, for the year ending December 31, 2009.</w:t>
      </w:r>
    </w:p>
    <w:p>
      <w:pPr>
        <w:spacing w:after="0" w:line="52"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The increase in agency premiums was primarily due to our acquisition of the LFG Underwriters and high remittances compared to prior years. Excluding the title premiums generated by the LFG Underwriters in 2009, agency title premiums increased $144.5 million, or 9.3%, in 2009 compared to 2008 and decreased $644.0 million, or 29%, in 2008 compared to 2007. The increase in 2009 was primarily due to increased remittances and accrued agency premiums that were consistent with the increases in direct title premiums, partially offset by reductions in agency relationships. The decrease in 2008 was primarily due to decreases in accrued agency premiums that were relatively consistent with the decreases in direct title premiums. The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2" w:lineRule="auto"/>
        <w:rPr>
          <w:sz w:val="20"/>
          <w:szCs w:val="20"/>
          <w:color w:val="auto"/>
        </w:rPr>
      </w:pPr>
      <w:r>
        <w:rPr>
          <w:rFonts w:ascii="Arial" w:cs="Arial" w:eastAsia="Arial" w:hAnsi="Arial"/>
          <w:sz w:val="12"/>
          <w:szCs w:val="12"/>
          <w:color w:val="auto"/>
        </w:rPr>
        <w:t>decrease in 2008 also includes a change in accounting estimate related to an accrual that is included in agency premium revenues and commissions. The accrual is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2008, we re-evaluated and refined the method that we use to estimate this accrual, which resulted in a reduction in revenue from agency title insurance premiums of $138.5 million compared to the revenues that would have been accrued under our prior method. The impact of this adjustment was a decrease of $11.8 million in pre-tax earnings and $7.6 million in net income, or approximately $0.04 per share, compared to the amounts that would have been recorded under our prior method. We believe that this adjustment is properly reflected as a change in accounting estimate in 2008.</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Escrow, title-related and other fees increased $281.6 million, or 26.3%, in 2009 compared to 2008 and increased $4.7 million, or less than 1% in 2008 compared to 2007. The increase in 2009 is primarily due to the acquisition of the LFG Underwriters. Excluding the LFG Underwriters, escrow, title-related and other fees increased $116.5 million, or 11.3% in 2009 compared to 2008. Escrow fees are more directly related to our direct operations and fluctuate in a pattern generally consistent with the fluctuation in direct title insurance premiums and order counts. Excluding the LFG Underwriters, escrow fees, increased $78.1, or 7.6% in 2009 compared to 2008. The percentage increase in escrow fees was greater than the percentage increase in direct premiums primarily as a result of an increase in residential direct title premiums, for which escrow fees are proportionately higher, and a decrease in commercial direct title premiums, for which escrow fees are proportionately lower. Other fees increased $38.4 million or 3.7% for the year ended December 31, 2009 due to an increase in the division of our business that manages real estate owned by financial institutions as well as recent acquisitions.</w:t>
      </w:r>
    </w:p>
    <w:p>
      <w:pPr>
        <w:spacing w:after="0" w:line="58" w:lineRule="exact"/>
        <w:rPr>
          <w:sz w:val="20"/>
          <w:szCs w:val="20"/>
          <w:color w:val="auto"/>
        </w:rPr>
      </w:pPr>
    </w:p>
    <w:p>
      <w:pPr>
        <w:ind w:left="680" w:right="220" w:firstLine="399"/>
        <w:spacing w:after="0" w:line="280" w:lineRule="auto"/>
        <w:rPr>
          <w:sz w:val="20"/>
          <w:szCs w:val="20"/>
          <w:color w:val="auto"/>
        </w:rPr>
      </w:pPr>
      <w:r>
        <w:rPr>
          <w:rFonts w:ascii="Arial" w:cs="Arial" w:eastAsia="Arial" w:hAnsi="Arial"/>
          <w:sz w:val="12"/>
          <w:szCs w:val="12"/>
          <w:color w:val="auto"/>
        </w:rPr>
        <w:t>Interest and investment income levels are primarily a function of securities markets, interest rates and the amount of cash available for investment. Interest and investment income was $154.5 million, $134.0 million, and $184.2 million for the years ended December 31, 2009, 2008, and 2007, respectively. Average invested assets were $4,288.8 million,</w:t>
      </w:r>
    </w:p>
    <w:p>
      <w:pPr>
        <w:ind w:left="680" w:right="100"/>
        <w:spacing w:after="0" w:line="264" w:lineRule="auto"/>
        <w:rPr>
          <w:sz w:val="20"/>
          <w:szCs w:val="20"/>
          <w:color w:val="auto"/>
        </w:rPr>
      </w:pPr>
      <w:r>
        <w:rPr>
          <w:rFonts w:ascii="Arial" w:cs="Arial" w:eastAsia="Arial" w:hAnsi="Arial"/>
          <w:sz w:val="13"/>
          <w:szCs w:val="13"/>
          <w:color w:val="auto"/>
        </w:rPr>
        <w:t>$3,545.5 million, and $4,415.0 million for the years ended December 31, 2009, 2008, and 2007, respectively. The tax equivalent yield, excluding realized gains and losses, was 4.4%, 4.3%, and 5.0% for the years ended December 31, 2009, 2008, and 2007, respectively.</w:t>
      </w:r>
    </w:p>
    <w:p>
      <w:pPr>
        <w:spacing w:after="0" w:line="67" w:lineRule="exact"/>
        <w:rPr>
          <w:sz w:val="20"/>
          <w:szCs w:val="20"/>
          <w:color w:val="auto"/>
        </w:rPr>
      </w:pPr>
    </w:p>
    <w:p>
      <w:pPr>
        <w:ind w:left="680" w:right="260" w:firstLine="399"/>
        <w:spacing w:after="0" w:line="301" w:lineRule="auto"/>
        <w:rPr>
          <w:sz w:val="20"/>
          <w:szCs w:val="20"/>
          <w:color w:val="auto"/>
        </w:rPr>
      </w:pPr>
      <w:r>
        <w:rPr>
          <w:rFonts w:ascii="Arial" w:cs="Arial" w:eastAsia="Arial" w:hAnsi="Arial"/>
          <w:sz w:val="11"/>
          <w:szCs w:val="11"/>
          <w:color w:val="auto"/>
        </w:rPr>
        <w:t>Net realized gains (losses) were $27.4, $(22.5) million, and $18.5 million for the years ended December 31, 2009, 2008, and 2007, respectively. The net realized gain for the year ended December 31, 2009, included impairment charges totaling $6.9 million on equity securities that were deemed to be other-than-temporarily impaired, net realized gains on sales of investments of $22.8 million, and net gains on sales of other assets of $4.6 million. The net realized loss for the year ended December 31, 2008, included impairment charges totaling $59.0 million on fixed maturity and equity securities and other investments that were deemed to be other-than-temporarily impaired, net realized gains on sales of investments of</w:t>
      </w:r>
    </w:p>
    <w:p>
      <w:pPr>
        <w:spacing w:after="0" w:line="2"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$4.4 million, net gains on sales of other assets of $7.3 million, and a gain of $24.8 million on the sale of 20% of our interest in Sedgwick. During the year ended December 31, 2007, we recorded impairment charges on equity security investments that we considered to be other-than-temporarily impaired of $3.1 million with the remainder of net realized gains each made up of a number of gains and losses on various transactions, none of which were individually significant.</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Expenses.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operating expenses consist primarily of personnel costs, other operating expenses, which in our title insurance business are incurred as orders are received and processed, and agent commissions, which are incurred as revenue is recognized. Title insurance premiums, escrow and other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Personnel costs include base salaries, commissions, benefits, stock-based compensation and bonuses paid to employees, and are one of our most significant operating expenses. Personnel costs totaled $1,649.8 million, $1,322.0 million, and $1,668.6 million for the years ended December 31, 2009, 2008 and 2007, respectively. Personnel costs as a percentage of total revenues were 28.3%, 31.1%, and 30.5% for the years ended December 31, 2009, 2008, and 2007, respectively. The increase in personnel costs in 2009 was primarily due to the acquisition of the LFG Underwriters and an increase in order volumes. The increase included a $23.9 million synergy bonus earned in 2009 by certain executives upon realizing the Company’s synergy goals with respect to the acquisition of the LFG Underwriters. The decrease in personnel costs in 2008 was primarily due to employee reductions in the Fidelity National Title Group and corporate and other business segments, partially offset by an increase in the specialty insurance segment. On a consolidated basis, we reduced our full-time equivalent employees by about 2,100 during 2008 and 3,100 during 2007. Included in personnel costs is stock-based compensation expense of $33.7 million, $32.7 million, and $29.9 million for the years ended December 31, 2009, 2008, and 2007, respectively.</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were $1,343.5 million, $1,179.8 million, and $1,078.8 million for the years ended December 31, 2009, 2008, and 2007, respectively, with an increase of $176.4 million in the Fidelity National Title Group segment due to the acquisition of the LFG Underwriters, less than $0.1 million change in the specialty insurance segment, and a decrease of $12.8 million in the corporate and other segment.</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illustrates the relationship of agent title premiums and agent commissions: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28"/>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0"/>
              <w:spacing w:after="0" w:line="98"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140"/>
              <w:spacing w:after="0"/>
              <w:rPr>
                <w:sz w:val="20"/>
                <w:szCs w:val="20"/>
                <w:color w:val="auto"/>
              </w:rPr>
            </w:pPr>
            <w:r>
              <w:rPr>
                <w:rFonts w:ascii="Arial" w:cs="Arial" w:eastAsia="Arial" w:hAnsi="Arial"/>
                <w:sz w:val="10"/>
                <w:szCs w:val="10"/>
                <w:b w:val="1"/>
                <w:bCs w:val="1"/>
                <w:color w:val="auto"/>
                <w:w w:val="91"/>
              </w:rPr>
              <w:t>(Dollars</w:t>
            </w:r>
          </w:p>
        </w:tc>
        <w:tc>
          <w:tcPr>
            <w:tcW w:w="780" w:type="dxa"/>
            <w:vAlign w:val="bottom"/>
            <w:gridSpan w:val="2"/>
          </w:tcPr>
          <w:p>
            <w:pPr>
              <w:jc w:val="right"/>
              <w:ind w:right="178"/>
              <w:spacing w:after="0"/>
              <w:rPr>
                <w:sz w:val="20"/>
                <w:szCs w:val="20"/>
                <w:color w:val="auto"/>
              </w:rPr>
            </w:pPr>
            <w:r>
              <w:rPr>
                <w:rFonts w:ascii="Arial" w:cs="Arial" w:eastAsia="Arial" w:hAnsi="Arial"/>
                <w:sz w:val="10"/>
                <w:szCs w:val="10"/>
                <w:b w:val="1"/>
                <w:bCs w:val="1"/>
                <w:color w:val="auto"/>
                <w:w w:val="98"/>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Agent title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2,452.3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1,554.7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2,198.7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57"/>
        </w:trPr>
        <w:tc>
          <w:tcPr>
            <w:tcW w:w="4960" w:type="dxa"/>
            <w:vAlign w:val="bottom"/>
          </w:tcPr>
          <w:p>
            <w:pPr>
              <w:spacing w:after="0"/>
              <w:rPr>
                <w:sz w:val="20"/>
                <w:szCs w:val="20"/>
                <w:color w:val="auto"/>
              </w:rPr>
            </w:pPr>
            <w:r>
              <w:rPr>
                <w:rFonts w:ascii="Arial" w:cs="Arial" w:eastAsia="Arial" w:hAnsi="Arial"/>
                <w:sz w:val="13"/>
                <w:szCs w:val="13"/>
                <w:color w:val="auto"/>
              </w:rPr>
              <w:t>Agent commissions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1,951.7</w:t>
            </w:r>
          </w:p>
        </w:tc>
        <w:tc>
          <w:tcPr>
            <w:tcW w:w="38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13"/>
                <w:szCs w:val="13"/>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3"/>
                <w:szCs w:val="13"/>
                <w:color w:val="auto"/>
              </w:rPr>
              <w:t>1,218.0</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78.3</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1,698.2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77.2</w:t>
            </w:r>
          </w:p>
        </w:tc>
      </w:tr>
      <w:tr>
        <w:trPr>
          <w:trHeight w:val="20"/>
        </w:trPr>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r>
              <w:rPr>
                <w:rFonts w:ascii="Arial" w:cs="Arial" w:eastAsia="Arial" w:hAnsi="Arial"/>
                <w:sz w:val="13"/>
                <w:szCs w:val="13"/>
                <w:u w:val="single" w:color="auto"/>
                <w:color w:val="auto"/>
              </w:rPr>
              <w:t>6</w:t>
            </w:r>
          </w:p>
        </w:tc>
        <w:tc>
          <w:tcPr>
            <w:tcW w:w="3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336.</w:t>
            </w:r>
            <w:r>
              <w:rPr>
                <w:rFonts w:ascii="Arial" w:cs="Arial" w:eastAsia="Arial" w:hAnsi="Arial"/>
                <w:sz w:val="13"/>
                <w:szCs w:val="13"/>
                <w:u w:val="single" w:color="auto"/>
                <w:color w:val="auto"/>
              </w:rPr>
              <w:t>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500.</w:t>
            </w:r>
            <w:r>
              <w:rPr>
                <w:rFonts w:ascii="Arial" w:cs="Arial" w:eastAsia="Arial" w:hAnsi="Arial"/>
                <w:sz w:val="13"/>
                <w:szCs w:val="13"/>
                <w:u w:val="single" w:color="auto"/>
                <w:color w:val="auto"/>
              </w:rPr>
              <w:t>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w:t>
            </w:r>
          </w:p>
        </w:tc>
      </w:tr>
      <w:tr>
        <w:trPr>
          <w:trHeight w:val="29"/>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Net margin from agency title insurance premiums we retain as a percentage of total agency premiums decreased from 21.7% in 2008 to 20.4% in 2009. This is primarily due to the acquisition of the agency relationships associated with the LFG Underwriters, for which the agent retained commission was consistently higher than that of legacy FNF agency relationships. Net margin from agency title insurance premiums we retain as a percentage of total agency premiums remained relatively consistent from 2007 to 2008.</w:t>
      </w:r>
    </w:p>
    <w:p>
      <w:pPr>
        <w:spacing w:after="0" w:line="5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Depreciation and amortization expense was $109.2 million, $122.1 million, and $127.9 million for the years ended December 31, 2009, 2008, and 2007, respectively. The decrease in 2009 reflects a decrease in the Fidelity National Title Group segment by $14.5 million offset by increases in the specialty insurance segment by $0.2 million and $1.4 million in the corporate and other segment. The decrease in 2008 reflects decreases in the Fidelity National Title Group and specialty insurance segments, partially offset by increases in the corporate and other segment. The increases in the corporate and other segment in 2009 and in 2008 reflect recent acquisitions.</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provision for claim losses includes an estimate of anticipated title and title-related claims, escrow losses and claims relating to our specialty insurance segment. We monitor our claims loss experience on 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continual basis and adjust the provision for claim losses accordingly as new information becomes known, new loss patterns emerge, or as other contributing factors are considered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incorporated into the analysis of the reserve for claim losses. The provision for claim loss for the years ended December 31, 2009, 2008, and 2007, was comprised of $264.7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$491.0 million, and $502.3 million, respectively, from the Fidelity National Title Group segment and $127.9 million, $139.4 million, and $151.6 million, respectively, from the specialty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insurance segment. The provision for claim losses is discussed in further detail at the segment level below.</w:t>
      </w:r>
    </w:p>
    <w:p>
      <w:pPr>
        <w:spacing w:after="0" w:line="8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Interest expense for the years ended December 31, 2009, 2008, and 2007 was $36.7 million, $58.6 million, and $52.9 million, respectively. The decrease in 2009 was primarily due to a decrease in interest rates on our floating rate debt and repurchase of several bonds during the year. The increase in 2008 was primarily due to increased borrowings resulting from our investment in Ceridian during the fourth quarter of 2007 and 2008 borrowings used for general corporate purposes.</w:t>
      </w:r>
    </w:p>
    <w:p>
      <w:pPr>
        <w:spacing w:after="0" w:line="67"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Income tax expense (benefit) was $106.8 million, $(119.9) million, and $50.3 million for the years ended December 31, 2009, 2008, and 2007, respectively. Income tax expense (benefit) as a percentage of earnings (loss) before income taxes for the years ended December 31, 2009, 2008, and 2007 was 31.0%, 42.9%, and 27.1%, respectively. The fluctuation in income tax expense (benefit) as a percentage of earnings (loss) before income taxes is attributable to our estimate of ultimate income tax liability, and changes in the characteristics of net earnings (loss) year to year, such as the weighting of operating income versus investment income. Income tax benefit as a percentage of loss before income taxes was higher than normal for the year ended December 31, 2008, due to the fact that, in periods when a net loss is recognized, the effect of tax-exempt interest income is reversed. Generally, when pretax income is recognized, tax-exempt income has the effect of lowering the effective tax rate whereas, when a pretax loss is recognized, tax-exempt income has the effect of increasing the effective tax rate.</w:t>
      </w:r>
    </w:p>
    <w:p>
      <w:pPr>
        <w:spacing w:after="0" w:line="7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Equity in (losses) earnings of unconsolidated affiliates was $(11.7) million, $(13.4) million, and $0.8 million for the years ended December 31, 2009, 2008, and 2007, and primarily consisted of our equity in the net (losses) earnings of Ceridian, Remy, and Sedgwick.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Segment Results of Operations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Fidelity National Title Group</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financial data for the years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3"/>
          </w:tcPr>
          <w:p>
            <w:pPr>
              <w:ind w:left="280"/>
              <w:spacing w:after="0"/>
              <w:rPr>
                <w:sz w:val="20"/>
                <w:szCs w:val="20"/>
                <w:color w:val="auto"/>
              </w:rPr>
            </w:pPr>
            <w:r>
              <w:rPr>
                <w:rFonts w:ascii="Arial" w:cs="Arial" w:eastAsia="Arial" w:hAnsi="Arial"/>
                <w:sz w:val="10"/>
                <w:szCs w:val="10"/>
                <w:b w:val="1"/>
                <w:bCs w:val="1"/>
                <w:color w:val="auto"/>
                <w:w w:val="83"/>
              </w:rPr>
              <w:t>(Dollars in millions)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Direct title insurance premiums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1,475.3</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1,140.3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1,601.8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Agency title insurance premiums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2,452.3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1,554.7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2,198.7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Escrow, title-related and other fees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1,300.6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1,034.3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1,034.5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and investment income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164.9</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Realized gains and losses, net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(32.9)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5,393.6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3,816.6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5,005.0</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Expenses: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Personnel costs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1,253.6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1,594.5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Other operating expenses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1,140.6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964.3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891.8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Agent commissions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1,951.7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1,698.1</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115.0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claim losses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491.0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502.3</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5,023.6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4,047.6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4,821.5</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Earnings (loss) before income taxes and equity in (loss) earnings of unconsolidated affiliates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370.0</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(231.0)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Total revenues in 2009 increased $1,577.0 million, an increase of 41.3% compared to 2008. Total revenues in 2008 decreased $1,188.4 million to $3,816.6 million, a decrease of 23.7% compared to 2007. For an analysis of this segment’s revenues, see the analysis of direct and agency title insurance premiums and escrow and other title-related fees under “Consolidated Results of Operations.”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Interest and investment income levels are primarily a function of securities markets, interest rates and the amount of cash available for investment. Interest and investment income for the years ended December 31, 2009, 2008 and 2007, was $138.4 million, $120.2 million, and $164.9 million, respectively. The increase in 2009 compared to 2008 was primarily the result of an increased investment portfolio resulting from the acquisition of the LFG Underwriters, partially offset by declines in short-term interest rates and a decrease in interest income attributable to the securities lending program. The decrease in 2008 compared to 2007 was the result of decreases in both average invested assets and a decrease in interest rates. For the years ended December 31, 2009, 2008, and 2007, average invested assets were $3,864.6 million, $3,104.7 million, and $3,791.4 million, respectively, and the tax equivalent yield, excluding realized gains and losses, was 4.8%, 4.4%, and 5.3%, respectively.</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Net realized gains and losses for the years ended December 31, 2009, 2008, and 2007 were $27.0 million, $(32.9) million, and $5.1 million, respectively. Net realized gains and losses recorded in the year ended December 31, 2009, included impairment charges of $6.9 million, net realized gains on investments of $24.6 million, and net gains from sales of other assets of $2.4 million. Net realized gains and losses recorded in the year ended December 31, 2008, included impairment charges of $48.8 million on fixed maturity and equity securities and other investments that were deemed other-than-temporarily impaired, net realized gains on investments of $15.0 million, and net gains from sales of other assets of $0.9 million. The impairment charges relating to the fixed maturity securities primarily related to our conclusion that the credit risk relating to the holdings was high and thus the assets are likely permanently impaired. The impairment charges relating</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320" w:lineRule="auto"/>
        <w:rPr>
          <w:sz w:val="20"/>
          <w:szCs w:val="20"/>
          <w:color w:val="auto"/>
        </w:rPr>
      </w:pPr>
      <w:r>
        <w:rPr>
          <w:rFonts w:ascii="Arial" w:cs="Arial" w:eastAsia="Arial" w:hAnsi="Arial"/>
          <w:sz w:val="12"/>
          <w:szCs w:val="12"/>
          <w:color w:val="auto"/>
        </w:rPr>
        <w:t>to the equity securities were based on the duration of the unrealized loss and inability to predict the time to recover if the investment continued to be held. For the year ended December 31, 2007, realized gains and losses were each made up of a number of gains and losses on various transactions, none of which were individually significant.</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Personnel costs include base salaries, commissions, benefits and bonuses paid to employees, and are one of our most significant operating expenses. Personnel costs totaled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$1,565.3 million, $1,253.6 million, and $1,594.5 million for the years ended December 31, 2009, 2008, and 2007, respectively. The increase in 2009 resulted from the acquisition of the LFG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Underwriters and an increase in order volumes. The decreases in 2008 resulted from decreases in the number of personnel implemented in response to the decline in order volumes and from</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decreases in average annualized personnel costs per employee. Personnel costs, as a percentage of direct title insurance premiums and escrow, title-related and other fees, were 56.4%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2009, 57.6% in 2008, and 60.5% in 2007. Average employee count increased to 14,661 in 2009 from 13,957 in 2008 primarily due to the addition of the LFG Underwriters. Average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employee count decreased in 2008 from 16,416 in 2007 primarily due to headcount reduction initiatives in 2008.</w:t>
      </w:r>
    </w:p>
    <w:p>
      <w:pPr>
        <w:spacing w:after="0" w:line="8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$1,140.6 million, $964.3 million, and $891.8 million for the years ended December 31, 2009, 2008 and 2007, respectively. Other operating expenses as a percentage of direct title insurance premiums and escrow, title-related and other fees were 41.1% in 2009, 44.3% in 2008, and 33.8% in 2007. Other operating expenses for the years ended December 31, 2009, 2008 and 2007, included $5.3 million, $23.4 million and $13.0 million, respectively, in abandoned lease charges relating to office closures. The increase in other operating expenses in 2009 is primarily the result of the acquisition of the LFG Underwriters. The increase in other operating expenses in 2008 included a decrease of $101.4 million in benefits related to our escrow balances, which are reflected as an offset to other operating expenses, equal increases in revenues and expenses of $75.7 million associated with a division of our business that manages real estate owned by financial institutions, and recent acquisitions. These increases were partially offset by operating expense reductions in our core title operations as we continue to cut costs in response to the decrease in title insurance and other title-related activity. As a result of holding customers’ assets in escrow, we have ongoing programs for realizing economic benefits. Those economic benefits related to escrow balances decreased in 2009 and 2008 due to decreases in escrow balances, decreases in short-term interest rates and increases in the portion of those benefits derived from tax exempt income.</w:t>
      </w:r>
    </w:p>
    <w:p>
      <w:pPr>
        <w:spacing w:after="0" w:line="6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provision for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$201.5 million, $491.0 million, and $502.3 million for the years ended December 31, 2009, 2008, and 2007, respectively. These amounts reflected average claim loss provision rates of 7.25%, 8.5%, and 7.5% of title premiums for the years ended December 31, 2009, 2008, and 2007, respectively, and also included additional credits/charges as follows:</w:t>
      </w:r>
    </w:p>
    <w:p>
      <w:pPr>
        <w:spacing w:after="0" w:line="72"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For the year ended December 31, 2009, a credit of $74.4 million was recorded due to favorable claim loss development on prior policy years. During September and October 2009, there were developments, including two court rulings, relating to coverages under certain insurance policies that caused us to reevaluate our position on maintaining a recorded insurance recoverable. The fact that we received an adverse ruling in our case against the insurer on our Comprehensive General Liability policy together with a reevaluation of our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position by new legal counsel, caused us to reverse $63.2 million of the receivable, recorded as a charge to the provision for claim losses, during the quarter ended September 30, 2009. We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also received a favorable summary judgment relating to an insurance providers’ duty to defend the Company under our Miscellaneous Professional Liability policy. In light of these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developments, we did not believe it appropriate to carry more than the anticipated $20 million recovery for compensatory damages on the Miscellaneous Professional Liability policy as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receivable as of September 30, 2009. During the quarter ended December 31, 2009, the Company paid an additional $8.8 million in respect of these claims and received payments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$11.8 million relating to the Miscellaneous Professional Liability Policy and continued to negotiate with the carrier who had been found to act in bad faith under the terms of that policy. 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of December 31, 2009, we carried an $8.2 million receivable related to these coverages. Subsequent to December 31, 2009, we reached a settlement agreement with the same carrier for an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additional $16.2 million, representing the remaining $8.2 million receivable and $8 million in compensatory damages. The $16.2 million settlement amount was received in February 2010.</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claim loss provision as a percentage of total title premiums was 5.1%, 18.2%, and 13.2% for the years ended December 31, 2009, 2008, and 2007, respectively. For the year ended December 31, 2009, in response to lower than anticipated claims experience, we decreased our claim loss provision rate from 8.5% to 7.0% at year-end, with an average claim loss provision rate of 7.25% for the year. For the year ended December 31, 2008, in response to greater than anticipated claims experience, we increased our claim loss provision rate from 7.5% to 8.5% of total title premiums. In addition, for the year ended December 31, 2008, an additional charge of $261.6 million was recorded due to a change in our actuarial model which resulted, in part, from adverse claim loss development on prior policy years, and, for the year ended December 31, 2007, additional charges totaling $217.2 million resulted from adverse claim loss development on prior policy years. See “Critical Accounting Estimates” for further discussion relating to our reserve for claim losses and the related charges. Our 2009 reserve release in relation to prior policy year reserves was due in large part to changes in certain aspects of our approach to handling claims that we began to make in the fourth quarter of 2008. Key changes implemented include a greater effort to collect contributions from agents that bear responsibility for losses, more stringent enforcement of documentation requirements for proof of claims, a more efficient process for dealing with minor, technical claim matters, and a greater focus on hiring counsel with lower rates. Our claims paid, since this initiative, have declined. We have also continued, in 2009, a process of reducing our total number of agents, with a focus in part on cancelling agents that have higher claims ratios and/or low remittances. These measures are collectively designed to reduce our claims expenses. We have taken similar measures with respect to the LFG Underwriters we recently acquired.</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Specialty Insurance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financial data for the years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2009</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auto"/>
                <w:w w:val="96"/>
              </w:rPr>
              <w:t>(Dollars in millions)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Premium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366.0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373.4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386.4</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and investment income</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12.3</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Realized gains and losses, net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383.3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402.6</w:t>
            </w:r>
          </w:p>
        </w:tc>
        <w:tc>
          <w:tcPr>
            <w:tcW w:w="0" w:type="dxa"/>
            <w:vAlign w:val="bottom"/>
          </w:tcPr>
          <w:p>
            <w:pPr>
              <w:spacing w:after="0"/>
              <w:rPr>
                <w:sz w:val="1"/>
                <w:szCs w:val="1"/>
                <w:color w:val="auto"/>
              </w:rPr>
            </w:pPr>
          </w:p>
        </w:tc>
      </w:tr>
      <w:tr>
        <w:trPr>
          <w:trHeight w:val="156"/>
        </w:trPr>
        <w:tc>
          <w:tcPr>
            <w:tcW w:w="7600" w:type="dxa"/>
            <w:vAlign w:val="bottom"/>
          </w:tcPr>
          <w:p>
            <w:pPr>
              <w:spacing w:after="0"/>
              <w:rPr>
                <w:sz w:val="20"/>
                <w:szCs w:val="20"/>
                <w:color w:val="auto"/>
              </w:rPr>
            </w:pPr>
            <w:r>
              <w:rPr>
                <w:rFonts w:ascii="Arial" w:cs="Arial" w:eastAsia="Arial" w:hAnsi="Arial"/>
                <w:sz w:val="13"/>
                <w:szCs w:val="13"/>
                <w:color w:val="auto"/>
              </w:rPr>
              <w:t>Expenses:</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Personnel costs</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45.3</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Other operating expenses</w:t>
            </w:r>
          </w:p>
        </w:tc>
        <w:tc>
          <w:tcPr>
            <w:tcW w:w="1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158.3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158.2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145.0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Provision for claim losses</w:t>
            </w:r>
          </w:p>
        </w:tc>
        <w:tc>
          <w:tcPr>
            <w:tcW w:w="1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127.9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139.5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151.6</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80"/>
              <w:spacing w:after="0"/>
              <w:rPr>
                <w:sz w:val="20"/>
                <w:szCs w:val="20"/>
                <w:color w:val="auto"/>
              </w:rPr>
            </w:pPr>
            <w:r>
              <w:rPr>
                <w:rFonts w:ascii="Arial" w:cs="Arial" w:eastAsia="Arial" w:hAnsi="Arial"/>
                <w:sz w:val="13"/>
                <w:szCs w:val="13"/>
                <w:color w:val="auto"/>
              </w:rPr>
              <w:t>Total expenses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336.6</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348.3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349.6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Earnings before income taxes and equity in earnings of unconsolidated 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which is the U.S. federal flood insurance program, and receive fees for selling policies and for assistance in settling claims. Specialty insurance revenues were $380.2 million, $383.3 million, and $402.6 million for the years ended December 31, 2009, 2008, and 2007, respectively. The decrease in revenues in 2009 compared to 2008 was due to a decrease in the homeowners’ and flood insurance lines of business partially offset by an increase in the home warranty line of business. The decrease in revenues in 2008 compared to 2007 was due to decreases in revenues from the homeowners’ and automobile insurance and home warranty lines of business and to a decrease in interest and investment income, partially offset by an increase in flood revenues.</w:t>
      </w:r>
    </w:p>
    <w:p>
      <w:pPr>
        <w:spacing w:after="0" w:line="59"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Flood revenues decreased $2.8 million, or 1.8%, in 2009 compared to 2008, due to the inclusion of claims processing revenue related to the 2008 hurricane season in 2008. Flood revenues increased $11.9 million, or 8.2%, in 2008 compared to 2007, reflecting volume and rate increases, and claims processing revenues related to the 2008 hurricane season, partially offset by a decrease in the annual marketing incentive bonus received from the Federal Emergency Management Agency.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Revenues from the homeowners’ and automobile insurance lines of business decreased $9.5 million, or 6.4%, in 2009 compared to 2008, due to tighter underwriting standards,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elimination of certain unprofitable agents and territories, and a lower real estate market overall. Revenues from the homeowners’ and automobile insurance lines of business decreased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$20.1 million, or 11.9%, in 2008 compared to 2007, reflecting a declining housing market and a decrease in volume as we have undergone efforts to tighten our underwriting standards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eliminate unprofitable agents and territories.</w:t>
      </w:r>
    </w:p>
    <w:p>
      <w:pPr>
        <w:spacing w:after="0" w:line="8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Revenues from the home warranty line of business increased $5.0 million, or 7.6%, in 2009 due to increased market share in California and Arizona. The home warranty line of business decreased $4.9 million, or 6.9%, in 2008 compared to 2007, primarily due to the decrease in real estate transaction volumes.</w:t>
      </w:r>
    </w:p>
    <w:p>
      <w:pPr>
        <w:spacing w:after="0" w:line="5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Personnel costs were $45.3 million, $45.2 million, and $45.5 million for the years ended December 31, 2009, 2008, and 2007, respectively. As a percentage of total specialty insurance revenues, personnel costs were 11.9% in 2009, 11.8% in 2008, and 11.3% in 2007.</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Other operating expenses in the specialty insurance segment were $158.3 million, $158.2 million, and $145.0 million for the years ended December 31, 2009, 2008, and 2007, respectively. Other operating expenses were 41.6% of specialty revenue in 2009. Other operating expenses in 2007 were impacted by the results of an internal review of our treatment of certain costs relating to insurance policies issued by our specialty insurance segment, in the course of which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our financial position or results of operations for any previously reported annual periods. Excluding this adjustment, other operating expenses as a percentage of revenues was 41.3% in 2008 and 36.0% in 2007, with the increase in 2008 primarily due to increases in premium tax expense and commission expense in the homeowners’ and flood insurance businesses.</w:t>
      </w:r>
    </w:p>
    <w:p>
      <w:pPr>
        <w:spacing w:after="0" w:line="58"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The provision for claim loss expense was $127.9 million, $139.4 million, and $151.6 million for the years ended December 31, 2009, 2008, and 2007, respectively. The decrease in 2009 reflects the decreased homeowners’ and automobile insurance business. The decrease in 2008 reflects the decreased business in the homeowners’ and automobile insurance and home warranty businesses. As a percentage of premiums earned, the claim loss provision was 60.7% in 2009, 64.8% in 2008, and 63.9% in 2007.</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reserve for claim losses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6"/>
              </w:rPr>
              <w:t>(Dollars in millions)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80" w:type="dxa"/>
            <w:vAlign w:val="bottom"/>
            <w:tcBorders>
              <w:left w:val="single" w:sz="8" w:color="CCEEFF"/>
            </w:tcBorders>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Claim loss provision related to:</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year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165.6</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Prior years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claim loss provision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151.6</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Claims paid, net of recoupments related to:</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year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(99.9)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(106.5)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(115.7)</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Prior years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(35.0)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(39.1)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claims paid, net of recoupments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(134.9)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(145.6)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(151.6)</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52.6</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and Other Segment</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corporate and other segment is primarily comprised of the operations of our parent holding company and smaller entities not included in our operating segments. It generated pretax losses of $68.7 million, $83.7 million, and $51.2 million for the years ended December 31, 2009, 2008, and 2007, respectively. During 2008, we sold 20% of our interest in Sedgwick (reducing our interest in Sedgwick from 40% to 32%) for proceeds of $53.9 million, resulting in a gain of $24.8 million in the corporate and other segment. Interest expense in this segment was $35.9 million, $52.4 million, and $36.8 million for the years ended December 31, 2009, 2008, and 2007, respectively. The decrease in 2009 was primarily due to a decrease in interest rates on our floating rate debt and repurchase of several bonds during 2009. The increase in 2008 was primarily due to increased borrowings resulting from our investment in Ceridian during the fourth quarter of 2007 and 2008 borrowings used for general corporate purposes. Additionally, during 2008, we recorded $4.0 million in impairment charges to intangible assets in the corporate and other segment.</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Cash Requirements. </w:t>
      </w:r>
      <w:r>
        <w:rPr>
          <w:rFonts w:ascii="Arial" w:cs="Arial" w:eastAsia="Arial" w:hAnsi="Arial"/>
          <w:sz w:val="13"/>
          <w:szCs w:val="13"/>
          <w:color w:val="auto"/>
        </w:rPr>
        <w:t>Our current cash requirements include operating expenses, taxes, payments of interest and principal on our debt, capital expenditures, business acquisitions,</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dividends on our common stock,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and the repurchase of shares of our common stock. Our Board of Directors reduced our quarterly dividend from $0.30 per share to $0.15 per share, or approximately $33.8 million per quarter, effective in the fourth quarter of 2008. We continually assess our capital allocation strategy, including decisions relating to the amount of our dividend, reducing debt, repurchasing our stock, and/or conserving cash.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potential sales of non-strategic assets, borrowings on existing credit facilities, and possible issuances of debt, equity, or hybrid securities under our existing universal shelf registration statement.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67"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2009, $2,435.3 billion of our net assets were restricted from dividend payments without prior approval from the relevant departments of insurance. During 2010, our first tier title insurance subsidiaries can pay or make distributions to us of approximately $289.4 million without prior regulatory approval. Our underwritten title companies and non-title insurance subsidiaries collect revenue and pay operating expenses. However, they are not regulated to the same extent as our insurance subsidiaries.</w:t>
      </w:r>
    </w:p>
    <w:p>
      <w:pPr>
        <w:spacing w:after="0" w:line="73"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71"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We are focused on evaluating our non-core assets and investments as potential vehicles for creating liquidity. Our intent is to use that liquidity for general corporate purposes, including payment of dividends as declared by the Board of Directors and potentially reducing debt, repurchasing shares of our stock, and/or conserving cash.</w:t>
      </w:r>
    </w:p>
    <w:p>
      <w:pPr>
        <w:spacing w:after="0" w:line="35"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cash flows provided by operations for the years ended December 31, 2009, 2008, and 2007 were $380.3 million, $4.6 million, and $341.1 million, respectively. Cash provided by (used in) operations in the year ended December 31, 2009, 2008, and 2007 included $1.1 million, $(54.9) million, and $(36.4) million of payments net of recoupments from insurers to settle a group of related claims for third party losses. Beginning in 2007, we began making payments on a group of related claims alleging negligence and fraud related to issuing title insurance policies and closing escrow transactions. We believed that we had the ability to recoup all of these payments, subject to a $10 million retention, from various insurance policies. Through December 31, 2007, we had paid approximately $51.9 million in claims, had received cash recoupment from insurance carriers of approximately $15.5 million and had an insurance recoverable of $31.4 million included in the Consolidated Balance Sheet. Through March 31, 2008, we had paid an additional $79.3 million in claims, had received an additional $27.5 million in cash recoupment from insurance carriers and had an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insurance recoverable of $78.2 million included in the Consolidated Balance Sheet. During the remainder of 2008 and through the third quarter of 2009 there were approximately</w:t>
      </w:r>
    </w:p>
    <w:p>
      <w:pPr>
        <w:spacing w:after="0" w:line="27" w:lineRule="exact"/>
        <w:rPr>
          <w:sz w:val="20"/>
          <w:szCs w:val="20"/>
          <w:color w:val="auto"/>
        </w:rPr>
      </w:pPr>
    </w:p>
    <w:p>
      <w:pPr>
        <w:ind w:left="680"/>
        <w:spacing w:after="0" w:line="276" w:lineRule="auto"/>
        <w:rPr>
          <w:sz w:val="20"/>
          <w:szCs w:val="20"/>
          <w:color w:val="auto"/>
        </w:rPr>
      </w:pPr>
      <w:r>
        <w:rPr>
          <w:rFonts w:ascii="Arial" w:cs="Arial" w:eastAsia="Arial" w:hAnsi="Arial"/>
          <w:sz w:val="12"/>
          <w:szCs w:val="12"/>
          <w:color w:val="auto"/>
        </w:rPr>
        <w:t>$8.2 million in claims payments and approximately $3.2 million in insurance recoveries resulting in an $83.2 million insurance recoverable included in the Consolidated Balance Sheet at that time. During September and October 2009, there were developments, including two court rulings, relating to coverages under certain insurance policies that caused us to reevaluate our position on maintaining a recorded insurance recoverable. The fact that we received an adverse ruling in our case against the insurer on our Comprehensive General Liability policy together with a reevaluation of our position by new legal counsel, caused us to reverse $63.2 million of the receivable, recorded as a charge to the provision for claim losses, during the quarter ended September 30, 2009. We also received a favorable summary judgment relating to an insurance providers’ duty to defend the Company under our Miscellaneous Professional Liability policy. In light of these developments, we did not believe it appropriate to carry more than the anticipated $20 million recovery for compensatory damages on the Miscellaneous Professional Liability policy as a receivable as of September 30, 2009. During the quarter ended December 31, 2009, the Company paid an additional $8.8 million in respect of these claims and received payments of $11.8 million relating to the Miscellaneous Professional Liability Policy and continued to negotiate with the carrier who had been found to act in bad faith under the terms of that policy. As of December 31, 2009, we carried an $8.2 million receivable related to these coverages. Subsequent to December 31, 2009, we reached a settlement agreement with the same carrier for an additional $16.2 million, representing the remaining $8.2 million receivable and $8 million in compensatory damages. The $16.2 million settlement amount was received in February 2010.</w:t>
      </w:r>
    </w:p>
    <w:p>
      <w:pPr>
        <w:spacing w:after="0" w:line="65"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Capital Expenditures. </w:t>
      </w:r>
      <w:r>
        <w:rPr>
          <w:rFonts w:ascii="Arial" w:cs="Arial" w:eastAsia="Arial" w:hAnsi="Arial"/>
          <w:sz w:val="12"/>
          <w:szCs w:val="12"/>
          <w:color w:val="auto"/>
        </w:rPr>
        <w:t>Total capital expenditures for property and equipment were $50.8 million, $84.2 million, and $83.9 million for the years ended December 31, 2009, 2008, and</w:t>
      </w:r>
      <w:r>
        <w:rPr>
          <w:rFonts w:ascii="Arial" w:cs="Arial" w:eastAsia="Arial" w:hAnsi="Arial"/>
          <w:sz w:val="12"/>
          <w:szCs w:val="12"/>
          <w:i w:val="1"/>
          <w:iCs w:val="1"/>
          <w:color w:val="auto"/>
        </w:rPr>
        <w:t xml:space="preserve"> </w:t>
      </w:r>
      <w:r>
        <w:rPr>
          <w:rFonts w:ascii="Arial" w:cs="Arial" w:eastAsia="Arial" w:hAnsi="Arial"/>
          <w:sz w:val="12"/>
          <w:szCs w:val="12"/>
          <w:color w:val="auto"/>
        </w:rPr>
        <w:t>2007, respectively. For the years ended December 31, 2009, 2008 and 2007, capital expenditures included $21.0 million, $60.6 million and $36.8 million, respectively, for the purchase of assets leased to others, including FIS. The decrease from 2008 to 2009 is due to the sale of FN Capital in 2009, at which the majority of these asset purchases leased to others were related. Total capital expenditures for software were $7.1 million, $17.1 million, and $29.3 million in 2009, 2008, and 2007, respectively.</w:t>
      </w:r>
    </w:p>
    <w:p>
      <w:pPr>
        <w:spacing w:after="0" w:line="5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Financing. </w:t>
      </w:r>
      <w:r>
        <w:rPr>
          <w:rFonts w:ascii="Arial" w:cs="Arial" w:eastAsia="Arial" w:hAnsi="Arial"/>
          <w:sz w:val="12"/>
          <w:szCs w:val="12"/>
          <w:color w:val="auto"/>
        </w:rPr>
        <w:t>Effective October 24, 2006, we entered into a credit agreement (the “Credit Agreement”) with Bank of America, N.A. as Administrative Agent and Swing Line Lender,</w:t>
      </w:r>
      <w:r>
        <w:rPr>
          <w:rFonts w:ascii="Arial" w:cs="Arial" w:eastAsia="Arial" w:hAnsi="Arial"/>
          <w:sz w:val="12"/>
          <w:szCs w:val="12"/>
          <w:i w:val="1"/>
          <w:iCs w:val="1"/>
          <w:color w:val="auto"/>
        </w:rPr>
        <w:t xml:space="preserve"> </w:t>
      </w:r>
      <w:r>
        <w:rPr>
          <w:rFonts w:ascii="Arial" w:cs="Arial" w:eastAsia="Arial" w:hAnsi="Arial"/>
          <w:sz w:val="12"/>
          <w:szCs w:val="12"/>
          <w:color w:val="auto"/>
        </w:rPr>
        <w:t>and the other financial institutions party thereto (“the Lenders”). Effective October 11, 2007, we exercised an option to increase the size of the credit facility by an additional $300 million. The Credit Agreement, which replaced our previous credit agreement, provides for a $1.1 billion unsecured revolving credit facility, including the $300 million increase, maturing on the fifth anniversary of the closing date. Amounts under the revolving credit facility may be borrowed, repaid and reborrowed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 0.23%-0.675%, depending on our then current senior unsecured long-term debt rating from the rating agencies. In addition, we pay a commitment fee between 0.07%-0.175% on the entire facility, also depending on our senior unsecured long-term debt rating. During 2009, we repaid $185 million on the credit facility. As of December 31, 2009, we had outstanding debt with a principal amount of $400 million under the Credit Agreement, bearing interest at 0.73%.</w:t>
      </w:r>
    </w:p>
    <w:p>
      <w:pPr>
        <w:spacing w:after="0" w:line="63"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Subsequent to year-end, we entered into negotiations with the Lenders to amend and extend the maturity of our $1.1 billion unsecured revolving credit facility that was scheduled to mature in October 2011. We expect to finalize these negotiations during March of 2010. The total size of the credit facility is expected to be reduced to $900 million, with an option to increase the size of the credit facility to $1.1 billion and the maturity date is expected to be extended to March 2013. Pricing under the credit facility is expected to be increased to an applicable margin between 110 basis points to 190 basis points, depending on the senior debt rating of FNF. At the current Moody’s and Standard &amp; Poor’s senior debt ratings of Baa3 and BBB-,</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respectively, the applicable margin is 150 basis points. The applicable margin will increase by 50 basis points at the previous maturity date of October 24, 2011. Other significant terms of the original credit agreement are expected to remain consistent.</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60"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On December 22, 2008, in connection with the acquisition of the LFG Underwriters, we entered into a $50 million subordinated note payable to LFG, due December 2013. This note bears interest at 2.36%, payable annually. Subsequent to year end, on March 1, 2010, we paid approximately $49 million to the LFG Liquidation Trust in full satisfaction of this obligation.</w:t>
      </w:r>
    </w:p>
    <w:p>
      <w:pPr>
        <w:spacing w:after="0" w:line="1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outstanding debt also includes $165.5 million aggregate principal amount of our 7.30% notes due 2011 and $245.2 million aggregate principal amount of our 5.25% notes due 2013. These notes contain customary covenants and events of default for investment grade public debt.</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lend fixed maturity and equity securities to financial institutions in short-term security lending transactions. Our security lending policy requires that the cash received as collateral be 102% or more of the fair value of the loaned securities. At December 31, 2009, we had security loans outstanding with fair values totaling of $25.6 million. Securities loaned under such transactions may be sold or re-pledged by the transferee. We were liable for cash collateral under our control of $26.5 million at December 31, 2009, which has been included in cash and in accounts payable and accrued liabilities.</w:t>
      </w:r>
    </w:p>
    <w:p>
      <w:pPr>
        <w:spacing w:after="0" w:line="7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i w:val="1"/>
          <w:iCs w:val="1"/>
          <w:color w:val="auto"/>
        </w:rPr>
        <w:t xml:space="preserve">Seasonality. </w:t>
      </w:r>
      <w:r>
        <w:rPr>
          <w:rFonts w:ascii="Arial" w:cs="Arial" w:eastAsia="Arial" w:hAnsi="Arial"/>
          <w:sz w:val="11"/>
          <w:szCs w:val="11"/>
          <w:color w:val="auto"/>
        </w:rPr>
        <w:t>Historically, real estate transactions have produced seasonal revenue levels for title insurers. The first calendar quarter is typically the weakest quarter in terms of</w:t>
      </w:r>
      <w:r>
        <w:rPr>
          <w:rFonts w:ascii="Arial" w:cs="Arial" w:eastAsia="Arial" w:hAnsi="Arial"/>
          <w:sz w:val="11"/>
          <w:szCs w:val="11"/>
          <w:i w:val="1"/>
          <w:iCs w:val="1"/>
          <w:color w:val="auto"/>
        </w:rPr>
        <w:t xml:space="preserve"> </w:t>
      </w:r>
      <w:r>
        <w:rPr>
          <w:rFonts w:ascii="Arial" w:cs="Arial" w:eastAsia="Arial" w:hAnsi="Arial"/>
          <w:sz w:val="11"/>
          <w:szCs w:val="11"/>
          <w:color w:val="auto"/>
        </w:rPr>
        <w:t>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In the past three years, we have seen a divergence from these historical trends as tighter lending standards, including a significant reduction in the availability of mortgage lending, combined with rising default levels and a bearish outlook on the real estate environment have caused potential home buyers to be more reluctant to buy homes and have suppressed refinance activity.</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317" w:lineRule="auto"/>
        <w:rPr>
          <w:sz w:val="20"/>
          <w:szCs w:val="20"/>
          <w:color w:val="auto"/>
        </w:rPr>
      </w:pPr>
      <w:r>
        <w:rPr>
          <w:rFonts w:ascii="Arial" w:cs="Arial" w:eastAsia="Arial" w:hAnsi="Arial"/>
          <w:sz w:val="12"/>
          <w:szCs w:val="12"/>
          <w:i w:val="1"/>
          <w:iCs w:val="1"/>
          <w:color w:val="auto"/>
        </w:rPr>
        <w:t xml:space="preserve">Contractual Obligations. </w:t>
      </w:r>
      <w:r>
        <w:rPr>
          <w:rFonts w:ascii="Arial" w:cs="Arial" w:eastAsia="Arial" w:hAnsi="Arial"/>
          <w:sz w:val="12"/>
          <w:szCs w:val="12"/>
          <w:color w:val="auto"/>
        </w:rPr>
        <w:t>Our long term contractual obligations generally include our loss reserves, our credit agreements and other debt facilities and operating lease payments on</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of our premises and equipment. As of December 31, 2009, our required annual payments relating to these contractual obligations were as follows:</w:t>
      </w:r>
    </w:p>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89"/>
              </w:rPr>
              <w:t>2010</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9"/>
              </w:rPr>
              <w:t>2012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2013</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89"/>
              </w:rPr>
              <w:t>2014</w:t>
            </w:r>
          </w:p>
        </w:tc>
        <w:tc>
          <w:tcPr>
            <w:tcW w:w="400" w:type="dxa"/>
            <w:vAlign w:val="bottom"/>
          </w:tcPr>
          <w:p>
            <w:pPr>
              <w:spacing w:after="0"/>
              <w:rPr>
                <w:sz w:val="10"/>
                <w:szCs w:val="10"/>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Thereafter</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r>
      <w:tr>
        <w:trPr>
          <w:trHeight w:val="131"/>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0.3</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$ 295.2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861.9</w:t>
            </w: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Operating lease payments</w:t>
            </w:r>
          </w:p>
        </w:tc>
        <w:tc>
          <w:tcPr>
            <w:tcW w:w="10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92"/>
              </w:rPr>
              <w:t>135.5</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99.6</w:t>
            </w: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66.2</w:t>
            </w: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94.3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451.2</w:t>
            </w: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Pension payments</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11.5</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152.2</w:t>
            </w: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Title claim losses</w:t>
            </w:r>
          </w:p>
        </w:tc>
        <w:tc>
          <w:tcPr>
            <w:tcW w:w="10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92"/>
              </w:rPr>
              <w:t>409.8</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337.9</w:t>
            </w: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w w:val="85"/>
              </w:rPr>
              <w:t>266.0</w:t>
            </w: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206.9</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161.8</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1,106.4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2,488.8</w:t>
            </w: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Specialty insurance claim losses</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35.6</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w:t>
            </w: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Other benefit payments</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3.5</w:t>
            </w: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35.9</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598.6</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1,028.2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5"/>
              </w:rPr>
              <w:t>352.6</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$ 553.7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197.5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4,042.6</w:t>
            </w:r>
          </w:p>
        </w:tc>
      </w:tr>
      <w:tr>
        <w:trPr>
          <w:trHeight w:val="29"/>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As of December 31, 2009, we had title insurance reserves of $2,488.8 million. The amounts and timing of these obligations are estimated and are not set contractually. Nonetheless, based on historical title insurance claim experience, we anticipate the above payment patterns. While we believe that historical loss payments are a reasonable source for projecting future claim payments, there is significant inherent uncertainty in this payment pattern estimate because of the potential impact of changes in:</w:t>
      </w:r>
    </w:p>
    <w:p>
      <w:pPr>
        <w:spacing w:after="0" w:line="50" w:lineRule="exact"/>
        <w:rPr>
          <w:sz w:val="20"/>
          <w:szCs w:val="20"/>
          <w:color w:val="auto"/>
        </w:rPr>
      </w:pPr>
    </w:p>
    <w:p>
      <w:pPr>
        <w:ind w:left="1280" w:hanging="190"/>
        <w:spacing w:after="0"/>
        <w:tabs>
          <w:tab w:leader="none" w:pos="1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future mortgage interest rates, which will affect the number of real estate and refinancing transactions and, therefore, the rate at which title insurance claims will emerge;</w:t>
      </w:r>
    </w:p>
    <w:p>
      <w:pPr>
        <w:spacing w:after="0" w:line="97" w:lineRule="exact"/>
        <w:rPr>
          <w:rFonts w:ascii="Arial" w:cs="Arial" w:eastAsia="Arial" w:hAnsi="Arial"/>
          <w:sz w:val="12"/>
          <w:szCs w:val="12"/>
          <w:color w:val="auto"/>
        </w:rPr>
      </w:pPr>
    </w:p>
    <w:p>
      <w:pPr>
        <w:ind w:left="1280" w:right="20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legal environment whereby court decisions and reinterpretations of title insurance policy language to broaden coverage could increase total obligations and influence claim payout patterns;</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events such as fraud, defalcation, multiple property title defects and individual large loss events that can substantially and unexpectedly cause increases in both the amount and timing of estimated title insurance loss payments;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loss cost trends whereby increases or decreases in inflationary factors (including the value of real estate) will influence the ultimate amount of title insurance loss payments;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claims staffing levels whereby claims may be settled at a different rate based on the future staffing levels of the claims department.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uncertainty and variation in the timing and amount of claim payments could have a material impact on our cash flows from operations in a particular period.</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addition to our title insurance reserves, at December 31, 2009, we held claim reserves of $52.6 million in our specialty insurance business segment. There is also uncertainty with respect to the precise payout pattern of these reserves, which we have estimated in the table above based on historical experience.</w:t>
      </w:r>
    </w:p>
    <w:p>
      <w:pPr>
        <w:spacing w:after="0" w:line="5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i w:val="1"/>
          <w:iCs w:val="1"/>
          <w:color w:val="auto"/>
        </w:rPr>
        <w:t xml:space="preserve">Capital Stock Transactions. </w:t>
      </w:r>
      <w:r>
        <w:rPr>
          <w:rFonts w:ascii="Arial" w:cs="Arial" w:eastAsia="Arial" w:hAnsi="Arial"/>
          <w:sz w:val="11"/>
          <w:szCs w:val="11"/>
          <w:color w:val="auto"/>
        </w:rPr>
        <w:t>On April 14, 2009, we offered 15,800,000 shares of common stock at an offering price of $19.00 per share, pursuant to an effective registration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previously filed with the Securities and Exchange Commission. The underwriters were granted and chose to exercise an option to purchase additional shares equal to 15% of the offering, or</w:t>
      </w:r>
    </w:p>
    <w:p>
      <w:pPr>
        <w:spacing w:after="0" w:line="1" w:lineRule="exact"/>
        <w:rPr>
          <w:sz w:val="20"/>
          <w:szCs w:val="20"/>
          <w:color w:val="auto"/>
        </w:rPr>
      </w:pPr>
    </w:p>
    <w:p>
      <w:pPr>
        <w:ind w:left="680" w:right="200"/>
        <w:spacing w:after="0" w:line="290" w:lineRule="auto"/>
        <w:rPr>
          <w:sz w:val="20"/>
          <w:szCs w:val="20"/>
          <w:color w:val="auto"/>
        </w:rPr>
      </w:pPr>
      <w:r>
        <w:rPr>
          <w:rFonts w:ascii="Arial" w:cs="Arial" w:eastAsia="Arial" w:hAnsi="Arial"/>
          <w:sz w:val="12"/>
          <w:szCs w:val="12"/>
          <w:color w:val="auto"/>
        </w:rPr>
        <w:t>2,370,000 shares, at the offering price. A total of 18,170,000 shares was issued on April 20, 2009, for net proceeds of approximately $331.4 million. The proceeds were used as follows: $135.0 million to repay borrowings under our $1.1 billion revolving credit facility, $71.5 million to repurchase our public bonds, $50.8 million to repurchase shares of our common stock, $25.0 million as part of a $57.1 million capital infusion into Lawyers Title and Commonwealth Land Title, and the remainder for general corporate purposes.</w:t>
      </w:r>
    </w:p>
    <w:p>
      <w:pPr>
        <w:spacing w:after="0" w:line="53"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On October 25, 2006, our Board of Directors approved a three-year stock repurchase program under which we can repurchase up to 25 million shares of our common stock. On July 21, 2009, our Board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Directors approved a new three-year stock repurchase program under which we can repurchase up to 15 million shares through July 31, 2012. We may make repurchases from time to time in the open market, in block purchases or in privately negotiated transactions, depending on market conditions and other factors. During 2009, we repurchased a total of 4,320,750 shares of our common stock for $57.1 million, or an average of $13.21 per share under the plan approved on October 25, 2006. Since the original commencement of the plan adopted in October 2006, and through September 2009, we repurchased a total of 17,161,120 shares for $286.2 million, or an average of $16.68 per share. This included 1,000,000 shares which we repurchased in 2007 from our Chairman of the Board, William P. Foley, II. In August 2007, Mr. Foley planned to sell 1,000,000 shares of FNF stock on the open market. Because we were actively repurchasing shares of our stock on the open market at the same time, we agreed to repurchase 1,000,000 shares from Mr. Foley on August 8, 2007, for $22.1 million, or $22.09 per share, the market price at the time of the repurchase. In October 2009, we began repurchasing shares under the program approved July 21, 2009, and, through December 31, 2009, we had repurchased a total of 1,294,400 shares for $17.9 million, or an average of $13.83 per share. Subsequent to year-end, on January 4, 2010, we purchased 859,866 shares of our common stock for $11.6 million from the administrator of two of our former subsidiaries employee benefit plans. Because we were actively repurchasing shares of our stock on the open market as part of the stock repurchase plan, we agreed to purchase the shares at a price of $13.46 per share, the market price at the time of purchase.</w:t>
      </w:r>
    </w:p>
    <w:p>
      <w:pPr>
        <w:spacing w:after="0" w:line="63"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Additional Minimum Pension Liability Adjustment. </w:t>
      </w:r>
      <w:r>
        <w:rPr>
          <w:rFonts w:ascii="Arial" w:cs="Arial" w:eastAsia="Arial" w:hAnsi="Arial"/>
          <w:sz w:val="13"/>
          <w:szCs w:val="13"/>
          <w:color w:val="auto"/>
        </w:rPr>
        <w:t>We recorded a net-of-tax charge of $2.8 million to accumulated other comprehensive income in 2009 for the change in our</w:t>
      </w:r>
      <w:r>
        <w:rPr>
          <w:rFonts w:ascii="Arial" w:cs="Arial" w:eastAsia="Arial" w:hAnsi="Arial"/>
          <w:sz w:val="13"/>
          <w:szCs w:val="13"/>
          <w:i w:val="1"/>
          <w:iCs w:val="1"/>
          <w:color w:val="auto"/>
        </w:rPr>
        <w:t xml:space="preserve"> </w:t>
      </w:r>
      <w:r>
        <w:rPr>
          <w:rFonts w:ascii="Arial" w:cs="Arial" w:eastAsia="Arial" w:hAnsi="Arial"/>
          <w:sz w:val="13"/>
          <w:szCs w:val="13"/>
          <w:color w:val="auto"/>
        </w:rPr>
        <w:t>minimum pension liability.</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Equity Security Investments. </w:t>
      </w:r>
      <w:r>
        <w:rPr>
          <w:rFonts w:ascii="Arial" w:cs="Arial" w:eastAsia="Arial" w:hAnsi="Arial"/>
          <w:sz w:val="13"/>
          <w:szCs w:val="13"/>
          <w:color w:val="auto"/>
        </w:rPr>
        <w:t>Our equity security investments are in companies whose values are subject to significant volatility. Should the fair value of these investments fall below</w:t>
      </w:r>
      <w:r>
        <w:rPr>
          <w:rFonts w:ascii="Arial" w:cs="Arial" w:eastAsia="Arial" w:hAnsi="Arial"/>
          <w:sz w:val="13"/>
          <w:szCs w:val="13"/>
          <w:i w:val="1"/>
          <w:iCs w:val="1"/>
          <w:color w:val="auto"/>
        </w:rPr>
        <w:t xml:space="preserve"> </w:t>
      </w:r>
      <w:r>
        <w:rPr>
          <w:rFonts w:ascii="Arial" w:cs="Arial" w:eastAsia="Arial" w:hAnsi="Arial"/>
          <w:sz w:val="13"/>
          <w:szCs w:val="13"/>
          <w:color w:val="auto"/>
        </w:rPr>
        <w:t>our cost basis and/or the financial condition or prospects of these companies deteriorate, we may determine in a future period that this decline in fair value is other-than-temporary, requiring that an impairment loss be recognized in the period such a determination is made. During the year ended December 31, 2009, we recorded impairment charges of $6.9 million related to equity security investments that we determined were other-than-temporarily impaired.</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3,215,434 shares of FIS’s common stock at a price of $15.55 per share. We are required to hold this investment for a period of at least 6 months from the date of purchase in accordance with Securities and Exchange Commission Rule 144. Additionally, we received a transaction fee of $1.5 million from FIS. The fair value of this investment was $75.4 million as of December 31, 2009.</w:t>
      </w:r>
    </w:p>
    <w:p>
      <w:pPr>
        <w:spacing w:after="0" w:line="5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Off-Balance Sheet Arrangements. </w:t>
      </w:r>
      <w:r>
        <w:rPr>
          <w:rFonts w:ascii="Arial" w:cs="Arial" w:eastAsia="Arial" w:hAnsi="Arial"/>
          <w:sz w:val="12"/>
          <w:szCs w:val="12"/>
          <w:color w:val="auto"/>
        </w:rPr>
        <w:t>We do not engage in off-balance sheet activities other than facility and equipment leasing arrangements. On June 29, 2004, Old FNF entered into</w:t>
      </w:r>
      <w:r>
        <w:rPr>
          <w:rFonts w:ascii="Arial" w:cs="Arial" w:eastAsia="Arial" w:hAnsi="Arial"/>
          <w:sz w:val="12"/>
          <w:szCs w:val="12"/>
          <w:i w:val="1"/>
          <w:iCs w:val="1"/>
          <w:color w:val="auto"/>
        </w:rPr>
        <w:t xml:space="preserve"> </w:t>
      </w:r>
      <w:r>
        <w:rPr>
          <w:rFonts w:ascii="Arial" w:cs="Arial" w:eastAsia="Arial" w:hAnsi="Arial"/>
          <w:sz w:val="12"/>
          <w:szCs w:val="12"/>
          <w:color w:val="auto"/>
        </w:rPr>
        <w:t>an 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provides for amounts up to $75.0 million. As of December 31, 2009, the full $75 million had been drawn on the facility to finance land costs and related fees and expenses and the outstanding balance was $70.1 million.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 and the associated rent expense that is included in other operating expenses in the Consolidated Statements of Operations. We do not believe the lessor is a variable interest entity, as defined in the FASB’s standard on consolidation of variable interest entities.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2009 related to these arrangements.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description of recent accounting pronouncements, see note R of Notes to Consolidated Financial Statements included elsewhere herein.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title insurance revenues.</w:t>
      </w:r>
    </w:p>
    <w:p>
      <w:pPr>
        <w:spacing w:after="0" w:line="6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regularly assess these market risks and have established policies and business practices designed to protect against the adverse effects of these exposures.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At December 31, 2009, we had $861.9 million in long-term debt, of which $401.2 million bears interest at a floating rate. Our fixed maturity investments and borrowings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However, we do not currently use derivative financial instruments in any material amount to hedge these risks.</w:t>
      </w:r>
    </w:p>
    <w:p>
      <w:pPr>
        <w:spacing w:after="0" w:line="55"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Equity price risk is the risk that we will incur economic losses due to adverse changes in equity prices. In the past, our exposure to changes in equity prices primarily resulted from our holdings of equity securities. At December 31, 2009, we held $92.5 million in marketable equity securities (not including our equity method investments such as Sedgwick, Ceridian, and Remy, which amounted to $617.1 million at December 31, 2009). The balance of equity securities is primarily composed of an investment in FIS stock of $50.0 million, which we purchased on October 1, 2009, pursuant to an investment agreement between us and FIS dated March 31, 2009 in connection with a merger between FIS and Metavante Technologies, Inc. We are required to hold this investment for a period of at least 6 months from the date of purchase in accordance with Securities and Exchange Commission Rule 144. The fair value of the FIS stock was $75.4 million as of December 31, 2009.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For purposes of this Annual Report on Form 10-K, we perform a sensitivity analysis to determine the effects that market risk exposures may have on the fair values of our debt and other financial instruments.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financial instruments that are included in the sensitivity analysis with respect to interest rate risk include fixed maturity investments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7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claim losses (representing 54.9% of total liabilities at December 31, 2009) is not included in the hypothetical effects.</w:t>
      </w:r>
    </w:p>
    <w:p>
      <w:pPr>
        <w:spacing w:after="0" w:line="6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no market risk sensitive instruments entered into for trading purposes; therefore, all of our market risk sensitive instruments were entered into for purposes other than trading. The results of the sensitivity analysis at December 31, 2009, and December 31, 2008, are as follows: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December 31, 2009, an increase (decrease) in the levels of interest rates of 100 basis points, with all other variables held constant, would result in a (decrease) increase in the fair value of our fixed maturity securities of $112.5 million as compared with a (decrease) increase of $96.7 million at December 31, 2008.</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Additionally, for the year ended December 31, 2009, an increase (decrease) of 100 basis points in the levels of interest rates, with all other variables held constant, would result in an increase (decrease) in the interest expense on our average outstanding floating rate debt of $4.4 million as compared to an increase (decrease) of $4.3 million for the year ended December 31, 2008.</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Price Risk</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At December 31, 2009, a 20% increase (decrease) in market prices, with all other variables held constant, would result in an increase (decrease) in the fair value of our equity securities portfolio of $18.5 million, as compared with an increase (decrease) of $14.3 million at December 31, 2008. At December 31, 2009, a 20% increase (decrease) in the market price of FIS stock, with all other variables held constant, would result in an increase (decrease) in the fair value of our equity securities portfolio of $14.9 million.</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to our equity securities, fixed maturity investments and borrowings, we invested in structured notes during 2009 with a par value of $75.0 million and fair value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$78.7 million at December 31, 2009. These instruments are subject to market risks including commodity price risks, foreign currency risks and interest rate risks. The fair value of these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instruments represents exit prices obtained from a proprietary valuation model utilized by the trading desk of a broker-dealer. The fair value of the structured notes is subject to various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assumptions utilized in the valuation model, some of which include the level of interest rates, and the underlying value of the relevant indexes, exchange-traded funds, and foreign currencies.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structured notes are held for general investment purposes and represent less than two percent of our total investment portfolio. In part because of the relatively small size of this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investment, we do not believe that an adverse change in the relevant commodity prices, foreign exchange rates or interest rates on which the value of the notes depends would likely have a</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material effect on our financial position, and therefore we have not provided a sensitivity analysis for these items.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82"/>
        </w:trPr>
        <w:tc>
          <w:tcPr>
            <w:tcW w:w="12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8840" w:type="dxa"/>
            <w:vAlign w:val="bottom"/>
            <w:gridSpan w:val="9"/>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2"/>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14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rPr>
              <w:t>FIDELITY NATIONAL FINANCIAL, INC. AND SUBSIDIARIES</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40" w:type="dxa"/>
            <w:vAlign w:val="bottom"/>
            <w:gridSpan w:val="7"/>
          </w:tcPr>
          <w:p>
            <w:pPr>
              <w:jc w:val="center"/>
              <w:ind w:right="2860"/>
              <w:spacing w:after="0"/>
              <w:rPr>
                <w:sz w:val="20"/>
                <w:szCs w:val="20"/>
                <w:color w:val="auto"/>
              </w:rPr>
            </w:pPr>
            <w:r>
              <w:rPr>
                <w:rFonts w:ascii="Arial" w:cs="Arial" w:eastAsia="Arial" w:hAnsi="Arial"/>
                <w:sz w:val="13"/>
                <w:szCs w:val="13"/>
                <w:b w:val="1"/>
                <w:bCs w:val="1"/>
                <w:color w:val="auto"/>
              </w:rPr>
              <w:t>INDEX TO FINANCIAL INFORMATION</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69"/>
        </w:trPr>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23"/>
                <w:szCs w:val="23"/>
                <w:color w:val="auto"/>
              </w:rPr>
            </w:pPr>
          </w:p>
        </w:tc>
      </w:tr>
      <w:tr>
        <w:trPr>
          <w:trHeight w:val="125"/>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Number</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6340" w:type="dxa"/>
            <w:vAlign w:val="bottom"/>
            <w:tcBorders>
              <w:bottom w:val="single" w:sz="8" w:color="0000EE"/>
            </w:tcBorders>
            <w:gridSpan w:val="10"/>
          </w:tcPr>
          <w:p>
            <w:pPr>
              <w:spacing w:after="0"/>
              <w:rPr>
                <w:rFonts w:ascii="Arial" w:cs="Arial" w:eastAsia="Arial" w:hAnsi="Arial"/>
                <w:sz w:val="13"/>
                <w:szCs w:val="13"/>
                <w:color w:val="0000EE"/>
                <w:w w:val="92"/>
              </w:rPr>
            </w:pPr>
            <w:hyperlink w:anchor="page69">
              <w:r>
                <w:rPr>
                  <w:rFonts w:ascii="Arial" w:cs="Arial" w:eastAsia="Arial" w:hAnsi="Arial"/>
                  <w:sz w:val="13"/>
                  <w:szCs w:val="13"/>
                  <w:color w:val="0000EE"/>
                  <w:w w:val="92"/>
                </w:rPr>
                <w:t>Report of Independent Registered Public Accounting Firm on Effectiveness of Internal Control over Financial Reporting</w:t>
              </w:r>
            </w:hyperlink>
          </w:p>
        </w:tc>
        <w:tc>
          <w:tcPr>
            <w:tcW w:w="3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66</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380" w:type="dxa"/>
            <w:vAlign w:val="bottom"/>
            <w:tcBorders>
              <w:bottom w:val="single" w:sz="8" w:color="0000EE"/>
            </w:tcBorders>
            <w:gridSpan w:val="5"/>
          </w:tcPr>
          <w:p>
            <w:pPr>
              <w:spacing w:after="0" w:line="138" w:lineRule="exact"/>
              <w:rPr>
                <w:rFonts w:ascii="Arial" w:cs="Arial" w:eastAsia="Arial" w:hAnsi="Arial"/>
                <w:sz w:val="13"/>
                <w:szCs w:val="13"/>
                <w:color w:val="0000EE"/>
                <w:w w:val="91"/>
              </w:rPr>
            </w:pPr>
            <w:hyperlink w:anchor="page70">
              <w:r>
                <w:rPr>
                  <w:rFonts w:ascii="Arial" w:cs="Arial" w:eastAsia="Arial" w:hAnsi="Arial"/>
                  <w:sz w:val="13"/>
                  <w:szCs w:val="13"/>
                  <w:color w:val="0000EE"/>
                  <w:w w:val="91"/>
                </w:rPr>
                <w:t>Report of Independent Registered Public Accounting Firm on Financial Statements</w:t>
              </w:r>
            </w:hyperlink>
          </w:p>
        </w:tc>
        <w:tc>
          <w:tcPr>
            <w:tcW w:w="5060" w:type="dxa"/>
            <w:vAlign w:val="bottom"/>
            <w:gridSpan w:val="6"/>
          </w:tcPr>
          <w:p>
            <w:pPr>
              <w:spacing w:after="0"/>
              <w:rPr>
                <w:sz w:val="11"/>
                <w:szCs w:val="11"/>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3"/>
                <w:szCs w:val="13"/>
                <w:color w:val="auto"/>
                <w:w w:val="96"/>
              </w:rPr>
              <w:t>67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40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71">
              <w:r>
                <w:rPr>
                  <w:rFonts w:ascii="Arial" w:cs="Arial" w:eastAsia="Arial" w:hAnsi="Arial"/>
                  <w:sz w:val="13"/>
                  <w:szCs w:val="13"/>
                  <w:color w:val="0000EE"/>
                  <w:w w:val="89"/>
                </w:rPr>
                <w:t>Consolidated Balance Sheets as of December 31, 2009 and 2008</w:t>
              </w:r>
            </w:hyperlink>
          </w:p>
        </w:tc>
        <w:tc>
          <w:tcPr>
            <w:tcW w:w="6040" w:type="dxa"/>
            <w:vAlign w:val="bottom"/>
            <w:gridSpan w:val="7"/>
          </w:tcPr>
          <w:p>
            <w:pPr>
              <w:spacing w:after="0"/>
              <w:rPr>
                <w:sz w:val="11"/>
                <w:szCs w:val="11"/>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3"/>
                <w:szCs w:val="13"/>
                <w:color w:val="auto"/>
                <w:w w:val="96"/>
              </w:rPr>
              <w:t>68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440" w:type="dxa"/>
            <w:vAlign w:val="bottom"/>
            <w:gridSpan w:val="11"/>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Consolidated Statements of Operations for the years ended December 31, 2009, 2008, and 2007</w:t>
              </w:r>
            </w:hyperlink>
          </w:p>
        </w:tc>
        <w:tc>
          <w:tcPr>
            <w:tcW w:w="540" w:type="dxa"/>
            <w:vAlign w:val="bottom"/>
          </w:tcPr>
          <w:p>
            <w:pPr>
              <w:jc w:val="center"/>
              <w:spacing w:after="0" w:line="138" w:lineRule="exact"/>
              <w:rPr>
                <w:sz w:val="20"/>
                <w:szCs w:val="20"/>
                <w:color w:val="auto"/>
              </w:rPr>
            </w:pPr>
            <w:r>
              <w:rPr>
                <w:rFonts w:ascii="Arial" w:cs="Arial" w:eastAsia="Arial" w:hAnsi="Arial"/>
                <w:sz w:val="13"/>
                <w:szCs w:val="13"/>
                <w:color w:val="auto"/>
                <w:w w:val="96"/>
              </w:rPr>
              <w:t>69</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5780" w:type="dxa"/>
            <w:vAlign w:val="bottom"/>
            <w:tcBorders>
              <w:bottom w:val="single" w:sz="8" w:color="0000EE"/>
            </w:tcBorders>
            <w:gridSpan w:val="9"/>
          </w:tcPr>
          <w:p>
            <w:pPr>
              <w:spacing w:after="0" w:line="138" w:lineRule="exact"/>
              <w:rPr>
                <w:rFonts w:ascii="Arial" w:cs="Arial" w:eastAsia="Arial" w:hAnsi="Arial"/>
                <w:sz w:val="13"/>
                <w:szCs w:val="13"/>
                <w:color w:val="0000EE"/>
                <w:w w:val="89"/>
              </w:rPr>
            </w:pPr>
            <w:hyperlink w:anchor="page73">
              <w:r>
                <w:rPr>
                  <w:rFonts w:ascii="Arial" w:cs="Arial" w:eastAsia="Arial" w:hAnsi="Arial"/>
                  <w:sz w:val="13"/>
                  <w:szCs w:val="13"/>
                  <w:color w:val="0000EE"/>
                  <w:w w:val="89"/>
                </w:rPr>
                <w:t>Consolidated Statements of Comprehensive Earnings for the years ended December 31, 2009, 2008, and 2007</w:t>
              </w:r>
            </w:hyperlink>
          </w:p>
        </w:tc>
        <w:tc>
          <w:tcPr>
            <w:tcW w:w="3660" w:type="dxa"/>
            <w:vAlign w:val="bottom"/>
            <w:gridSpan w:val="2"/>
          </w:tcPr>
          <w:p>
            <w:pPr>
              <w:spacing w:after="0"/>
              <w:rPr>
                <w:sz w:val="11"/>
                <w:szCs w:val="11"/>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3"/>
                <w:szCs w:val="13"/>
                <w:color w:val="auto"/>
                <w:w w:val="96"/>
              </w:rPr>
              <w:t>70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440" w:type="dxa"/>
            <w:vAlign w:val="bottom"/>
            <w:gridSpan w:val="11"/>
          </w:tcPr>
          <w:p>
            <w:pPr>
              <w:spacing w:after="0" w:line="138" w:lineRule="exact"/>
              <w:rPr>
                <w:rFonts w:ascii="Arial" w:cs="Arial" w:eastAsia="Arial" w:hAnsi="Arial"/>
                <w:sz w:val="13"/>
                <w:szCs w:val="13"/>
                <w:color w:val="0000EE"/>
              </w:rPr>
            </w:pPr>
            <w:hyperlink w:anchor="page74">
              <w:r>
                <w:rPr>
                  <w:rFonts w:ascii="Arial" w:cs="Arial" w:eastAsia="Arial" w:hAnsi="Arial"/>
                  <w:sz w:val="13"/>
                  <w:szCs w:val="13"/>
                  <w:color w:val="0000EE"/>
                </w:rPr>
                <w:t>Consolidated Statements of Equity for the years ended December 31, 2009, 2008, and 2007</w:t>
              </w:r>
            </w:hyperlink>
          </w:p>
        </w:tc>
        <w:tc>
          <w:tcPr>
            <w:tcW w:w="540" w:type="dxa"/>
            <w:vAlign w:val="bottom"/>
          </w:tcPr>
          <w:p>
            <w:pPr>
              <w:jc w:val="center"/>
              <w:spacing w:after="0" w:line="138" w:lineRule="exact"/>
              <w:rPr>
                <w:sz w:val="20"/>
                <w:szCs w:val="20"/>
                <w:color w:val="auto"/>
              </w:rPr>
            </w:pPr>
            <w:r>
              <w:rPr>
                <w:rFonts w:ascii="Arial" w:cs="Arial" w:eastAsia="Arial" w:hAnsi="Arial"/>
                <w:sz w:val="13"/>
                <w:szCs w:val="13"/>
                <w:color w:val="auto"/>
                <w:w w:val="96"/>
              </w:rPr>
              <w:t>71</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440" w:type="dxa"/>
            <w:vAlign w:val="bottom"/>
            <w:gridSpan w:val="11"/>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Consolidated Statements of Cash Flows for the years ended December 31, 2009, 2008, and 2007</w:t>
              </w:r>
            </w:hyperlink>
          </w:p>
        </w:tc>
        <w:tc>
          <w:tcPr>
            <w:tcW w:w="540" w:type="dxa"/>
            <w:vAlign w:val="bottom"/>
          </w:tcPr>
          <w:p>
            <w:pPr>
              <w:jc w:val="center"/>
              <w:spacing w:after="0" w:line="138" w:lineRule="exact"/>
              <w:rPr>
                <w:sz w:val="20"/>
                <w:szCs w:val="20"/>
                <w:color w:val="auto"/>
              </w:rPr>
            </w:pPr>
            <w:r>
              <w:rPr>
                <w:rFonts w:ascii="Arial" w:cs="Arial" w:eastAsia="Arial" w:hAnsi="Arial"/>
                <w:sz w:val="13"/>
                <w:szCs w:val="13"/>
                <w:color w:val="auto"/>
                <w:w w:val="96"/>
              </w:rPr>
              <w:t>72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6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Notes to Consolidated Financial Statements</w:t>
              </w:r>
            </w:hyperlink>
          </w:p>
        </w:tc>
        <w:tc>
          <w:tcPr>
            <w:tcW w:w="4380" w:type="dxa"/>
            <w:vAlign w:val="bottom"/>
            <w:gridSpan w:val="3"/>
          </w:tcPr>
          <w:p>
            <w:pPr>
              <w:spacing w:after="0"/>
              <w:rPr>
                <w:sz w:val="11"/>
                <w:szCs w:val="11"/>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3"/>
                <w:szCs w:val="13"/>
                <w:color w:val="auto"/>
                <w:w w:val="96"/>
              </w:rPr>
              <w:t>73</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2760" w:type="dxa"/>
            <w:vAlign w:val="bottom"/>
            <w:gridSpan w:val="5"/>
          </w:tcPr>
          <w:p>
            <w:pPr>
              <w:jc w:val="center"/>
              <w:ind w:left="2574"/>
              <w:spacing w:after="0"/>
              <w:rPr>
                <w:sz w:val="20"/>
                <w:szCs w:val="20"/>
                <w:color w:val="auto"/>
              </w:rPr>
            </w:pPr>
            <w:r>
              <w:rPr>
                <w:rFonts w:ascii="Arial" w:cs="Arial" w:eastAsia="Arial" w:hAnsi="Arial"/>
                <w:sz w:val="13"/>
                <w:szCs w:val="13"/>
                <w:color w:val="auto"/>
                <w:w w:val="82"/>
              </w:rPr>
              <w:t>65</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8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 xml:space="preserve">We have audited Fidelity National Financial, Inc.’s internal control over financial reporting as of December 31, 2009,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issued by the Committee of Sponsoring Organizations of the Treadway Commission (COSO). Fidelity National Financial, Inc.’s management is responsible for maintaining</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 xml:space="preserve">In our opinion, Fidelity National Financial, Inc. maintained, in all material respects, effective internal control over financial reporting as of December 31, 2009,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Fidelity National Financial, Inc. and subsidiaries as of December 31, 2009 and 2008, and the related Consolidated Statements of Operations, Comprehensive Earnings, Equity and Cash Flows for each of the years in the three-year period ended December 31, 2009, and our report dated March 1, 2010 expressed an unqualified opinion on those Consolidated Financial Statements.</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 2010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Certified Public Accountants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Fidelity National Financial, Inc. and subsidiaries as of December 31, 2009 and 2008, and the related Consolidated Statements of Operations, Comprehensive Earnings, Equity and Cash Flows for each of the years in the three-year period ended December 31, 2009. These Consolidated Financial Statements are the responsibility of the Company’s management. Our responsibility is to express an opinion on these Consolidated Financial Statements based on our audits.</w:t>
      </w:r>
    </w:p>
    <w:p>
      <w:pPr>
        <w:spacing w:after="0" w:line="5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Fidelity National Financial, Inc. and subsidiaries as of December 31, 2009 and 2008, and the results of their operations and their cash flows for each of the years in the three-year period ended December 31, 2009, in conformity with U.S. generally accepted accounting principles.</w:t>
      </w:r>
    </w:p>
    <w:p>
      <w:pPr>
        <w:spacing w:after="0" w:line="67"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Fidelity National Financial, Inc.’s internal control over financial reporting as of December 31, 2009,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and our report dated March 1, 2010 expressed an unqualified opinion on the effectiveness of the Company’s internal control over financial reporting.</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 2010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Certified Public Accountants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92"/>
              </w:rPr>
              <w:t>December 31,</w:t>
            </w:r>
          </w:p>
        </w:tc>
      </w:tr>
      <w:tr>
        <w:trPr>
          <w:trHeight w:val="98"/>
        </w:trPr>
        <w:tc>
          <w:tcPr>
            <w:tcW w:w="86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81"/>
        </w:trPr>
        <w:tc>
          <w:tcPr>
            <w:tcW w:w="8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5"/>
          </w:tcPr>
          <w:p>
            <w:pPr>
              <w:jc w:val="center"/>
              <w:ind w:right="160"/>
              <w:spacing w:after="0" w:line="81" w:lineRule="exact"/>
              <w:rPr>
                <w:sz w:val="20"/>
                <w:szCs w:val="20"/>
                <w:color w:val="auto"/>
              </w:rPr>
            </w:pPr>
            <w:r>
              <w:rPr>
                <w:rFonts w:ascii="Arial" w:cs="Arial" w:eastAsia="Arial" w:hAnsi="Arial"/>
                <w:sz w:val="9"/>
                <w:szCs w:val="9"/>
                <w:b w:val="1"/>
                <w:bCs w:val="1"/>
                <w:color w:val="auto"/>
              </w:rPr>
              <w:t>(In millions, except share</w:t>
            </w:r>
          </w:p>
        </w:tc>
      </w:tr>
      <w:tr>
        <w:trPr>
          <w:trHeight w:val="135"/>
        </w:trPr>
        <w:tc>
          <w:tcPr>
            <w:tcW w:w="8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rPr>
              <w:t>data)</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9"/>
        </w:trPr>
        <w:tc>
          <w:tcPr>
            <w:tcW w:w="8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8600" w:type="dxa"/>
            <w:vAlign w:val="bottom"/>
            <w:shd w:val="clear" w:color="auto" w:fill="CCEEFF"/>
          </w:tcPr>
          <w:p>
            <w:pPr>
              <w:ind w:left="4800"/>
              <w:spacing w:after="0" w:line="108" w:lineRule="exact"/>
              <w:rPr>
                <w:sz w:val="20"/>
                <w:szCs w:val="20"/>
                <w:color w:val="auto"/>
              </w:rPr>
            </w:pPr>
            <w:r>
              <w:rPr>
                <w:rFonts w:ascii="Arial" w:cs="Arial" w:eastAsia="Arial" w:hAnsi="Arial"/>
                <w:sz w:val="10"/>
                <w:szCs w:val="10"/>
                <w:b w:val="1"/>
                <w:bCs w:val="1"/>
                <w:color w:val="auto"/>
              </w:rPr>
              <w:t>ASSETS</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600" w:type="dxa"/>
            <w:vAlign w:val="bottom"/>
          </w:tcPr>
          <w:p>
            <w:pPr>
              <w:spacing w:after="0" w:line="108" w:lineRule="exact"/>
              <w:rPr>
                <w:sz w:val="20"/>
                <w:szCs w:val="20"/>
                <w:color w:val="auto"/>
              </w:rPr>
            </w:pPr>
            <w:r>
              <w:rPr>
                <w:rFonts w:ascii="Arial" w:cs="Arial" w:eastAsia="Arial" w:hAnsi="Arial"/>
                <w:sz w:val="10"/>
                <w:szCs w:val="10"/>
                <w:color w:val="auto"/>
              </w:rPr>
              <w:t>Investments:</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5"/>
        </w:trPr>
        <w:tc>
          <w:tcPr>
            <w:tcW w:w="8600" w:type="dxa"/>
            <w:vAlign w:val="bottom"/>
            <w:shd w:val="clear" w:color="auto" w:fill="CCEEFF"/>
          </w:tcPr>
          <w:p>
            <w:pPr>
              <w:ind w:left="120"/>
              <w:spacing w:after="0" w:line="95" w:lineRule="exact"/>
              <w:rPr>
                <w:sz w:val="20"/>
                <w:szCs w:val="20"/>
                <w:color w:val="auto"/>
              </w:rPr>
            </w:pPr>
            <w:r>
              <w:rPr>
                <w:rFonts w:ascii="Arial" w:cs="Arial" w:eastAsia="Arial" w:hAnsi="Arial"/>
                <w:sz w:val="10"/>
                <w:szCs w:val="10"/>
                <w:color w:val="auto"/>
                <w:w w:val="96"/>
              </w:rPr>
              <w:t>Fixed maturities available for sale, at fair value, at December 31, 2009 and 2008, includes pledged fixed maturities of $249.5 and $267.4, respectively, related to secured trust deposits and $25.6 and</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1"/>
        </w:trPr>
        <w:tc>
          <w:tcPr>
            <w:tcW w:w="86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$103.6, respectively, related to the securities lending program</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8"/>
              <w:spacing w:after="0"/>
              <w:rPr>
                <w:sz w:val="20"/>
                <w:szCs w:val="20"/>
                <w:color w:val="auto"/>
              </w:rPr>
            </w:pPr>
            <w:r>
              <w:rPr>
                <w:rFonts w:ascii="Arial" w:cs="Arial" w:eastAsia="Arial" w:hAnsi="Arial"/>
                <w:sz w:val="10"/>
                <w:szCs w:val="10"/>
                <w:color w:val="auto"/>
              </w:rPr>
              <w:t>3,524.2</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2,853.8</w:t>
            </w:r>
          </w:p>
        </w:tc>
      </w:tr>
      <w:tr>
        <w:trPr>
          <w:trHeight w:val="108"/>
        </w:trPr>
        <w:tc>
          <w:tcPr>
            <w:tcW w:w="8600" w:type="dxa"/>
            <w:vAlign w:val="bottom"/>
          </w:tcPr>
          <w:p>
            <w:pPr>
              <w:ind w:left="120"/>
              <w:spacing w:after="0" w:line="108" w:lineRule="exact"/>
              <w:rPr>
                <w:sz w:val="20"/>
                <w:szCs w:val="20"/>
                <w:color w:val="auto"/>
              </w:rPr>
            </w:pPr>
            <w:r>
              <w:rPr>
                <w:rFonts w:ascii="Arial" w:cs="Arial" w:eastAsia="Arial" w:hAnsi="Arial"/>
                <w:sz w:val="10"/>
                <w:szCs w:val="10"/>
                <w:color w:val="auto"/>
              </w:rPr>
              <w:t>Equity securities, at fair value</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92.5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71.5</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Investments in unconsolidated affiliates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617.1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644.5</w:t>
            </w:r>
          </w:p>
        </w:tc>
      </w:tr>
      <w:tr>
        <w:trPr>
          <w:trHeight w:val="108"/>
        </w:trPr>
        <w:tc>
          <w:tcPr>
            <w:tcW w:w="8600" w:type="dxa"/>
            <w:vAlign w:val="bottom"/>
          </w:tcPr>
          <w:p>
            <w:pPr>
              <w:ind w:left="120"/>
              <w:spacing w:after="0" w:line="108" w:lineRule="exact"/>
              <w:rPr>
                <w:sz w:val="20"/>
                <w:szCs w:val="20"/>
                <w:color w:val="auto"/>
              </w:rPr>
            </w:pPr>
            <w:r>
              <w:rPr>
                <w:rFonts w:ascii="Arial" w:cs="Arial" w:eastAsia="Arial" w:hAnsi="Arial"/>
                <w:sz w:val="10"/>
                <w:szCs w:val="10"/>
                <w:color w:val="auto"/>
              </w:rPr>
              <w:t>Other long-term investments</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103.5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18.3</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Short-term investments, at December 31, 2009 and 2008, includes $39.2 and $115.2, respectively, of pledged short-term investments related to secured trust deposits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348.1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788.4</w:t>
            </w:r>
          </w:p>
        </w:tc>
      </w:tr>
      <w:tr>
        <w:trPr>
          <w:trHeight w:val="108"/>
        </w:trPr>
        <w:tc>
          <w:tcPr>
            <w:tcW w:w="8600" w:type="dxa"/>
            <w:vAlign w:val="bottom"/>
          </w:tcPr>
          <w:p>
            <w:pPr>
              <w:ind w:left="240"/>
              <w:spacing w:after="0" w:line="108" w:lineRule="exact"/>
              <w:rPr>
                <w:sz w:val="20"/>
                <w:szCs w:val="20"/>
                <w:color w:val="auto"/>
              </w:rPr>
            </w:pPr>
            <w:r>
              <w:rPr>
                <w:rFonts w:ascii="Arial" w:cs="Arial" w:eastAsia="Arial" w:hAnsi="Arial"/>
                <w:sz w:val="10"/>
                <w:szCs w:val="10"/>
                <w:color w:val="auto"/>
              </w:rPr>
              <w:t>Total investments</w:t>
            </w: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4,685.4</w:t>
            </w: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4,376.5</w:t>
            </w:r>
          </w:p>
        </w:tc>
        <w:tc>
          <w:tcPr>
            <w:tcW w:w="100" w:type="dxa"/>
            <w:vAlign w:val="bottom"/>
          </w:tcPr>
          <w:p>
            <w:pPr>
              <w:spacing w:after="0"/>
              <w:rPr>
                <w:sz w:val="9"/>
                <w:szCs w:val="9"/>
                <w:color w:val="auto"/>
              </w:rPr>
            </w:pPr>
          </w:p>
        </w:tc>
      </w:tr>
      <w:tr>
        <w:trPr>
          <w:trHeight w:val="95"/>
        </w:trPr>
        <w:tc>
          <w:tcPr>
            <w:tcW w:w="86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w w:val="95"/>
              </w:rPr>
              <w:t>Cash and cash equivalents, at December 31, 2009 and 2008, includes pledged cash of $96.8 and $109.6, respectively, related to secured trust deposits and $26.5 and $107.6, respectively, related to the</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1"/>
        </w:trPr>
        <w:tc>
          <w:tcPr>
            <w:tcW w:w="8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securities lending program</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8"/>
              <w:spacing w:after="0"/>
              <w:rPr>
                <w:sz w:val="20"/>
                <w:szCs w:val="20"/>
                <w:color w:val="auto"/>
              </w:rPr>
            </w:pPr>
            <w:r>
              <w:rPr>
                <w:rFonts w:ascii="Arial" w:cs="Arial" w:eastAsia="Arial" w:hAnsi="Arial"/>
                <w:sz w:val="10"/>
                <w:szCs w:val="10"/>
                <w:color w:val="auto"/>
              </w:rPr>
              <w:t>202.1</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315.3</w:t>
            </w:r>
          </w:p>
        </w:tc>
      </w:tr>
      <w:tr>
        <w:trPr>
          <w:trHeight w:val="108"/>
        </w:trPr>
        <w:tc>
          <w:tcPr>
            <w:tcW w:w="8600" w:type="dxa"/>
            <w:vAlign w:val="bottom"/>
          </w:tcPr>
          <w:p>
            <w:pPr>
              <w:spacing w:after="0" w:line="108" w:lineRule="exact"/>
              <w:rPr>
                <w:sz w:val="20"/>
                <w:szCs w:val="20"/>
                <w:color w:val="auto"/>
              </w:rPr>
            </w:pPr>
            <w:r>
              <w:rPr>
                <w:rFonts w:ascii="Arial" w:cs="Arial" w:eastAsia="Arial" w:hAnsi="Arial"/>
                <w:sz w:val="10"/>
                <w:szCs w:val="10"/>
                <w:color w:val="auto"/>
              </w:rPr>
              <w:t>Trade and notes receivables, net of allowance of $29.5 and $32.6 at December 31, 2009 and 2008, respectively</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254.1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290.7</w:t>
            </w:r>
          </w:p>
        </w:tc>
      </w:tr>
      <w:tr>
        <w:trPr>
          <w:trHeight w:val="108"/>
        </w:trPr>
        <w:tc>
          <w:tcPr>
            <w:tcW w:w="8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Goodwill</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1,455.2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1,581.7</w:t>
            </w:r>
          </w:p>
        </w:tc>
      </w:tr>
      <w:tr>
        <w:trPr>
          <w:trHeight w:val="108"/>
        </w:trPr>
        <w:tc>
          <w:tcPr>
            <w:tcW w:w="8600" w:type="dxa"/>
            <w:vAlign w:val="bottom"/>
          </w:tcPr>
          <w:p>
            <w:pPr>
              <w:spacing w:after="0" w:line="108" w:lineRule="exact"/>
              <w:rPr>
                <w:sz w:val="20"/>
                <w:szCs w:val="20"/>
                <w:color w:val="auto"/>
              </w:rPr>
            </w:pPr>
            <w:r>
              <w:rPr>
                <w:rFonts w:ascii="Arial" w:cs="Arial" w:eastAsia="Arial" w:hAnsi="Arial"/>
                <w:sz w:val="10"/>
                <w:szCs w:val="10"/>
                <w:color w:val="auto"/>
              </w:rPr>
              <w:t>Prepaid expenses and other assets</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332.0</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632.4</w:t>
            </w:r>
          </w:p>
        </w:tc>
      </w:tr>
      <w:tr>
        <w:trPr>
          <w:trHeight w:val="108"/>
        </w:trPr>
        <w:tc>
          <w:tcPr>
            <w:tcW w:w="8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Capitalized software, net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56.0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85.7</w:t>
            </w:r>
          </w:p>
        </w:tc>
      </w:tr>
      <w:tr>
        <w:trPr>
          <w:trHeight w:val="108"/>
        </w:trPr>
        <w:tc>
          <w:tcPr>
            <w:tcW w:w="8600" w:type="dxa"/>
            <w:vAlign w:val="bottom"/>
          </w:tcPr>
          <w:p>
            <w:pPr>
              <w:spacing w:after="0" w:line="108" w:lineRule="exact"/>
              <w:rPr>
                <w:sz w:val="20"/>
                <w:szCs w:val="20"/>
                <w:color w:val="auto"/>
              </w:rPr>
            </w:pPr>
            <w:r>
              <w:rPr>
                <w:rFonts w:ascii="Arial" w:cs="Arial" w:eastAsia="Arial" w:hAnsi="Arial"/>
                <w:sz w:val="10"/>
                <w:szCs w:val="10"/>
                <w:color w:val="auto"/>
              </w:rPr>
              <w:t>Other intangible assets, net</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166.9</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92.5</w:t>
            </w:r>
          </w:p>
        </w:tc>
      </w:tr>
      <w:tr>
        <w:trPr>
          <w:trHeight w:val="108"/>
        </w:trPr>
        <w:tc>
          <w:tcPr>
            <w:tcW w:w="8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Title plants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407.5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431.6</w:t>
            </w:r>
          </w:p>
        </w:tc>
      </w:tr>
      <w:tr>
        <w:trPr>
          <w:trHeight w:val="108"/>
        </w:trPr>
        <w:tc>
          <w:tcPr>
            <w:tcW w:w="8600" w:type="dxa"/>
            <w:vAlign w:val="bottom"/>
          </w:tcPr>
          <w:p>
            <w:pPr>
              <w:spacing w:after="0" w:line="108" w:lineRule="exact"/>
              <w:rPr>
                <w:sz w:val="20"/>
                <w:szCs w:val="20"/>
                <w:color w:val="auto"/>
              </w:rPr>
            </w:pPr>
            <w:r>
              <w:rPr>
                <w:rFonts w:ascii="Arial" w:cs="Arial" w:eastAsia="Arial" w:hAnsi="Arial"/>
                <w:sz w:val="10"/>
                <w:szCs w:val="10"/>
                <w:color w:val="auto"/>
              </w:rPr>
              <w:t>Property and equipment, net</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189.8</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307.2</w:t>
            </w:r>
          </w:p>
        </w:tc>
      </w:tr>
      <w:tr>
        <w:trPr>
          <w:trHeight w:val="108"/>
        </w:trPr>
        <w:tc>
          <w:tcPr>
            <w:tcW w:w="8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Income taxes receivable</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56.5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115.4</w:t>
            </w:r>
          </w:p>
        </w:tc>
      </w:tr>
      <w:tr>
        <w:trPr>
          <w:trHeight w:val="108"/>
        </w:trPr>
        <w:tc>
          <w:tcPr>
            <w:tcW w:w="8600" w:type="dxa"/>
            <w:vAlign w:val="bottom"/>
          </w:tcPr>
          <w:p>
            <w:pPr>
              <w:spacing w:after="0" w:line="108" w:lineRule="exact"/>
              <w:rPr>
                <w:sz w:val="20"/>
                <w:szCs w:val="20"/>
                <w:color w:val="auto"/>
              </w:rPr>
            </w:pPr>
            <w:r>
              <w:rPr>
                <w:rFonts w:ascii="Arial" w:cs="Arial" w:eastAsia="Arial" w:hAnsi="Arial"/>
                <w:sz w:val="10"/>
                <w:szCs w:val="10"/>
                <w:color w:val="auto"/>
              </w:rPr>
              <w:t>Deferred tax assets</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128.9</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139.2</w:t>
            </w:r>
          </w:p>
        </w:tc>
      </w:tr>
      <w:tr>
        <w:trPr>
          <w:trHeight w:val="20"/>
        </w:trPr>
        <w:tc>
          <w:tcPr>
            <w:tcW w:w="8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86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Total assets</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7.934.4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8,368.2</w:t>
            </w:r>
          </w:p>
        </w:tc>
      </w:tr>
      <w:tr>
        <w:trPr>
          <w:trHeight w:val="236"/>
        </w:trPr>
        <w:tc>
          <w:tcPr>
            <w:tcW w:w="8600" w:type="dxa"/>
            <w:vAlign w:val="bottom"/>
          </w:tcPr>
          <w:p>
            <w:pPr>
              <w:ind w:left="4320"/>
              <w:spacing w:after="0"/>
              <w:rPr>
                <w:sz w:val="20"/>
                <w:szCs w:val="20"/>
                <w:color w:val="auto"/>
              </w:rPr>
            </w:pPr>
            <w:r>
              <w:rPr>
                <w:rFonts w:ascii="Arial" w:cs="Arial" w:eastAsia="Arial" w:hAnsi="Arial"/>
                <w:sz w:val="10"/>
                <w:szCs w:val="10"/>
                <w:b w:val="1"/>
                <w:bCs w:val="1"/>
                <w:color w:val="auto"/>
              </w:rPr>
              <w:t>LIABILITIES AND EQUITY</w:t>
            </w: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Liabilities:</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600" w:type="dxa"/>
            <w:vAlign w:val="bottom"/>
          </w:tcPr>
          <w:p>
            <w:pPr>
              <w:ind w:left="120"/>
              <w:spacing w:after="0" w:line="108" w:lineRule="exact"/>
              <w:rPr>
                <w:sz w:val="20"/>
                <w:szCs w:val="20"/>
                <w:color w:val="auto"/>
              </w:rPr>
            </w:pPr>
            <w:r>
              <w:rPr>
                <w:rFonts w:ascii="Arial" w:cs="Arial" w:eastAsia="Arial" w:hAnsi="Arial"/>
                <w:sz w:val="10"/>
                <w:szCs w:val="10"/>
                <w:color w:val="auto"/>
              </w:rPr>
              <w:t>Accounts payable and accrued liabilities, at December 31, 2009 and 2008, includes $26.5 and $107.6, respectively, of security loans related to the securities lending program</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696.0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828.9</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payable to related parties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6.9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w:t>
            </w:r>
          </w:p>
        </w:tc>
      </w:tr>
      <w:tr>
        <w:trPr>
          <w:trHeight w:val="108"/>
        </w:trPr>
        <w:tc>
          <w:tcPr>
            <w:tcW w:w="8600" w:type="dxa"/>
            <w:vAlign w:val="bottom"/>
          </w:tcPr>
          <w:p>
            <w:pPr>
              <w:ind w:left="120"/>
              <w:spacing w:after="0" w:line="108" w:lineRule="exact"/>
              <w:rPr>
                <w:sz w:val="20"/>
                <w:szCs w:val="20"/>
                <w:color w:val="auto"/>
              </w:rPr>
            </w:pPr>
            <w:r>
              <w:rPr>
                <w:rFonts w:ascii="Arial" w:cs="Arial" w:eastAsia="Arial" w:hAnsi="Arial"/>
                <w:sz w:val="10"/>
                <w:szCs w:val="10"/>
                <w:color w:val="auto"/>
              </w:rPr>
              <w:t>Deferred revenue</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110.0</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109.0</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Notes payable</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861.9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1,350.8</w:t>
            </w:r>
          </w:p>
        </w:tc>
      </w:tr>
      <w:tr>
        <w:trPr>
          <w:trHeight w:val="108"/>
        </w:trPr>
        <w:tc>
          <w:tcPr>
            <w:tcW w:w="8600" w:type="dxa"/>
            <w:vAlign w:val="bottom"/>
          </w:tcPr>
          <w:p>
            <w:pPr>
              <w:ind w:left="120"/>
              <w:spacing w:after="0" w:line="108" w:lineRule="exact"/>
              <w:rPr>
                <w:sz w:val="20"/>
                <w:szCs w:val="20"/>
                <w:color w:val="auto"/>
              </w:rPr>
            </w:pPr>
            <w:r>
              <w:rPr>
                <w:rFonts w:ascii="Arial" w:cs="Arial" w:eastAsia="Arial" w:hAnsi="Arial"/>
                <w:sz w:val="10"/>
                <w:szCs w:val="10"/>
                <w:color w:val="auto"/>
              </w:rPr>
              <w:t>Reserve for claim losses</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2,541.4</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2,738.6</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Secured trust deposits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373.3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474.1</w:t>
            </w:r>
          </w:p>
        </w:tc>
      </w:tr>
      <w:tr>
        <w:trPr>
          <w:trHeight w:val="108"/>
        </w:trPr>
        <w:tc>
          <w:tcPr>
            <w:tcW w:w="8600" w:type="dxa"/>
            <w:vAlign w:val="bottom"/>
          </w:tcPr>
          <w:p>
            <w:pPr>
              <w:ind w:left="240"/>
              <w:spacing w:after="0" w:line="108" w:lineRule="exact"/>
              <w:rPr>
                <w:sz w:val="20"/>
                <w:szCs w:val="20"/>
                <w:color w:val="auto"/>
              </w:rPr>
            </w:pPr>
            <w:r>
              <w:rPr>
                <w:rFonts w:ascii="Arial" w:cs="Arial" w:eastAsia="Arial" w:hAnsi="Arial"/>
                <w:sz w:val="10"/>
                <w:szCs w:val="10"/>
                <w:color w:val="auto"/>
              </w:rPr>
              <w:t>Total liabilities</w:t>
            </w: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4,589.5</w:t>
            </w: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5,511.4</w:t>
            </w:r>
          </w:p>
        </w:tc>
        <w:tc>
          <w:tcPr>
            <w:tcW w:w="100" w:type="dxa"/>
            <w:vAlign w:val="bottom"/>
          </w:tcPr>
          <w:p>
            <w:pPr>
              <w:spacing w:after="0"/>
              <w:rPr>
                <w:sz w:val="9"/>
                <w:szCs w:val="9"/>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95"/>
        </w:trPr>
        <w:tc>
          <w:tcPr>
            <w:tcW w:w="8600" w:type="dxa"/>
            <w:vAlign w:val="bottom"/>
          </w:tcPr>
          <w:p>
            <w:pPr>
              <w:ind w:left="120"/>
              <w:spacing w:after="0" w:line="95" w:lineRule="exact"/>
              <w:rPr>
                <w:sz w:val="20"/>
                <w:szCs w:val="20"/>
                <w:color w:val="auto"/>
              </w:rPr>
            </w:pPr>
            <w:r>
              <w:rPr>
                <w:rFonts w:ascii="Arial" w:cs="Arial" w:eastAsia="Arial" w:hAnsi="Arial"/>
                <w:sz w:val="10"/>
                <w:szCs w:val="10"/>
                <w:color w:val="auto"/>
                <w:w w:val="95"/>
              </w:rPr>
              <w:t>Common stock, Class A, $0.0001 par value; authorized, 600,000,000 shares as of December 31, 2009 and 2008; issued 249,713,996 shares and 228,391,066 shares at December 31, 2009 and 2008,</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1"/>
        </w:trPr>
        <w:tc>
          <w:tcPr>
            <w:tcW w:w="8600" w:type="dxa"/>
            <w:vAlign w:val="bottom"/>
          </w:tcPr>
          <w:p>
            <w:pPr>
              <w:ind w:left="240"/>
              <w:spacing w:after="0"/>
              <w:rPr>
                <w:sz w:val="20"/>
                <w:szCs w:val="20"/>
                <w:color w:val="auto"/>
              </w:rPr>
            </w:pPr>
            <w:r>
              <w:rPr>
                <w:rFonts w:ascii="Arial" w:cs="Arial" w:eastAsia="Arial" w:hAnsi="Arial"/>
                <w:sz w:val="10"/>
                <w:szCs w:val="10"/>
                <w:color w:val="auto"/>
              </w:rPr>
              <w:t>respectively</w:t>
            </w:r>
          </w:p>
        </w:tc>
        <w:tc>
          <w:tcPr>
            <w:tcW w:w="60" w:type="dxa"/>
            <w:vAlign w:val="bottom"/>
          </w:tcPr>
          <w:p>
            <w:pPr>
              <w:spacing w:after="0"/>
              <w:rPr>
                <w:sz w:val="10"/>
                <w:szCs w:val="10"/>
                <w:color w:val="auto"/>
              </w:rPr>
            </w:pPr>
          </w:p>
        </w:tc>
        <w:tc>
          <w:tcPr>
            <w:tcW w:w="740" w:type="dxa"/>
            <w:vAlign w:val="bottom"/>
            <w:gridSpan w:val="2"/>
          </w:tcPr>
          <w:p>
            <w:pPr>
              <w:jc w:val="right"/>
              <w:ind w:right="2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Preferred stock, $0.0001 par value; authorized, 50,000,000 shares; issued and outstanding, none</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600" w:type="dxa"/>
            <w:vAlign w:val="bottom"/>
          </w:tcPr>
          <w:p>
            <w:pPr>
              <w:ind w:left="120"/>
              <w:spacing w:after="0" w:line="108" w:lineRule="exact"/>
              <w:rPr>
                <w:sz w:val="20"/>
                <w:szCs w:val="20"/>
                <w:color w:val="auto"/>
              </w:rPr>
            </w:pPr>
            <w:r>
              <w:rPr>
                <w:rFonts w:ascii="Arial" w:cs="Arial" w:eastAsia="Arial" w:hAnsi="Arial"/>
                <w:sz w:val="10"/>
                <w:szCs w:val="10"/>
                <w:color w:val="auto"/>
              </w:rPr>
              <w:t>Additional paid-in capital</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3,712.1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3,325.2</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Retained earnings (deficit)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(102.4)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(188.9)</w:t>
            </w:r>
          </w:p>
        </w:tc>
      </w:tr>
      <w:tr>
        <w:trPr>
          <w:trHeight w:val="108"/>
        </w:trPr>
        <w:tc>
          <w:tcPr>
            <w:tcW w:w="8600" w:type="dxa"/>
            <w:vAlign w:val="bottom"/>
          </w:tcPr>
          <w:p>
            <w:pPr>
              <w:ind w:left="120"/>
              <w:spacing w:after="0" w:line="108" w:lineRule="exact"/>
              <w:rPr>
                <w:sz w:val="20"/>
                <w:szCs w:val="20"/>
                <w:color w:val="auto"/>
              </w:rPr>
            </w:pPr>
            <w:r>
              <w:rPr>
                <w:rFonts w:ascii="Arial" w:cs="Arial" w:eastAsia="Arial" w:hAnsi="Arial"/>
                <w:sz w:val="10"/>
                <w:szCs w:val="10"/>
                <w:color w:val="auto"/>
              </w:rPr>
              <w:t>Accumulated other comprehensive earnings (loss)</w:t>
            </w:r>
          </w:p>
        </w:tc>
        <w:tc>
          <w:tcPr>
            <w:tcW w:w="60" w:type="dxa"/>
            <w:vAlign w:val="bottom"/>
          </w:tcPr>
          <w:p>
            <w:pPr>
              <w:spacing w:after="0"/>
              <w:rPr>
                <w:sz w:val="9"/>
                <w:szCs w:val="9"/>
                <w:color w:val="auto"/>
              </w:rPr>
            </w:pPr>
          </w:p>
        </w:tc>
        <w:tc>
          <w:tcPr>
            <w:tcW w:w="7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35.6</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(91.8)</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Less treasury stock, 19,496,888 shares and 13,488,288 shares as of December 31, 2009 and 2008, respectively, at cost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(319.4)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(238.9)</w:t>
            </w:r>
          </w:p>
        </w:tc>
      </w:tr>
      <w:tr>
        <w:trPr>
          <w:trHeight w:val="108"/>
        </w:trPr>
        <w:tc>
          <w:tcPr>
            <w:tcW w:w="8600" w:type="dxa"/>
            <w:vAlign w:val="bottom"/>
          </w:tcPr>
          <w:p>
            <w:pPr>
              <w:ind w:left="240"/>
              <w:spacing w:after="0" w:line="108" w:lineRule="exact"/>
              <w:rPr>
                <w:sz w:val="20"/>
                <w:szCs w:val="20"/>
                <w:color w:val="auto"/>
              </w:rPr>
            </w:pPr>
            <w:r>
              <w:rPr>
                <w:rFonts w:ascii="Arial" w:cs="Arial" w:eastAsia="Arial" w:hAnsi="Arial"/>
                <w:sz w:val="10"/>
                <w:szCs w:val="10"/>
                <w:color w:val="auto"/>
              </w:rPr>
              <w:t>Total Fidelity National Financial, Inc. shareholders’ equity</w:t>
            </w: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3,325.9</w:t>
            </w: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2,805.6</w:t>
            </w:r>
          </w:p>
        </w:tc>
        <w:tc>
          <w:tcPr>
            <w:tcW w:w="100" w:type="dxa"/>
            <w:vAlign w:val="bottom"/>
          </w:tcPr>
          <w:p>
            <w:pPr>
              <w:spacing w:after="0"/>
              <w:rPr>
                <w:sz w:val="9"/>
                <w:szCs w:val="9"/>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Noncontrolling interests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19.0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51.2</w:t>
            </w:r>
          </w:p>
        </w:tc>
      </w:tr>
      <w:tr>
        <w:trPr>
          <w:trHeight w:val="108"/>
        </w:trPr>
        <w:tc>
          <w:tcPr>
            <w:tcW w:w="8600" w:type="dxa"/>
            <w:vAlign w:val="bottom"/>
          </w:tcPr>
          <w:p>
            <w:pPr>
              <w:ind w:left="240"/>
              <w:spacing w:after="0" w:line="108" w:lineRule="exact"/>
              <w:rPr>
                <w:sz w:val="20"/>
                <w:szCs w:val="20"/>
                <w:color w:val="auto"/>
              </w:rPr>
            </w:pPr>
            <w:r>
              <w:rPr>
                <w:rFonts w:ascii="Arial" w:cs="Arial" w:eastAsia="Arial" w:hAnsi="Arial"/>
                <w:sz w:val="10"/>
                <w:szCs w:val="10"/>
                <w:color w:val="auto"/>
              </w:rPr>
              <w:t>Total equity</w:t>
            </w: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3,344.9</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2,856.8</w:t>
            </w:r>
          </w:p>
        </w:tc>
        <w:tc>
          <w:tcPr>
            <w:tcW w:w="100" w:type="dxa"/>
            <w:vAlign w:val="bottom"/>
          </w:tcPr>
          <w:p>
            <w:pPr>
              <w:spacing w:after="0"/>
              <w:rPr>
                <w:sz w:val="9"/>
                <w:szCs w:val="9"/>
                <w:color w:val="auto"/>
              </w:rPr>
            </w:pPr>
          </w:p>
        </w:tc>
      </w:tr>
      <w:tr>
        <w:trPr>
          <w:trHeight w:val="108"/>
        </w:trPr>
        <w:tc>
          <w:tcPr>
            <w:tcW w:w="86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Total liabilities and equity</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7,934.4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8,368.2</w:t>
            </w:r>
          </w:p>
        </w:tc>
      </w:tr>
      <w:tr>
        <w:trPr>
          <w:trHeight w:val="29"/>
        </w:trPr>
        <w:tc>
          <w:tcPr>
            <w:tcW w:w="8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6"/>
          </w:tcPr>
          <w:p>
            <w:pPr>
              <w:jc w:val="center"/>
              <w:ind w:left="188"/>
              <w:spacing w:after="0"/>
              <w:rPr>
                <w:sz w:val="20"/>
                <w:szCs w:val="20"/>
                <w:color w:val="auto"/>
              </w:rPr>
            </w:pPr>
            <w:r>
              <w:rPr>
                <w:rFonts w:ascii="Arial" w:cs="Arial" w:eastAsia="Arial" w:hAnsi="Arial"/>
                <w:sz w:val="10"/>
                <w:szCs w:val="10"/>
                <w:b w:val="1"/>
                <w:bCs w:val="1"/>
                <w:color w:val="auto"/>
                <w:w w:val="94"/>
              </w:rPr>
              <w:t>Year Ended December 31,</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center"/>
              <w:ind w:right="48"/>
              <w:spacing w:after="0" w:line="98" w:lineRule="exact"/>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80"/>
              </w:rPr>
              <w:t>2007</w:t>
            </w:r>
          </w:p>
        </w:tc>
        <w:tc>
          <w:tcPr>
            <w:tcW w:w="100" w:type="dxa"/>
            <w:vAlign w:val="bottom"/>
          </w:tcPr>
          <w:p>
            <w:pPr>
              <w:spacing w:after="0"/>
              <w:rPr>
                <w:sz w:val="8"/>
                <w:szCs w:val="8"/>
                <w:color w:val="auto"/>
              </w:rPr>
            </w:pPr>
          </w:p>
        </w:tc>
      </w:tr>
      <w:tr>
        <w:trPr>
          <w:trHeight w:val="131"/>
        </w:trPr>
        <w:tc>
          <w:tcPr>
            <w:tcW w:w="8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8"/>
          </w:tcPr>
          <w:p>
            <w:pPr>
              <w:jc w:val="center"/>
              <w:ind w:right="180"/>
              <w:spacing w:after="0"/>
              <w:rPr>
                <w:sz w:val="20"/>
                <w:szCs w:val="20"/>
                <w:color w:val="auto"/>
              </w:rPr>
            </w:pPr>
            <w:r>
              <w:rPr>
                <w:rFonts w:ascii="Arial" w:cs="Arial" w:eastAsia="Arial" w:hAnsi="Arial"/>
                <w:sz w:val="10"/>
                <w:szCs w:val="10"/>
                <w:b w:val="1"/>
                <w:bCs w:val="1"/>
                <w:color w:val="auto"/>
                <w:w w:val="94"/>
              </w:rPr>
              <w:t>(In millions, except share data)</w:t>
            </w:r>
          </w:p>
        </w:tc>
      </w:tr>
      <w:tr>
        <w:trPr>
          <w:trHeight w:val="114"/>
        </w:trPr>
        <w:tc>
          <w:tcPr>
            <w:tcW w:w="8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Revenues: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000" w:type="dxa"/>
            <w:vAlign w:val="bottom"/>
          </w:tcPr>
          <w:p>
            <w:pPr>
              <w:ind w:left="120"/>
              <w:spacing w:after="0" w:line="108" w:lineRule="exact"/>
              <w:rPr>
                <w:sz w:val="20"/>
                <w:szCs w:val="20"/>
                <w:color w:val="auto"/>
              </w:rPr>
            </w:pPr>
            <w:r>
              <w:rPr>
                <w:rFonts w:ascii="Arial" w:cs="Arial" w:eastAsia="Arial" w:hAnsi="Arial"/>
                <w:sz w:val="10"/>
                <w:szCs w:val="10"/>
                <w:color w:val="auto"/>
              </w:rPr>
              <w:t>Direct title insurance premiums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1,475.3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1,140.3</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5"/>
              </w:rPr>
              <w:t>1,601.8</w:t>
            </w: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Agency title insurance premiums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2,452.3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1,554.7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2,198.7</w:t>
            </w:r>
          </w:p>
        </w:tc>
      </w:tr>
      <w:tr>
        <w:trPr>
          <w:trHeight w:val="108"/>
        </w:trPr>
        <w:tc>
          <w:tcPr>
            <w:tcW w:w="8000" w:type="dxa"/>
            <w:vAlign w:val="bottom"/>
          </w:tcPr>
          <w:p>
            <w:pPr>
              <w:ind w:left="120"/>
              <w:spacing w:after="0" w:line="108" w:lineRule="exact"/>
              <w:rPr>
                <w:sz w:val="20"/>
                <w:szCs w:val="20"/>
                <w:color w:val="auto"/>
              </w:rPr>
            </w:pPr>
            <w:r>
              <w:rPr>
                <w:rFonts w:ascii="Arial" w:cs="Arial" w:eastAsia="Arial" w:hAnsi="Arial"/>
                <w:sz w:val="10"/>
                <w:szCs w:val="10"/>
                <w:color w:val="auto"/>
              </w:rPr>
              <w:t>Escrow, title-related and other fees</w:t>
            </w:r>
          </w:p>
        </w:tc>
        <w:tc>
          <w:tcPr>
            <w:tcW w:w="10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1,352.9</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1,071.3</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5"/>
              </w:rPr>
              <w:t>1,076.0</w:t>
            </w: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Specialty insurance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366.0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373.4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386.4</w:t>
            </w:r>
          </w:p>
        </w:tc>
      </w:tr>
      <w:tr>
        <w:trPr>
          <w:trHeight w:val="108"/>
        </w:trPr>
        <w:tc>
          <w:tcPr>
            <w:tcW w:w="8000" w:type="dxa"/>
            <w:vAlign w:val="bottom"/>
          </w:tcPr>
          <w:p>
            <w:pPr>
              <w:ind w:left="120"/>
              <w:spacing w:after="0" w:line="108" w:lineRule="exact"/>
              <w:rPr>
                <w:sz w:val="20"/>
                <w:szCs w:val="20"/>
                <w:color w:val="auto"/>
              </w:rPr>
            </w:pPr>
            <w:r>
              <w:rPr>
                <w:rFonts w:ascii="Arial" w:cs="Arial" w:eastAsia="Arial" w:hAnsi="Arial"/>
                <w:sz w:val="10"/>
                <w:szCs w:val="10"/>
                <w:color w:val="auto"/>
              </w:rPr>
              <w:t>Interest and investment income</w:t>
            </w:r>
          </w:p>
        </w:tc>
        <w:tc>
          <w:tcPr>
            <w:tcW w:w="10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154.5</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134.0</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184.2</w:t>
            </w: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Realized gains and losses, net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27.4</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(22.5)</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18.5</w:t>
            </w:r>
          </w:p>
        </w:tc>
      </w:tr>
      <w:tr>
        <w:trPr>
          <w:trHeight w:val="108"/>
        </w:trPr>
        <w:tc>
          <w:tcPr>
            <w:tcW w:w="8000" w:type="dxa"/>
            <w:vAlign w:val="bottom"/>
          </w:tcPr>
          <w:p>
            <w:pPr>
              <w:ind w:left="220"/>
              <w:spacing w:after="0" w:line="108" w:lineRule="exact"/>
              <w:rPr>
                <w:sz w:val="20"/>
                <w:szCs w:val="20"/>
                <w:color w:val="auto"/>
              </w:rPr>
            </w:pPr>
            <w:r>
              <w:rPr>
                <w:rFonts w:ascii="Arial" w:cs="Arial" w:eastAsia="Arial" w:hAnsi="Arial"/>
                <w:sz w:val="10"/>
                <w:szCs w:val="10"/>
                <w:color w:val="auto"/>
              </w:rPr>
              <w:t>Total Revenues</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5,828.4</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4,251.2</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5,465.6</w:t>
            </w:r>
          </w:p>
        </w:tc>
        <w:tc>
          <w:tcPr>
            <w:tcW w:w="100" w:type="dxa"/>
            <w:vAlign w:val="bottom"/>
          </w:tcPr>
          <w:p>
            <w:pPr>
              <w:spacing w:after="0"/>
              <w:rPr>
                <w:sz w:val="9"/>
                <w:szCs w:val="9"/>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Expenses: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000" w:type="dxa"/>
            <w:vAlign w:val="bottom"/>
          </w:tcPr>
          <w:p>
            <w:pPr>
              <w:ind w:left="120"/>
              <w:spacing w:after="0" w:line="108" w:lineRule="exact"/>
              <w:rPr>
                <w:sz w:val="20"/>
                <w:szCs w:val="20"/>
                <w:color w:val="auto"/>
              </w:rPr>
            </w:pPr>
            <w:r>
              <w:rPr>
                <w:rFonts w:ascii="Arial" w:cs="Arial" w:eastAsia="Arial" w:hAnsi="Arial"/>
                <w:sz w:val="10"/>
                <w:szCs w:val="10"/>
                <w:color w:val="auto"/>
              </w:rPr>
              <w:t>Personnel costs</w:t>
            </w:r>
          </w:p>
        </w:tc>
        <w:tc>
          <w:tcPr>
            <w:tcW w:w="10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1,649.8</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1,322.0</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5"/>
              </w:rPr>
              <w:t>1,668.6</w:t>
            </w: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operating expenses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1,343.5</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1,179.8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1,078.8</w:t>
            </w:r>
          </w:p>
        </w:tc>
      </w:tr>
      <w:tr>
        <w:trPr>
          <w:trHeight w:val="108"/>
        </w:trPr>
        <w:tc>
          <w:tcPr>
            <w:tcW w:w="8000" w:type="dxa"/>
            <w:vAlign w:val="bottom"/>
          </w:tcPr>
          <w:p>
            <w:pPr>
              <w:ind w:left="120"/>
              <w:spacing w:after="0" w:line="108" w:lineRule="exact"/>
              <w:rPr>
                <w:sz w:val="20"/>
                <w:szCs w:val="20"/>
                <w:color w:val="auto"/>
              </w:rPr>
            </w:pPr>
            <w:r>
              <w:rPr>
                <w:rFonts w:ascii="Arial" w:cs="Arial" w:eastAsia="Arial" w:hAnsi="Arial"/>
                <w:sz w:val="10"/>
                <w:szCs w:val="10"/>
                <w:color w:val="auto"/>
              </w:rPr>
              <w:t>Agent commissions</w:t>
            </w:r>
          </w:p>
        </w:tc>
        <w:tc>
          <w:tcPr>
            <w:tcW w:w="10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1,951.7</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1,218.0</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5"/>
              </w:rPr>
              <w:t>1,698.2</w:t>
            </w: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109.2</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122.1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127.9</w:t>
            </w:r>
          </w:p>
        </w:tc>
      </w:tr>
      <w:tr>
        <w:trPr>
          <w:trHeight w:val="108"/>
        </w:trPr>
        <w:tc>
          <w:tcPr>
            <w:tcW w:w="8000" w:type="dxa"/>
            <w:vAlign w:val="bottom"/>
          </w:tcPr>
          <w:p>
            <w:pPr>
              <w:ind w:left="120"/>
              <w:spacing w:after="0" w:line="108" w:lineRule="exact"/>
              <w:rPr>
                <w:sz w:val="20"/>
                <w:szCs w:val="20"/>
                <w:color w:val="auto"/>
              </w:rPr>
            </w:pPr>
            <w:r>
              <w:rPr>
                <w:rFonts w:ascii="Arial" w:cs="Arial" w:eastAsia="Arial" w:hAnsi="Arial"/>
                <w:sz w:val="10"/>
                <w:szCs w:val="10"/>
                <w:color w:val="auto"/>
              </w:rPr>
              <w:t>Provision for claim losses</w:t>
            </w:r>
          </w:p>
        </w:tc>
        <w:tc>
          <w:tcPr>
            <w:tcW w:w="10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392.6</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630.4</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653.9</w:t>
            </w: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 expense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36.7</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52.9</w:t>
            </w:r>
          </w:p>
        </w:tc>
      </w:tr>
      <w:tr>
        <w:trPr>
          <w:trHeight w:val="108"/>
        </w:trPr>
        <w:tc>
          <w:tcPr>
            <w:tcW w:w="8000" w:type="dxa"/>
            <w:vAlign w:val="bottom"/>
          </w:tcPr>
          <w:p>
            <w:pPr>
              <w:ind w:left="220"/>
              <w:spacing w:after="0" w:line="108" w:lineRule="exact"/>
              <w:rPr>
                <w:sz w:val="20"/>
                <w:szCs w:val="20"/>
                <w:color w:val="auto"/>
              </w:rPr>
            </w:pPr>
            <w:r>
              <w:rPr>
                <w:rFonts w:ascii="Arial" w:cs="Arial" w:eastAsia="Arial" w:hAnsi="Arial"/>
                <w:sz w:val="10"/>
                <w:szCs w:val="10"/>
                <w:color w:val="auto"/>
              </w:rPr>
              <w:t>Total Expenses</w:t>
            </w: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5,483.5</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4,530.9</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5,280.3</w:t>
            </w:r>
          </w:p>
        </w:tc>
        <w:tc>
          <w:tcPr>
            <w:tcW w:w="100" w:type="dxa"/>
            <w:vAlign w:val="bottom"/>
          </w:tcPr>
          <w:p>
            <w:pPr>
              <w:spacing w:after="0"/>
              <w:rPr>
                <w:sz w:val="9"/>
                <w:szCs w:val="9"/>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Earnings (loss) from continuing operations before income tax expense (benefit) and equity in (loss) earnings of unconsolidated affiliates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344.9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(279.7)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185.3</w:t>
            </w:r>
          </w:p>
        </w:tc>
      </w:tr>
      <w:tr>
        <w:trPr>
          <w:trHeight w:val="108"/>
        </w:trPr>
        <w:tc>
          <w:tcPr>
            <w:tcW w:w="8000" w:type="dxa"/>
            <w:vAlign w:val="bottom"/>
          </w:tcPr>
          <w:p>
            <w:pPr>
              <w:spacing w:after="0" w:line="108" w:lineRule="exact"/>
              <w:rPr>
                <w:sz w:val="20"/>
                <w:szCs w:val="20"/>
                <w:color w:val="auto"/>
              </w:rPr>
            </w:pPr>
            <w:r>
              <w:rPr>
                <w:rFonts w:ascii="Arial" w:cs="Arial" w:eastAsia="Arial" w:hAnsi="Arial"/>
                <w:sz w:val="10"/>
                <w:szCs w:val="10"/>
                <w:color w:val="auto"/>
              </w:rPr>
              <w:t>Income tax expense (benefit) on continuing operations</w:t>
            </w:r>
          </w:p>
        </w:tc>
        <w:tc>
          <w:tcPr>
            <w:tcW w:w="10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106.8</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(119.9)</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50.3</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Earnings (loss) from continuing operations before equity in earnings (loss) of unconsolidated affiliates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238.1</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(159.8)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135.0</w:t>
            </w:r>
          </w:p>
        </w:tc>
      </w:tr>
      <w:tr>
        <w:trPr>
          <w:trHeight w:val="108"/>
        </w:trPr>
        <w:tc>
          <w:tcPr>
            <w:tcW w:w="8000" w:type="dxa"/>
            <w:vAlign w:val="bottom"/>
          </w:tcPr>
          <w:p>
            <w:pPr>
              <w:spacing w:after="0" w:line="108" w:lineRule="exact"/>
              <w:rPr>
                <w:sz w:val="20"/>
                <w:szCs w:val="20"/>
                <w:color w:val="auto"/>
              </w:rPr>
            </w:pPr>
            <w:r>
              <w:rPr>
                <w:rFonts w:ascii="Arial" w:cs="Arial" w:eastAsia="Arial" w:hAnsi="Arial"/>
                <w:sz w:val="10"/>
                <w:szCs w:val="10"/>
                <w:color w:val="auto"/>
              </w:rPr>
              <w:t>Equity in (loss) earnings of unconsolidated affiliates</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(11.7)</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(13.4)</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0.8</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earnings (loss) from continuing operations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226.4</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(173.2)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135.8</w:t>
            </w:r>
          </w:p>
        </w:tc>
      </w:tr>
      <w:tr>
        <w:trPr>
          <w:trHeight w:val="108"/>
        </w:trPr>
        <w:tc>
          <w:tcPr>
            <w:tcW w:w="8000" w:type="dxa"/>
            <w:vAlign w:val="bottom"/>
          </w:tcPr>
          <w:p>
            <w:pPr>
              <w:spacing w:after="0" w:line="108" w:lineRule="exact"/>
              <w:rPr>
                <w:sz w:val="20"/>
                <w:szCs w:val="20"/>
                <w:color w:val="auto"/>
              </w:rPr>
            </w:pPr>
            <w:r>
              <w:rPr>
                <w:rFonts w:ascii="Arial" w:cs="Arial" w:eastAsia="Arial" w:hAnsi="Arial"/>
                <w:sz w:val="10"/>
                <w:szCs w:val="10"/>
                <w:color w:val="auto"/>
              </w:rPr>
              <w:t>Net loss from discontinued operations, net of tax</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(10.0)</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(6.0)</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earnings (loss)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224.5</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(183.2)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129.8</w:t>
            </w:r>
          </w:p>
        </w:tc>
      </w:tr>
      <w:tr>
        <w:trPr>
          <w:trHeight w:val="108"/>
        </w:trPr>
        <w:tc>
          <w:tcPr>
            <w:tcW w:w="8000" w:type="dxa"/>
            <w:vAlign w:val="bottom"/>
          </w:tcPr>
          <w:p>
            <w:pPr>
              <w:spacing w:after="0" w:line="108" w:lineRule="exact"/>
              <w:rPr>
                <w:sz w:val="20"/>
                <w:szCs w:val="20"/>
                <w:color w:val="auto"/>
              </w:rPr>
            </w:pPr>
            <w:r>
              <w:rPr>
                <w:rFonts w:ascii="Arial" w:cs="Arial" w:eastAsia="Arial" w:hAnsi="Arial"/>
                <w:sz w:val="10"/>
                <w:szCs w:val="10"/>
                <w:color w:val="auto"/>
              </w:rPr>
              <w:t>Less: Net earnings (loss) attributable to noncontrolling interests</w:t>
            </w:r>
          </w:p>
        </w:tc>
        <w:tc>
          <w:tcPr>
            <w:tcW w:w="10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(4.2)</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8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222.3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(179.0)</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129.8</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Earnings per share</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i w:val="1"/>
                <w:iCs w:val="1"/>
                <w:color w:val="auto"/>
              </w:rPr>
              <w:t>Basic</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000" w:type="dxa"/>
            <w:vAlign w:val="bottom"/>
          </w:tcPr>
          <w:p>
            <w:pPr>
              <w:ind w:left="220"/>
              <w:spacing w:after="0" w:line="108" w:lineRule="exact"/>
              <w:rPr>
                <w:sz w:val="20"/>
                <w:szCs w:val="20"/>
                <w:color w:val="auto"/>
              </w:rPr>
            </w:pPr>
            <w:r>
              <w:rPr>
                <w:rFonts w:ascii="Arial" w:cs="Arial" w:eastAsia="Arial" w:hAnsi="Arial"/>
                <w:sz w:val="10"/>
                <w:szCs w:val="10"/>
                <w:color w:val="auto"/>
              </w:rPr>
              <w:t>Net earnings (loss) from continuing operations attributable to Fidelity National Financial, Inc. common shareholders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(0.83)</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0.62</w:t>
            </w:r>
          </w:p>
        </w:tc>
      </w:tr>
      <w:tr>
        <w:trPr>
          <w:trHeight w:val="108"/>
        </w:trPr>
        <w:tc>
          <w:tcPr>
            <w:tcW w:w="8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Net loss from discontinued operations attributable to Fidelity National Financial, Inc. common shareholders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(0.01)</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(0.02)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(0.02)</w:t>
            </w:r>
          </w:p>
        </w:tc>
      </w:tr>
      <w:tr>
        <w:trPr>
          <w:trHeight w:val="122"/>
        </w:trPr>
        <w:tc>
          <w:tcPr>
            <w:tcW w:w="8000" w:type="dxa"/>
            <w:vAlign w:val="bottom"/>
          </w:tcPr>
          <w:p>
            <w:pPr>
              <w:spacing w:after="0" w:line="108" w:lineRule="exact"/>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0.99</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(0.85)</w:t>
            </w:r>
          </w:p>
        </w:tc>
        <w:tc>
          <w:tcPr>
            <w:tcW w:w="2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0.60</w:t>
            </w:r>
          </w:p>
        </w:tc>
        <w:tc>
          <w:tcPr>
            <w:tcW w:w="100" w:type="dxa"/>
            <w:vAlign w:val="bottom"/>
          </w:tcPr>
          <w:p>
            <w:pPr>
              <w:spacing w:after="0"/>
              <w:rPr>
                <w:sz w:val="10"/>
                <w:szCs w:val="10"/>
                <w:color w:val="auto"/>
              </w:rPr>
            </w:pPr>
          </w:p>
        </w:tc>
      </w:tr>
      <w:tr>
        <w:trPr>
          <w:trHeight w:val="123"/>
        </w:trPr>
        <w:tc>
          <w:tcPr>
            <w:tcW w:w="8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Weighted average shares outstanding, basic basis</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224.7</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210.0</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216.6</w:t>
            </w:r>
          </w:p>
        </w:tc>
      </w:tr>
      <w:tr>
        <w:trPr>
          <w:trHeight w:val="118"/>
        </w:trPr>
        <w:tc>
          <w:tcPr>
            <w:tcW w:w="8000" w:type="dxa"/>
            <w:vAlign w:val="bottom"/>
          </w:tcPr>
          <w:p>
            <w:pPr>
              <w:spacing w:after="0"/>
              <w:rPr>
                <w:sz w:val="20"/>
                <w:szCs w:val="20"/>
                <w:color w:val="auto"/>
              </w:rPr>
            </w:pPr>
            <w:r>
              <w:rPr>
                <w:rFonts w:ascii="Arial" w:cs="Arial" w:eastAsia="Arial" w:hAnsi="Arial"/>
                <w:sz w:val="10"/>
                <w:szCs w:val="10"/>
                <w:i w:val="1"/>
                <w:iCs w:val="1"/>
                <w:color w:val="auto"/>
              </w:rPr>
              <w:t>Diluted</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Net earnings (loss) from continuing operations attributable to Fidelity National Financial, Inc. common shareholders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0.98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(0.83)</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0.61</w:t>
            </w:r>
          </w:p>
        </w:tc>
      </w:tr>
      <w:tr>
        <w:trPr>
          <w:trHeight w:val="108"/>
        </w:trPr>
        <w:tc>
          <w:tcPr>
            <w:tcW w:w="8000" w:type="dxa"/>
            <w:vAlign w:val="bottom"/>
          </w:tcPr>
          <w:p>
            <w:pPr>
              <w:ind w:left="220"/>
              <w:spacing w:after="0" w:line="108" w:lineRule="exact"/>
              <w:rPr>
                <w:sz w:val="20"/>
                <w:szCs w:val="20"/>
                <w:color w:val="auto"/>
              </w:rPr>
            </w:pPr>
            <w:r>
              <w:rPr>
                <w:rFonts w:ascii="Arial" w:cs="Arial" w:eastAsia="Arial" w:hAnsi="Arial"/>
                <w:sz w:val="10"/>
                <w:szCs w:val="10"/>
                <w:color w:val="auto"/>
              </w:rPr>
              <w:t>Net loss from discontinued operations attributable to Fidelity National Financial, Inc. common shareholders</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(0.01)</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(0.02)</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(0.02)</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0.97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(0.85)</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0.59</w:t>
            </w:r>
          </w:p>
        </w:tc>
      </w:tr>
      <w:tr>
        <w:trPr>
          <w:trHeight w:val="132"/>
        </w:trPr>
        <w:tc>
          <w:tcPr>
            <w:tcW w:w="8000" w:type="dxa"/>
            <w:vAlign w:val="bottom"/>
          </w:tcPr>
          <w:p>
            <w:pPr>
              <w:spacing w:after="0"/>
              <w:rPr>
                <w:sz w:val="20"/>
                <w:szCs w:val="20"/>
                <w:color w:val="auto"/>
              </w:rPr>
            </w:pPr>
            <w:r>
              <w:rPr>
                <w:rFonts w:ascii="Arial" w:cs="Arial" w:eastAsia="Arial" w:hAnsi="Arial"/>
                <w:sz w:val="10"/>
                <w:szCs w:val="10"/>
                <w:color w:val="auto"/>
              </w:rPr>
              <w:t>Weighted average shares outstanding, diluted basis</w:t>
            </w: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228.5</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210.0</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220.0</w:t>
            </w:r>
          </w:p>
        </w:tc>
        <w:tc>
          <w:tcPr>
            <w:tcW w:w="100" w:type="dxa"/>
            <w:vAlign w:val="bottom"/>
          </w:tcPr>
          <w:p>
            <w:pPr>
              <w:spacing w:after="0"/>
              <w:rPr>
                <w:sz w:val="11"/>
                <w:szCs w:val="11"/>
                <w:color w:val="auto"/>
              </w:rPr>
            </w:pPr>
          </w:p>
        </w:tc>
      </w:tr>
      <w:tr>
        <w:trPr>
          <w:trHeight w:val="123"/>
        </w:trPr>
        <w:tc>
          <w:tcPr>
            <w:tcW w:w="8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Dividends per share</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0.60</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1.05</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1.20</w:t>
            </w:r>
          </w:p>
        </w:tc>
      </w:tr>
      <w:tr>
        <w:trPr>
          <w:trHeight w:val="118"/>
        </w:trPr>
        <w:tc>
          <w:tcPr>
            <w:tcW w:w="8000" w:type="dxa"/>
            <w:vAlign w:val="bottom"/>
          </w:tcPr>
          <w:p>
            <w:pPr>
              <w:spacing w:after="0"/>
              <w:rPr>
                <w:sz w:val="20"/>
                <w:szCs w:val="20"/>
                <w:color w:val="auto"/>
              </w:rPr>
            </w:pPr>
            <w:r>
              <w:rPr>
                <w:rFonts w:ascii="Arial" w:cs="Arial" w:eastAsia="Arial" w:hAnsi="Arial"/>
                <w:sz w:val="10"/>
                <w:szCs w:val="10"/>
                <w:b w:val="1"/>
                <w:bCs w:val="1"/>
                <w:color w:val="auto"/>
              </w:rPr>
              <w:t>Amounts attributable to Fidelity National Financial, Inc., common shareholders: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earnings (loss) from continuing operations, net of tax, attributable to Fidelity National Financial, Inc. common shareholders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224.1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(173.7)</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133.4</w:t>
            </w:r>
          </w:p>
        </w:tc>
      </w:tr>
      <w:tr>
        <w:trPr>
          <w:trHeight w:val="108"/>
        </w:trPr>
        <w:tc>
          <w:tcPr>
            <w:tcW w:w="8000" w:type="dxa"/>
            <w:vAlign w:val="bottom"/>
          </w:tcPr>
          <w:p>
            <w:pPr>
              <w:spacing w:after="0" w:line="108" w:lineRule="exact"/>
              <w:rPr>
                <w:sz w:val="20"/>
                <w:szCs w:val="20"/>
                <w:color w:val="auto"/>
              </w:rPr>
            </w:pPr>
            <w:r>
              <w:rPr>
                <w:rFonts w:ascii="Arial" w:cs="Arial" w:eastAsia="Arial" w:hAnsi="Arial"/>
                <w:sz w:val="10"/>
                <w:szCs w:val="10"/>
                <w:color w:val="auto"/>
              </w:rPr>
              <w:t>Net loss from discontinued operations, net of tax, attributable to Fidelity National Financial, Inc. common shareholders</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(5.3)</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222.3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(179.0)</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129.8</w:t>
            </w:r>
          </w:p>
        </w:tc>
      </w:tr>
      <w:tr>
        <w:trPr>
          <w:trHeight w:val="29"/>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COMPREHENSIVE EARNINGS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00" w:type="dxa"/>
            <w:vAlign w:val="bottom"/>
          </w:tcPr>
          <w:p>
            <w:pPr>
              <w:spacing w:after="0"/>
              <w:rPr>
                <w:sz w:val="8"/>
                <w:szCs w:val="8"/>
                <w:color w:val="auto"/>
              </w:rPr>
            </w:pPr>
          </w:p>
        </w:tc>
        <w:tc>
          <w:tcPr>
            <w:tcW w:w="4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ind w:left="243"/>
              <w:spacing w:after="0"/>
              <w:rPr>
                <w:sz w:val="20"/>
                <w:szCs w:val="20"/>
                <w:color w:val="auto"/>
              </w:rPr>
            </w:pPr>
            <w:r>
              <w:rPr>
                <w:rFonts w:ascii="Arial" w:cs="Arial" w:eastAsia="Arial" w:hAnsi="Arial"/>
                <w:sz w:val="10"/>
                <w:szCs w:val="10"/>
                <w:b w:val="1"/>
                <w:bCs w:val="1"/>
                <w:color w:val="auto"/>
                <w:w w:val="96"/>
              </w:rPr>
              <w:t>(In millions)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$ 224.5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(183.2)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$ 129.8</w:t>
            </w:r>
          </w:p>
        </w:tc>
        <w:tc>
          <w:tcPr>
            <w:tcW w:w="0" w:type="dxa"/>
            <w:vAlign w:val="bottom"/>
          </w:tcPr>
          <w:p>
            <w:pPr>
              <w:spacing w:after="0"/>
              <w:rPr>
                <w:sz w:val="1"/>
                <w:szCs w:val="1"/>
                <w:color w:val="auto"/>
              </w:rPr>
            </w:pPr>
          </w:p>
        </w:tc>
      </w:tr>
      <w:tr>
        <w:trPr>
          <w:trHeight w:val="156"/>
        </w:trPr>
        <w:tc>
          <w:tcPr>
            <w:tcW w:w="7800" w:type="dxa"/>
            <w:vAlign w:val="bottom"/>
          </w:tcPr>
          <w:p>
            <w:pPr>
              <w:spacing w:after="0"/>
              <w:rPr>
                <w:sz w:val="20"/>
                <w:szCs w:val="20"/>
                <w:color w:val="auto"/>
              </w:rPr>
            </w:pPr>
            <w:r>
              <w:rPr>
                <w:rFonts w:ascii="Arial" w:cs="Arial" w:eastAsia="Arial" w:hAnsi="Arial"/>
                <w:sz w:val="13"/>
                <w:szCs w:val="13"/>
                <w:color w:val="auto"/>
              </w:rPr>
              <w:t>Other comprehensive earnings (loss):</w:t>
            </w:r>
          </w:p>
        </w:tc>
        <w:tc>
          <w:tcPr>
            <w:tcW w:w="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 (loss) on investments and other financial instruments, net (excluding investments in unconsolidated affiliates)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Unrealized loss relating to investments in unconsolidated affiliates</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(45.1)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 (loss) on foreign currency translation</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Reclassification adjustments for (gains) losses included in net earnings</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33.1</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Minimum pension liability adjustment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3"/>
                <w:szCs w:val="13"/>
                <w:color w:val="auto"/>
              </w:rPr>
              <w:t>Other comprehensive earnings (loss)</w:t>
            </w: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127.4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(75.1)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earnings (loss)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(258.3)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176.2</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Less: Comprehensive earnings (loss) attributable to noncontrolling interests</w:t>
            </w:r>
          </w:p>
        </w:tc>
        <w:tc>
          <w:tcPr>
            <w:tcW w:w="420" w:type="dxa"/>
            <w:vAlign w:val="bottom"/>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(4.2)</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earnings (loss) attributable to Fidelity National Financial Inc. common shareholders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$ 349.7</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(254.1)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$ 176.2</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7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EQUITY</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4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8"/>
          </w:tcPr>
          <w:p>
            <w:pPr>
              <w:spacing w:after="0"/>
              <w:rPr>
                <w:sz w:val="20"/>
                <w:szCs w:val="20"/>
                <w:color w:val="auto"/>
              </w:rPr>
            </w:pPr>
            <w:r>
              <w:rPr>
                <w:rFonts w:ascii="Arial" w:cs="Arial" w:eastAsia="Arial" w:hAnsi="Arial"/>
                <w:sz w:val="8"/>
                <w:szCs w:val="8"/>
                <w:b w:val="1"/>
                <w:bCs w:val="1"/>
                <w:color w:val="auto"/>
              </w:rPr>
              <w:t>Fidelity National Financial, Inc. Common Shareholders</w:t>
            </w: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69" w:lineRule="exact"/>
              <w:rPr>
                <w:sz w:val="20"/>
                <w:szCs w:val="20"/>
                <w:color w:val="auto"/>
              </w:rPr>
            </w:pPr>
            <w:r>
              <w:rPr>
                <w:rFonts w:ascii="Arial" w:cs="Arial" w:eastAsia="Arial" w:hAnsi="Arial"/>
                <w:sz w:val="8"/>
                <w:szCs w:val="8"/>
                <w:b w:val="1"/>
                <w:bCs w:val="1"/>
                <w:color w:val="auto"/>
                <w:w w:val="87"/>
              </w:rPr>
              <w:t>Accumulated</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4240" w:type="dxa"/>
            <w:vAlign w:val="bottom"/>
          </w:tcPr>
          <w:p>
            <w:pPr>
              <w:spacing w:after="0"/>
              <w:rPr>
                <w:sz w:val="8"/>
                <w:szCs w:val="8"/>
                <w:color w:val="auto"/>
              </w:rPr>
            </w:pPr>
          </w:p>
        </w:tc>
        <w:tc>
          <w:tcPr>
            <w:tcW w:w="680" w:type="dxa"/>
            <w:vAlign w:val="bottom"/>
            <w:gridSpan w:val="3"/>
            <w:vMerge w:val="restart"/>
          </w:tcPr>
          <w:p>
            <w:pPr>
              <w:ind w:left="140"/>
              <w:spacing w:after="0"/>
              <w:rPr>
                <w:sz w:val="20"/>
                <w:szCs w:val="20"/>
                <w:color w:val="auto"/>
              </w:rPr>
            </w:pPr>
            <w:r>
              <w:rPr>
                <w:rFonts w:ascii="Arial" w:cs="Arial" w:eastAsia="Arial" w:hAnsi="Arial"/>
                <w:sz w:val="8"/>
                <w:szCs w:val="8"/>
                <w:b w:val="1"/>
                <w:bCs w:val="1"/>
                <w:color w:val="auto"/>
                <w:w w:val="88"/>
              </w:rPr>
              <w:t>Common Stock</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spacing w:after="0"/>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8"/>
                <w:szCs w:val="8"/>
                <w:b w:val="1"/>
                <w:bCs w:val="1"/>
                <w:color w:val="auto"/>
              </w:rPr>
              <w:t>Retained</w:t>
            </w: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3"/>
              </w:rPr>
              <w:t>Other</w:t>
            </w:r>
          </w:p>
        </w:tc>
        <w:tc>
          <w:tcPr>
            <w:tcW w:w="1020" w:type="dxa"/>
            <w:vAlign w:val="bottom"/>
            <w:gridSpan w:val="5"/>
            <w:vMerge w:val="restart"/>
          </w:tcPr>
          <w:p>
            <w:pPr>
              <w:jc w:val="right"/>
              <w:ind w:right="360"/>
              <w:spacing w:after="0"/>
              <w:rPr>
                <w:sz w:val="20"/>
                <w:szCs w:val="20"/>
                <w:color w:val="auto"/>
              </w:rPr>
            </w:pPr>
            <w:r>
              <w:rPr>
                <w:rFonts w:ascii="Arial" w:cs="Arial" w:eastAsia="Arial" w:hAnsi="Arial"/>
                <w:sz w:val="8"/>
                <w:szCs w:val="8"/>
                <w:b w:val="1"/>
                <w:bCs w:val="1"/>
                <w:color w:val="auto"/>
              </w:rPr>
              <w:t>Treasury Stock</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24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right"/>
              <w:ind w:right="320"/>
              <w:spacing w:after="0" w:line="88" w:lineRule="exact"/>
              <w:rPr>
                <w:sz w:val="20"/>
                <w:szCs w:val="20"/>
                <w:color w:val="auto"/>
              </w:rPr>
            </w:pPr>
            <w:r>
              <w:rPr>
                <w:rFonts w:ascii="Arial" w:cs="Arial" w:eastAsia="Arial" w:hAnsi="Arial"/>
                <w:sz w:val="8"/>
                <w:szCs w:val="8"/>
                <w:b w:val="1"/>
                <w:bCs w:val="1"/>
                <w:color w:val="auto"/>
              </w:rPr>
              <w:t>Paid-In</w:t>
            </w:r>
          </w:p>
        </w:tc>
        <w:tc>
          <w:tcPr>
            <w:tcW w:w="60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Earnings</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8" w:lineRule="exact"/>
              <w:rPr>
                <w:sz w:val="20"/>
                <w:szCs w:val="20"/>
                <w:color w:val="auto"/>
              </w:rPr>
            </w:pPr>
            <w:r>
              <w:rPr>
                <w:rFonts w:ascii="Arial" w:cs="Arial" w:eastAsia="Arial" w:hAnsi="Arial"/>
                <w:sz w:val="8"/>
                <w:szCs w:val="8"/>
                <w:b w:val="1"/>
                <w:bCs w:val="1"/>
                <w:color w:val="auto"/>
                <w:w w:val="86"/>
              </w:rPr>
              <w:t>Comprehensive</w:t>
            </w:r>
          </w:p>
        </w:tc>
        <w:tc>
          <w:tcPr>
            <w:tcW w:w="102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right"/>
              <w:ind w:right="300"/>
              <w:spacing w:after="0" w:line="88" w:lineRule="exact"/>
              <w:rPr>
                <w:sz w:val="20"/>
                <w:szCs w:val="20"/>
                <w:color w:val="auto"/>
              </w:rPr>
            </w:pPr>
            <w:r>
              <w:rPr>
                <w:rFonts w:ascii="Arial" w:cs="Arial" w:eastAsia="Arial" w:hAnsi="Arial"/>
                <w:sz w:val="8"/>
                <w:szCs w:val="8"/>
                <w:b w:val="1"/>
                <w:bCs w:val="1"/>
                <w:color w:val="auto"/>
                <w:w w:val="87"/>
              </w:rPr>
              <w:t>Noncontrolling</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240" w:type="dxa"/>
            <w:vAlign w:val="bottom"/>
          </w:tcPr>
          <w:p>
            <w:pPr>
              <w:spacing w:after="0"/>
              <w:rPr>
                <w:sz w:val="6"/>
                <w:szCs w:val="6"/>
                <w:color w:val="auto"/>
              </w:rPr>
            </w:pPr>
          </w:p>
        </w:tc>
        <w:tc>
          <w:tcPr>
            <w:tcW w:w="500" w:type="dxa"/>
            <w:vAlign w:val="bottom"/>
            <w:tcBorders>
              <w:top w:val="single" w:sz="8" w:color="auto"/>
            </w:tcBorders>
            <w:gridSpan w:val="2"/>
          </w:tcPr>
          <w:p>
            <w:pPr>
              <w:jc w:val="right"/>
              <w:ind w:right="240"/>
              <w:spacing w:after="0" w:line="79" w:lineRule="exact"/>
              <w:rPr>
                <w:sz w:val="20"/>
                <w:szCs w:val="20"/>
                <w:color w:val="auto"/>
              </w:rPr>
            </w:pPr>
            <w:r>
              <w:rPr>
                <w:rFonts w:ascii="Arial" w:cs="Arial" w:eastAsia="Arial" w:hAnsi="Arial"/>
                <w:sz w:val="8"/>
                <w:szCs w:val="8"/>
                <w:b w:val="1"/>
                <w:bCs w:val="1"/>
                <w:color w:val="auto"/>
                <w:w w:val="89"/>
              </w:rPr>
              <w:t>Shares</w:t>
            </w:r>
          </w:p>
        </w:tc>
        <w:tc>
          <w:tcPr>
            <w:tcW w:w="300" w:type="dxa"/>
            <w:vAlign w:val="bottom"/>
            <w:tcBorders>
              <w:top w:val="single" w:sz="8" w:color="auto"/>
            </w:tcBorders>
            <w:gridSpan w:val="2"/>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right"/>
              <w:ind w:right="320"/>
              <w:spacing w:after="0" w:line="79" w:lineRule="exact"/>
              <w:rPr>
                <w:sz w:val="20"/>
                <w:szCs w:val="20"/>
                <w:color w:val="auto"/>
              </w:rPr>
            </w:pPr>
            <w:r>
              <w:rPr>
                <w:rFonts w:ascii="Arial" w:cs="Arial" w:eastAsia="Arial" w:hAnsi="Arial"/>
                <w:sz w:val="8"/>
                <w:szCs w:val="8"/>
                <w:b w:val="1"/>
                <w:bCs w:val="1"/>
                <w:color w:val="auto"/>
              </w:rPr>
              <w:t>Capital</w:t>
            </w:r>
          </w:p>
        </w:tc>
        <w:tc>
          <w:tcPr>
            <w:tcW w:w="60" w:type="dxa"/>
            <w:vAlign w:val="bottom"/>
          </w:tcPr>
          <w:p>
            <w:pPr>
              <w:spacing w:after="0"/>
              <w:rPr>
                <w:sz w:val="6"/>
                <w:szCs w:val="6"/>
                <w:color w:val="auto"/>
              </w:rPr>
            </w:pPr>
          </w:p>
        </w:tc>
        <w:tc>
          <w:tcPr>
            <w:tcW w:w="54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(Deficit)</w:t>
            </w: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5"/>
              </w:rPr>
              <w:t>Earnings (Loss)</w:t>
            </w:r>
          </w:p>
        </w:tc>
        <w:tc>
          <w:tcPr>
            <w:tcW w:w="480" w:type="dxa"/>
            <w:vAlign w:val="bottom"/>
            <w:tcBorders>
              <w:top w:val="single" w:sz="8" w:color="auto"/>
            </w:tcBorders>
            <w:gridSpan w:val="2"/>
          </w:tcPr>
          <w:p>
            <w:pPr>
              <w:ind w:left="20"/>
              <w:spacing w:after="0" w:line="79" w:lineRule="exact"/>
              <w:rPr>
                <w:sz w:val="20"/>
                <w:szCs w:val="20"/>
                <w:color w:val="auto"/>
              </w:rPr>
            </w:pPr>
            <w:r>
              <w:rPr>
                <w:rFonts w:ascii="Arial" w:cs="Arial" w:eastAsia="Arial" w:hAnsi="Arial"/>
                <w:sz w:val="8"/>
                <w:szCs w:val="8"/>
                <w:b w:val="1"/>
                <w:bCs w:val="1"/>
                <w:color w:val="auto"/>
              </w:rPr>
              <w:t>Shares</w:t>
            </w:r>
          </w:p>
        </w:tc>
        <w:tc>
          <w:tcPr>
            <w:tcW w:w="34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400"/>
              <w:spacing w:after="0" w:line="79" w:lineRule="exact"/>
              <w:rPr>
                <w:sz w:val="20"/>
                <w:szCs w:val="20"/>
                <w:color w:val="auto"/>
              </w:rPr>
            </w:pPr>
            <w:r>
              <w:rPr>
                <w:rFonts w:ascii="Arial" w:cs="Arial" w:eastAsia="Arial" w:hAnsi="Arial"/>
                <w:sz w:val="8"/>
                <w:szCs w:val="8"/>
                <w:b w:val="1"/>
                <w:bCs w:val="1"/>
                <w:color w:val="auto"/>
              </w:rPr>
              <w:t>Interests</w:t>
            </w:r>
          </w:p>
        </w:tc>
        <w:tc>
          <w:tcPr>
            <w:tcW w:w="60" w:type="dxa"/>
            <w:vAlign w:val="bottom"/>
          </w:tcPr>
          <w:p>
            <w:pPr>
              <w:spacing w:after="0"/>
              <w:rPr>
                <w:sz w:val="6"/>
                <w:szCs w:val="6"/>
                <w:color w:val="auto"/>
              </w:rPr>
            </w:pPr>
          </w:p>
        </w:tc>
        <w:tc>
          <w:tcPr>
            <w:tcW w:w="620" w:type="dxa"/>
            <w:vAlign w:val="bottom"/>
            <w:gridSpan w:val="2"/>
          </w:tcPr>
          <w:p>
            <w:pPr>
              <w:jc w:val="right"/>
              <w:ind w:right="180"/>
              <w:spacing w:after="0" w:line="79" w:lineRule="exact"/>
              <w:rPr>
                <w:sz w:val="20"/>
                <w:szCs w:val="20"/>
                <w:color w:val="auto"/>
              </w:rPr>
            </w:pPr>
            <w:r>
              <w:rPr>
                <w:rFonts w:ascii="Arial" w:cs="Arial" w:eastAsia="Arial" w:hAnsi="Arial"/>
                <w:sz w:val="8"/>
                <w:szCs w:val="8"/>
                <w:b w:val="1"/>
                <w:bCs w:val="1"/>
                <w:color w:val="auto"/>
                <w:w w:val="91"/>
              </w:rPr>
              <w:t>Total Equity</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ind w:left="280"/>
              <w:spacing w:after="0" w:line="90" w:lineRule="exact"/>
              <w:rPr>
                <w:sz w:val="20"/>
                <w:szCs w:val="20"/>
                <w:color w:val="auto"/>
              </w:rPr>
            </w:pPr>
            <w:r>
              <w:rPr>
                <w:rFonts w:ascii="Arial" w:cs="Arial" w:eastAsia="Arial" w:hAnsi="Arial"/>
                <w:sz w:val="8"/>
                <w:szCs w:val="8"/>
                <w:b w:val="1"/>
                <w:bCs w:val="1"/>
                <w:color w:val="auto"/>
                <w:w w:val="71"/>
              </w:rPr>
              <w:t>(In millions)</w:t>
            </w: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42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2006</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221.5</w:t>
            </w:r>
          </w:p>
        </w:tc>
        <w:tc>
          <w:tcPr>
            <w:tcW w:w="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3,193.9</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345.6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(63.1)</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56.0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3,530.4</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8.4</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Treasury Stock repurchased</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9.7</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8"/>
              </w:rPr>
              <w:t>(183.2)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(183.2)</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Tax benefit associated with the exercise of stock options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4.7</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restricted stock</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0.5</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earnings — unrealized gain on foreign currency</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2.4</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2.4</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earnings — unrealized gain on investments and other financial instruments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33.3</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33.3</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earnings — minimum pension liability adjustment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10.7</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10.7</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29.9</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29.9</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De-consolidation of previous majority-owned subsidiary</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(0.3)</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(0.3)</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Shares withheld for taxes and in treasury</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(4.1)</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(4.1)</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(262.2)</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(262.2)</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Subsidiary dividends paid to noncontrolling interests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(2.0)</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(2.0)</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Net earnings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129.8</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0.2</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2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2007</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223.1</w:t>
            </w:r>
          </w:p>
        </w:tc>
        <w:tc>
          <w:tcPr>
            <w:tcW w:w="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3,236.9</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213.2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(16.7)</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8"/>
              </w:rPr>
              <w:t>(189.3)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53.9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3,298.0</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Acquisition of LandAmerica title insurance subsidiaries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3.2</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50.0</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50.0</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0.7</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Treasury Stock repurchased</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3.2</w:t>
            </w:r>
          </w:p>
        </w:tc>
        <w:tc>
          <w:tcPr>
            <w:tcW w:w="6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(45.9)</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(45.9)</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Tax benefit associated with stock-based compensation</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0.3</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Issuance of restricted stock</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earnings — unrealized loss on investments in unconsolidated affiliates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(45.1)</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(45.1)</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earnings — unrealized loss on foreign currency</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(7.6)</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(7.6)</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earnings — unrealized loss on investments and other financial instruments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(4.5)</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(4.5)</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earnings — minimum pension liability adjustment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(17.9)</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(17.9)</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32.7</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De-consolidation of previous majority-owned subsidiary</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6.0</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Shares withheld for taxes and in treasury</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(3.7)</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(223.1)</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(223.1)</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Subsidiary dividends paid to noncontrolling interests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(3.6)</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(3.6)</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Net loss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(179.0)</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(5.1)</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(184.1)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2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2008</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228.4</w:t>
            </w:r>
          </w:p>
        </w:tc>
        <w:tc>
          <w:tcPr>
            <w:tcW w:w="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3,325.2</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(188.9)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(91.8)</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8"/>
              </w:rPr>
              <w:t>(238.9)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2,856.8</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Equity offering</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18.2</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331.4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331.4</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19.4</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Treasury Stock repurchased</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w:t>
            </w:r>
          </w:p>
        </w:tc>
        <w:tc>
          <w:tcPr>
            <w:tcW w:w="6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(74.9)</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(74.9)</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Tax benefit associated with the exercise of stock options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2.4</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Issuance of restricted stock</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424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w w:val="95"/>
              </w:rPr>
              <w:t>Other comprehensive earnings — unrealized gain on investments and other financial instruments (excluding</w:t>
            </w: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240" w:type="dxa"/>
            <w:vAlign w:val="bottom"/>
            <w:shd w:val="clear" w:color="auto" w:fill="CCEEFF"/>
          </w:tcPr>
          <w:p>
            <w:pPr>
              <w:ind w:left="200"/>
              <w:spacing w:after="0"/>
              <w:rPr>
                <w:sz w:val="20"/>
                <w:szCs w:val="20"/>
                <w:color w:val="auto"/>
              </w:rPr>
            </w:pPr>
            <w:r>
              <w:rPr>
                <w:rFonts w:ascii="Arial" w:cs="Arial" w:eastAsia="Arial" w:hAnsi="Arial"/>
                <w:sz w:val="9"/>
                <w:szCs w:val="9"/>
                <w:color w:val="auto"/>
              </w:rPr>
              <w:t>investments in unconsolidated affiliates)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118.5</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118.5</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earnings — unrealized loss on investments in unconsolidated affiliates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(5.0)</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(5.0)</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earnings — unrealized gain on foreign currency</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11.1</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11.1</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earnings — minimum pension liability adjustment</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2.8</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2.8</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33.7</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De-consolidation of previous majority-owned subsidiary</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(31.2)</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(31.2)</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Shares withheld for taxes and in treasury</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0.4</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(5.6)</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(135.8)</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(135.8)</w:t>
            </w:r>
          </w:p>
        </w:tc>
        <w:tc>
          <w:tcPr>
            <w:tcW w:w="0" w:type="dxa"/>
            <w:vAlign w:val="bottom"/>
          </w:tcPr>
          <w:p>
            <w:pPr>
              <w:spacing w:after="0"/>
              <w:rPr>
                <w:sz w:val="1"/>
                <w:szCs w:val="1"/>
                <w:color w:val="auto"/>
              </w:rPr>
            </w:pPr>
          </w:p>
        </w:tc>
      </w:tr>
      <w:tr>
        <w:trPr>
          <w:trHeight w:val="98"/>
        </w:trPr>
        <w:tc>
          <w:tcPr>
            <w:tcW w:w="42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Subsidiary dividends paid to noncontrolling interests</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(3.2)</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(3.2)</w:t>
            </w:r>
          </w:p>
        </w:tc>
        <w:tc>
          <w:tcPr>
            <w:tcW w:w="0" w:type="dxa"/>
            <w:vAlign w:val="bottom"/>
          </w:tcPr>
          <w:p>
            <w:pPr>
              <w:spacing w:after="0"/>
              <w:rPr>
                <w:sz w:val="1"/>
                <w:szCs w:val="1"/>
                <w:color w:val="auto"/>
              </w:rPr>
            </w:pPr>
          </w:p>
        </w:tc>
      </w:tr>
      <w:tr>
        <w:trPr>
          <w:trHeight w:val="98"/>
        </w:trPr>
        <w:tc>
          <w:tcPr>
            <w:tcW w:w="4240" w:type="dxa"/>
            <w:vAlign w:val="bottom"/>
          </w:tcPr>
          <w:p>
            <w:pPr>
              <w:ind w:left="100"/>
              <w:spacing w:after="0" w:line="98" w:lineRule="exact"/>
              <w:rPr>
                <w:sz w:val="20"/>
                <w:szCs w:val="20"/>
                <w:color w:val="auto"/>
              </w:rPr>
            </w:pPr>
            <w:r>
              <w:rPr>
                <w:rFonts w:ascii="Arial" w:cs="Arial" w:eastAsia="Arial" w:hAnsi="Arial"/>
                <w:sz w:val="9"/>
                <w:szCs w:val="9"/>
                <w:color w:val="auto"/>
              </w:rPr>
              <w:t>Net earnings</w:t>
            </w: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2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222.3</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2.2</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224.5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2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2009</w:t>
            </w: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249.7</w:t>
            </w:r>
          </w:p>
        </w:tc>
        <w:tc>
          <w:tcPr>
            <w:tcW w:w="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3,712.1</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(102.4)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35.6</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8"/>
              </w:rPr>
              <w:t>(319.4)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3,344.9</w:t>
            </w:r>
          </w:p>
        </w:tc>
        <w:tc>
          <w:tcPr>
            <w:tcW w:w="0" w:type="dxa"/>
            <w:vAlign w:val="bottom"/>
          </w:tcPr>
          <w:p>
            <w:pPr>
              <w:spacing w:after="0"/>
              <w:rPr>
                <w:sz w:val="1"/>
                <w:szCs w:val="1"/>
                <w:color w:val="auto"/>
              </w:rPr>
            </w:pPr>
          </w:p>
        </w:tc>
      </w:tr>
      <w:tr>
        <w:trPr>
          <w:trHeight w:val="29"/>
        </w:trPr>
        <w:tc>
          <w:tcPr>
            <w:tcW w:w="4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8"/>
          </w:tcPr>
          <w:p>
            <w:pPr>
              <w:jc w:val="right"/>
              <w:spacing w:after="0"/>
              <w:rPr>
                <w:sz w:val="20"/>
                <w:szCs w:val="20"/>
                <w:color w:val="auto"/>
              </w:rPr>
            </w:pPr>
            <w:r>
              <w:rPr>
                <w:rFonts w:ascii="Arial" w:cs="Arial" w:eastAsia="Arial" w:hAnsi="Arial"/>
                <w:sz w:val="9"/>
                <w:szCs w:val="9"/>
                <w:b w:val="1"/>
                <w:bCs w:val="1"/>
                <w:color w:val="auto"/>
              </w:rPr>
              <w:t>Year Ended December 31,</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8"/>
              <w:spacing w:after="0" w:line="88" w:lineRule="exact"/>
              <w:rPr>
                <w:sz w:val="20"/>
                <w:szCs w:val="20"/>
                <w:color w:val="auto"/>
              </w:rPr>
            </w:pPr>
            <w:r>
              <w:rPr>
                <w:rFonts w:ascii="Arial" w:cs="Arial" w:eastAsia="Arial" w:hAnsi="Arial"/>
                <w:sz w:val="9"/>
                <w:szCs w:val="9"/>
                <w:b w:val="1"/>
                <w:bCs w:val="1"/>
                <w:color w:val="auto"/>
              </w:rPr>
              <w:t>2009</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9"/>
                <w:szCs w:val="9"/>
                <w:b w:val="1"/>
                <w:bCs w:val="1"/>
                <w:color w:val="auto"/>
                <w:w w:val="99"/>
              </w:rPr>
              <w:t>2008</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w w:val="99"/>
              </w:rPr>
              <w:t>2007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spacing w:after="0"/>
              <w:rPr>
                <w:sz w:val="20"/>
                <w:szCs w:val="20"/>
                <w:color w:val="auto"/>
              </w:rPr>
            </w:pPr>
            <w:r>
              <w:rPr>
                <w:rFonts w:ascii="Arial" w:cs="Arial" w:eastAsia="Arial" w:hAnsi="Arial"/>
                <w:sz w:val="9"/>
                <w:szCs w:val="9"/>
                <w:b w:val="1"/>
                <w:bCs w:val="1"/>
                <w:color w:val="auto"/>
                <w:w w:val="94"/>
              </w:rPr>
              <w:t>(In millions)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1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222.3</w:t>
            </w:r>
          </w:p>
        </w:tc>
        <w:tc>
          <w:tcPr>
            <w:tcW w:w="80" w:type="dxa"/>
            <w:vAlign w:val="bottom"/>
          </w:tcPr>
          <w:p>
            <w:pPr>
              <w:spacing w:after="0"/>
              <w:rPr>
                <w:sz w:val="9"/>
                <w:szCs w:val="9"/>
                <w:color w:val="auto"/>
              </w:rPr>
            </w:pPr>
          </w:p>
        </w:tc>
        <w:tc>
          <w:tcPr>
            <w:tcW w:w="1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(179.0)</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129.8</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Adjustments to reconcile net earnings (loss) to net cash provided by operating activities: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127.6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142.8</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130.1</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Noncontrolling interest</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Equity in loss (earnings) of unconsolidated affiliates</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11.7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13.4</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(Gain) loss on sales of investments and other assets, net</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(23.1)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22.2</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(18.5)</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Stock-based compensation cost</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33.7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32.7</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Tax benefit associated with the exercise of stock options</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(0.3)</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Transaction fee income</w:t>
            </w:r>
          </w:p>
        </w:tc>
        <w:tc>
          <w:tcPr>
            <w:tcW w:w="100" w:type="dxa"/>
            <w:vAlign w:val="bottom"/>
          </w:tcPr>
          <w:p>
            <w:pPr>
              <w:spacing w:after="0"/>
              <w:rPr>
                <w:sz w:val="9"/>
                <w:szCs w:val="9"/>
                <w:color w:val="auto"/>
              </w:rPr>
            </w:pPr>
          </w:p>
        </w:tc>
        <w:tc>
          <w:tcPr>
            <w:tcW w:w="50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(12.3)</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Changes in assets and liabilities, net of effects from acquisitions: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decrease (increase) in pledged cash, pledged investments and secured trust deposits</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(0.7)</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decrease in trade receivables</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48.6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27.6</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22.3</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decrease (increase) in prepaid expenses and other assets</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32.3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(65.2)</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decrease in accounts payable, accrued liabilities, deferred revenue and other</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(115.6)</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(87.8)</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(decrease) increase in reserve for claim losses</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(135.9)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202.9</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199.3</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increase (decrease) in income taxes</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138.3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(72.0)</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(32.5)</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cash provided by operating activities</w:t>
            </w: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380.3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4.6</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337.0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sales of investment securities available for sale</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849.0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632.6</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4,632.6</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maturities of investment securities available for sale</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341.1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292.1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466.7</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sales of assets</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53.8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Collections of notes receivable</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8.6</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Cash expended as collateral on loaned securities, net</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(3.1)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(3.6)</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Additions to title plants</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(6.0)</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Additions to property and equipment</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(50.8)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(84.2)</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(83.9)</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Additions to capitalized software</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(29.3)</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Additions to notes receivable</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(12.1)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investment securities available for sale</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(1,838.5)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(570.7)</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4"/>
              </w:rPr>
              <w:t>(5,168.0)</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Purchases of other long-term investments</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(75.0)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proceeds from (purchases of) short-term investment activities</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369.8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(185.6)</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421.0</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Distributions from (contributions to) investments in unconsolidated affiliates</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(509.2)</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the sale of partial interest in Sedgwick CMS</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53.9</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proceeds from the sale of FN Capital</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49.2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Acquisition of businesses, net of cash acquired</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(47.9)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(143.2)</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(245.8)</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20"/>
              <w:spacing w:after="0"/>
              <w:rPr>
                <w:sz w:val="20"/>
                <w:szCs w:val="20"/>
                <w:color w:val="auto"/>
              </w:rPr>
            </w:pPr>
            <w:r>
              <w:rPr>
                <w:rFonts w:ascii="Arial" w:cs="Arial" w:eastAsia="Arial" w:hAnsi="Arial"/>
                <w:sz w:val="10"/>
                <w:szCs w:val="10"/>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(368.6)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(24.9)</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(514.8)</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Equity offering</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331.4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Borrowings</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147.0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380.4</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570.5</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Debt service payments</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(398.4)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(263.5)</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(29.4)</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Debt issuance costs</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Dividends paid</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(135.8)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(223.1)</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(262.2)</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Subsidiary dividends paid to noncontrolling interest shareholders</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Exercise of stock options</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5.3</w:t>
            </w:r>
          </w:p>
        </w:tc>
        <w:tc>
          <w:tcPr>
            <w:tcW w:w="12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8.4</w:t>
            </w: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Tax benefit associated with the exercise of stock options</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0.3</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Purchases of treasury stock</w:t>
            </w:r>
          </w:p>
        </w:tc>
        <w:tc>
          <w:tcPr>
            <w:tcW w:w="100" w:type="dxa"/>
            <w:vAlign w:val="bottom"/>
          </w:tcPr>
          <w:p>
            <w:pPr>
              <w:spacing w:after="0"/>
              <w:rPr>
                <w:sz w:val="9"/>
                <w:szCs w:val="9"/>
                <w:color w:val="auto"/>
              </w:rPr>
            </w:pPr>
          </w:p>
        </w:tc>
        <w:tc>
          <w:tcPr>
            <w:tcW w:w="50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(74.9)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(45.9)</w:t>
            </w:r>
          </w:p>
        </w:tc>
        <w:tc>
          <w:tcPr>
            <w:tcW w:w="12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(183.2)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cash (used in) provided by financing activities</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(112.1)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(150.1)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105.9</w:t>
            </w:r>
          </w:p>
        </w:tc>
        <w:tc>
          <w:tcPr>
            <w:tcW w:w="0" w:type="dxa"/>
            <w:vAlign w:val="bottom"/>
          </w:tcPr>
          <w:p>
            <w:pPr>
              <w:spacing w:after="0"/>
              <w:rPr>
                <w:sz w:val="1"/>
                <w:szCs w:val="1"/>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decrease in cash and cash equivalents, excluding pledged cash related to secured trust deposits</w:t>
            </w: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(100.4)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(170.4)</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(71.9)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 excluding pledged cash related to secured trust deposits, at beginning of year</w:t>
            </w: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205.7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376.1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448.0</w:t>
            </w:r>
          </w:p>
        </w:tc>
        <w:tc>
          <w:tcPr>
            <w:tcW w:w="0" w:type="dxa"/>
            <w:vAlign w:val="bottom"/>
          </w:tcPr>
          <w:p>
            <w:pPr>
              <w:spacing w:after="0"/>
              <w:rPr>
                <w:sz w:val="1"/>
                <w:szCs w:val="1"/>
                <w:color w:val="auto"/>
              </w:rPr>
            </w:pPr>
          </w:p>
        </w:tc>
      </w:tr>
      <w:tr>
        <w:trPr>
          <w:trHeight w:val="117"/>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Cash and cash equivalents, excluding pledged cash related to secured trust deposits, at end of year</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105.3</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205.7</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A.</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Description of Business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are a holding company that is a provider, through our subsidiaries, of title insurance, specialty insurance, claims management services, and information services. We are the nation’s largest title insurance company through our title insurance underwriters — Fidelity National Title, Chicago Title, Commonwealth Land Title, Lawyers Title, Ticor Title, Security Union Title, and Alamo Title — which collectively issued more title insurance policies in 2008 than any other title company in the United States. We also provide flood insurance, personal lines insurance and home warranty insurance through our specialty insurance subsidiaries. We are a leading provider of outsourced claims management services to large corporate and public sector entities through our minority-owned affiliate, Sedgwick CMS Holdings (“Sedgwick”) and a provider of information services in the human resources, retail, and transportation markets through another minority-owned affiliate, Ceridian Corporation (“Ceridian”).</w:t>
      </w:r>
    </w:p>
    <w:p>
      <w:pPr>
        <w:spacing w:after="0" w:line="7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Prior to October 24, 2006, we were known as Fidelity National Title Group, Inc. (“FNT”) and were a majority-owned subsidiary of another publicly traded company, also called Fidelity National Financial, Inc. (“Old FNF”). On October 24, 2006, Old FNF transferred certain assets, including its specialty insurance business, its interest in certain claims management operations, certain timber and real estate holdings, certain smaller operations, cash and certain investment assets, to us in return for the issuance of 45,265,956 shares of our common stock to Old FNF. Old FNF then distributed to its shareholders all of its shares of our common stock, making FNT a standalone public company (the “2006 Distribution”). On November 9, 2006, Old FNF was then merged with and into another of its subsidiaries, Fidelity National Information Services, Inc. (“FIS”), after which we changed our name to Fidelity National Financial, Inc. On November 10, 2006, our common stock began trading on the New York Stock Exchange under the trading symbol “FNF.” As a result of these transactions, our Chairman of the Board is also executive Chairman of the Board of FIS and other members of our Board of Directors and our management serve in similar capacities at FIS.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three reporting segments as follows:</w:t>
      </w:r>
    </w:p>
    <w:p>
      <w:pPr>
        <w:spacing w:after="0" w:line="96" w:lineRule="exact"/>
        <w:rPr>
          <w:sz w:val="20"/>
          <w:szCs w:val="20"/>
          <w:color w:val="auto"/>
        </w:rPr>
      </w:pPr>
    </w:p>
    <w:p>
      <w:pPr>
        <w:ind w:left="1280" w:right="200" w:hanging="190"/>
        <w:spacing w:after="0" w:line="276"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This segment consists of the operation of our title insurance underwriters and related businesses. This segment provides core title insurance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escrow and other title-related services including collection and trust activities, trustee’s sales guarantees, recordings and reconveyances.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2"/>
          <w:szCs w:val="12"/>
          <w:color w:val="auto"/>
        </w:rPr>
      </w:pPr>
      <w:r>
        <w:rPr>
          <w:rFonts w:ascii="Arial" w:cs="Arial" w:eastAsia="Arial" w:hAnsi="Arial"/>
          <w:sz w:val="12"/>
          <w:szCs w:val="12"/>
          <w:i w:val="1"/>
          <w:iCs w:val="1"/>
          <w:color w:val="auto"/>
        </w:rPr>
        <w:t xml:space="preserve">Specialty Insurance. </w:t>
      </w:r>
      <w:r>
        <w:rPr>
          <w:rFonts w:ascii="Arial" w:cs="Arial" w:eastAsia="Arial" w:hAnsi="Arial"/>
          <w:sz w:val="12"/>
          <w:szCs w:val="12"/>
          <w:color w:val="auto"/>
        </w:rPr>
        <w:t>This segment consists of certain subsidiaries that issue flood, home warranty, homeowners’, automobile and other personal lines insurance policies.</w:t>
      </w:r>
    </w:p>
    <w:p>
      <w:pPr>
        <w:spacing w:after="0" w:line="97" w:lineRule="exact"/>
        <w:rPr>
          <w:rFonts w:ascii="Arial" w:cs="Arial" w:eastAsia="Arial" w:hAnsi="Arial"/>
          <w:sz w:val="12"/>
          <w:szCs w:val="12"/>
          <w:color w:val="auto"/>
        </w:rPr>
      </w:pPr>
    </w:p>
    <w:p>
      <w:pPr>
        <w:ind w:left="1280" w:right="200" w:hanging="190"/>
        <w:spacing w:after="0" w:line="276"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This segment consists of the operations of the parent holding company, certain other unallocated corporate overhead expenses, other smaller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and our share in the operations of certain equity method investments, including Sedgwick, Ceridian and Remy International, Inc. (“Remy”).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 and Basis of Presentation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accompanying Consolidated Financial Statements are prepared in accordance with generally accepted accounting principles in the United States and include our accounts as well as our wholly-owned and majority-owned subsidiaries. All intercompany profits, transactions and balances have been eliminated. Our investments in non-majority-owned partnerships and affiliates are accounted for using the equity method until such time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371" w:lineRule="auto"/>
        <w:rPr>
          <w:sz w:val="20"/>
          <w:szCs w:val="20"/>
          <w:color w:val="auto"/>
        </w:rPr>
      </w:pPr>
      <w:r>
        <w:rPr>
          <w:rFonts w:ascii="Arial" w:cs="Arial" w:eastAsia="Arial" w:hAnsi="Arial"/>
          <w:sz w:val="11"/>
          <w:szCs w:val="11"/>
          <w:color w:val="auto"/>
        </w:rPr>
        <w:t>that they become wholly or majority-owned. Earnings attributable to noncontrolling interests are recorded on the Consolidated Statement of Operations relating to majority-owned subsidiaries with the appropriate noncontrolling interest that represents the portion of equity not related to our ownership interest recorded on the Consolidated Balance Sheets in each period.</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 September 25, 2009, we closed on the sale of Fidelity National Capital, Inc. (“FN Capital”), a wholly-owned financing and leasing subsidiary, to Winthrop Resources Corporation. Accordingly, the sale and results of FN Capital for periods prior to the sale are reflected in the financial statements as discontinued operations for all periods presented. Net proceeds to FNF from the sale of FN Capital were $49.2 million. We recorded a pre-tax loss on the sale of $3.4 million ($2.2 million after tax). Total revenues from FN Capital included in discontinued operations were $29.3 million, $32.1 million, and $4.2 million for the years ended December 31, 2009, 2008, and 2007, respectively. Pre-tax (loss) income included in discontinued operations was $(2.1) million, $3.4 million, and $0.1 million for the years ended December 31, 2009, 2008, and 2007, respectively.</w:t>
      </w:r>
    </w:p>
    <w:p>
      <w:pPr>
        <w:spacing w:after="0" w:line="55"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In February 2009, we transferred our ownership interest in FNRES Holdings, Inc. (“FNRES”) to LPS, a related party at the time, in exchange for all of the outstanding shares of Investment Property Exchange Services, Inc. (“IPEX”), a company that facilitates real estate exchanges under Section 1031 of the Internal Revenue Code. The purchase price of IPEX was approximately $43 million, which was the fair value of FNF’s 61% holdings in FNRES. The results of operations of FNRES are reflected as discontinued operations in the Consolidated Statements of Operations. Discontinued operations included revenues from FNRES operations of $3.5 million, $45.8 million, and $53.4 million in the years ending December 31, 2009, 2008, and 2007, respectively. Discontinued operations included pre-tax losses related to FNRES operations of $0.5 million, $19.0 million, and $9.6 million in years ending December 31, 2009, 2008, and 2007,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based on quoted market prices. Discount or premium is recorded for the difference between the purchase price and the principal amount. The discount or premium is amortized or accreted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prospectively.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Equity securities are considered to be available for sale and carried at fair value as of the balance sheet dates. Fair values are based on quoted market prices.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Investments in unconsolidated affiliates are recorded using the equity method of accounting (see note D).</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Other long-term investments consist primarily of structured notes, and are carried at fair value as of the balance sheet dates. Fair values are based on exit prices obtained from a broker-dealer.</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Realized gains and losses on the sale of investments are determined on the basis of the cost of the specific investments sold and are credited or charged to income on a trade date basis. Unrealized gains or losses on fixed maturity and equity securities which are classified as available for sale, net of applicable deferred income tax expenses (benefits), are excluded from earnings and credited or charged directly to a separate component of equity. If any unrealized losses on fixed maturity or equity securities are deemed other-than-temporary, such unrealized losses are recognized as realized losses. Unrealized losses are deemed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Therefore, the fair values presented are not necessarily indicative of amounts we could realize or settle currently. We do not necessarily intend to dispose of or liquidate such instruments prior to maturity.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and Notes Receivables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values reported in the Consolidated Balance Sheets for trade and notes receivables approximate their fair value.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Goodwill represents the excess of cost over fair value of identifiable net assets acquired and assumed in a business combination. Goodwill and other intangible assets with indefinite useful lives are tested for impairment annually or more frequently if circumstances indicate potential impairment, through a comparison of fair value to the carrying amount. In evaluating the recoverability of goodwill, we perform an annual goodwill impairment test based on an analysis of the discounted future cash flows generated by the underlying assets.</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completed annual goodwill impairment tests in the fourth quarter of each respective year using a September 30 measurement date. Accordingly, no goodwill impairments have been recorded. For the year ended December 31, 2009, we determined fair values substantially exceeded carrying values.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Software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Capitalized software includes software acquired in business acquisitions, purchased software and internally developed capitalized software. Purchased software is recorded at cost and amortized using the straight-line method over a three-year period and software acquired in a business acquisition is recorded at its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57" w:lineRule="auto"/>
        <w:rPr>
          <w:sz w:val="20"/>
          <w:szCs w:val="20"/>
          <w:color w:val="auto"/>
        </w:rPr>
      </w:pPr>
      <w:r>
        <w:rPr>
          <w:rFonts w:ascii="Arial" w:cs="Arial" w:eastAsia="Arial" w:hAnsi="Arial"/>
          <w:sz w:val="13"/>
          <w:szCs w:val="13"/>
          <w:color w:val="auto"/>
        </w:rPr>
        <w:t>fair value upon acquisition and amortized using straight-line and accelerated methods over its estimated useful life. After the technological feasibility of software to be developed internally has been established, or at the beginning of application development, software development costs, which include salaries and related payroll costs and costs of independent contractors incurred during development, are capitalized. Research and development costs incurred prior to the establishment of technological feasibility, or prior to software development, are expensed as incurred. For internally developed software, software development costs are amortized on a product by product basis commencing on the date of general release of the products, generally the greater of (1) the straight-line method over its estimated useful life, which ranges from three to seven years or (2) the ratio of current revenues to total anticipated revenue over estimated useful life.</w:t>
      </w:r>
    </w:p>
    <w:p>
      <w:pPr>
        <w:spacing w:after="0" w:line="7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At December 31, 2009, capitalized software was $181.9 million, less accumulated amortization of $125.9 million. At December 31, 2008, capitalized software was $190.1 million, less accumulated amortization of $104.4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Amortization expense relating to computer software was $25.9 million, $27.4 million, and $21.3 million for the years ended December 31, 2009, 2008, and 2007, respectively.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We have other intangible assets, not including software, which consist primarily of customer relationships and contracts and trademarks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Customer relationships are amortized over their estimated useful lives using an accelerated method which takes into consideration expected customer attrition rates over a ten-year period. Contractual relationships are generally amortized over their contractual life. Trademarks are considered intangible assets with indefinite lives and are reviewed for impairment at least annually.</w:t>
      </w:r>
    </w:p>
    <w:p>
      <w:pPr>
        <w:spacing w:after="0" w:line="55" w:lineRule="exact"/>
        <w:rPr>
          <w:sz w:val="20"/>
          <w:szCs w:val="20"/>
          <w:color w:val="auto"/>
        </w:rPr>
      </w:pPr>
    </w:p>
    <w:p>
      <w:pPr>
        <w:ind w:left="680" w:right="420" w:firstLine="399"/>
        <w:spacing w:after="0" w:line="264" w:lineRule="auto"/>
        <w:rPr>
          <w:sz w:val="20"/>
          <w:szCs w:val="20"/>
          <w:color w:val="auto"/>
        </w:rPr>
      </w:pPr>
      <w:r>
        <w:rPr>
          <w:rFonts w:ascii="Arial" w:cs="Arial" w:eastAsia="Arial" w:hAnsi="Arial"/>
          <w:sz w:val="13"/>
          <w:szCs w:val="13"/>
          <w:color w:val="auto"/>
        </w:rPr>
        <w:t>During 2008, we determined that the carrying value of certain of our intangible assets, software and license fees may not be recoverable and recorded impairment expense of $8.5 million, relating to the impairment of these assets. This expense amount was included in other operating expenses in the Consolidated Statement of Operations for the year ended December 31, 2008. We recorded no impairment expense in 2009 or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Title Plants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completed annual goodwill impairment tests in the fourth quarter of each respective year and determined no impairments were necessary.</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Property and equipment are recorded at cost, less depreciation. Depreciation is computed primarily using the straight-line method based on the estimated useful lives of the related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assets: thirty years for buildings and three to seven years for furniture, fixtures and equipment. Leasehold improvements are amortized on a straight-line basis over the lesser of the term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applicable lease or the estimated useful lives of such</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assets. Property and equipment are reviewed for impairment whenever events or circumstances indicate that the carrying amounts may not be recoverable.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 for Claim Losses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Our reserve for claim losses includes known claims for title and specialty insurance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other factors, including industry trends, claim loss history, current legal environment, geographic considerations and type of policy written. For specialty insurance, reserve for claims incurred but not reported are estimated based on historical loss experience.</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reserve for claim losses also includes reserves for losses arising from the escrow, closing and disbursement functions due to fraud or operational error.</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Secured Trust Deposits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state of Illinois, a trust company is permitted to commingle and invest customers’ assets with its own assets, pending completion of real estate transactions. Accordingly, our Consolidated Balance Sheets reflect a secured trust deposit liability of $373.3 million and $474.1 million at December 31, 2009 and 2008, respectively, representing customers’ assets held by us and corresponding assets including cash and investments pledged as security for those trust balances.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Reinsurance</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Direct title insurance premiums and escrow and other title-related fees are recognized as revenue at the time of closing of the related transaction as the</w:t>
      </w:r>
      <w:r>
        <w:rPr>
          <w:rFonts w:ascii="Arial" w:cs="Arial" w:eastAsia="Arial" w:hAnsi="Arial"/>
          <w:sz w:val="13"/>
          <w:szCs w:val="13"/>
          <w:i w:val="1"/>
          <w:iCs w:val="1"/>
          <w:color w:val="auto"/>
        </w:rPr>
        <w:t xml:space="preserve"> </w:t>
      </w:r>
      <w:r>
        <w:rPr>
          <w:rFonts w:ascii="Arial" w:cs="Arial" w:eastAsia="Arial" w:hAnsi="Arial"/>
          <w:sz w:val="13"/>
          <w:szCs w:val="13"/>
          <w:color w:val="auto"/>
        </w:rPr>
        <w:t>earnings process is considered complete, whereas premium revenues from agency operations and agency commissions include an accrual based on estimates of the volume of transactions that have closed in a particular period for which premiums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spacing w:after="0" w:line="258" w:lineRule="auto"/>
        <w:rPr>
          <w:sz w:val="20"/>
          <w:szCs w:val="20"/>
          <w:color w:val="auto"/>
        </w:rPr>
      </w:pPr>
      <w:r>
        <w:rPr>
          <w:rFonts w:ascii="Arial" w:cs="Arial" w:eastAsia="Arial" w:hAnsi="Arial"/>
          <w:sz w:val="13"/>
          <w:szCs w:val="13"/>
          <w:color w:val="auto"/>
        </w:rPr>
        <w:t>have not yet been reported to us. The accrual for agency premiums is necessary because of the lag between the closing of these transactions and the reporting of these policies to us by the agent. During 2008, we re-evaluated and refined the method used to estimate this accrual, which resulted in a reduction in revenue from agency title insurance premiums of $138.5 million compared to the revenues that would have been accrued under our prior method. The impact of this adjustment was a decrease of $11.8 million in pre-tax earnings and $7.6 million in net income, or approximately $0.04 per share, compared to the amounts that would have been recorded under our prior method. We believe that this adjustment is properly reflected as a change in accounting estimate in 2008.</w:t>
      </w:r>
    </w:p>
    <w:p>
      <w:pPr>
        <w:spacing w:after="0" w:line="71"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i w:val="1"/>
          <w:iCs w:val="1"/>
          <w:color w:val="auto"/>
        </w:rPr>
        <w:t xml:space="preserve">Specialty Insurance. </w:t>
      </w:r>
      <w:r>
        <w:rPr>
          <w:rFonts w:ascii="Arial" w:cs="Arial" w:eastAsia="Arial" w:hAnsi="Arial"/>
          <w:sz w:val="13"/>
          <w:szCs w:val="13"/>
          <w:color w:val="auto"/>
        </w:rPr>
        <w:t>Revenues from home warranty and personal lines insurance policies are recognized over the life of the policy, which is one year. The unrecognized portion is</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deferred revenue. Revenues and commissions related to the sale of flood insurance are recognized when the policy is reported.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Basic earnings per share is computed by dividing net earnings available to common stockholders by the weighted average number of common shares outstanding during the period. In periods when earnings are positive, diluted earnings per share is calculated by dividing net earnings available to common stockholders by the sum of the weighted average number of common shares outstanding and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warrants and restricted stock which have been treated as common share equivalents for purposes of calculating diluted earnings per share for periods in which positive earnings have been reported.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computation of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rPr>
              <w:t>2009</w:t>
            </w:r>
          </w:p>
        </w:tc>
        <w:tc>
          <w:tcPr>
            <w:tcW w:w="5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6"/>
              </w:rPr>
              <w:t>(In millions,</w:t>
            </w: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6"/>
              </w:rPr>
              <w:t>share data)</w:t>
            </w: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w w:val="99"/>
              </w:rPr>
              <w:t>except per</w:t>
            </w: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earnings (loss) from continuing operations attributable to FNF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224.1</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(173.7)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Basic and diluted net loss from discontinued operations attributable to FNF common shareholders</w:t>
            </w: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(1.8)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8"/>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earnings (loss) attributable to FNF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222.3</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(179.0)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 during the period, basic basis</w:t>
            </w: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224.7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48"/>
              <w:spacing w:after="0"/>
              <w:rPr>
                <w:sz w:val="20"/>
                <w:szCs w:val="20"/>
                <w:color w:val="auto"/>
              </w:rPr>
            </w:pPr>
            <w:r>
              <w:rPr>
                <w:rFonts w:ascii="Arial" w:cs="Arial" w:eastAsia="Arial" w:hAnsi="Arial"/>
                <w:sz w:val="13"/>
                <w:szCs w:val="13"/>
                <w:color w:val="auto"/>
              </w:rPr>
              <w:t>210.0</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Plus: Common stock equivalent shares assumed from conversion of options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 during the period, diluted basis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228.5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48"/>
              <w:spacing w:after="0"/>
              <w:rPr>
                <w:sz w:val="20"/>
                <w:szCs w:val="20"/>
                <w:color w:val="auto"/>
              </w:rPr>
            </w:pPr>
            <w:r>
              <w:rPr>
                <w:rFonts w:ascii="Arial" w:cs="Arial" w:eastAsia="Arial" w:hAnsi="Arial"/>
                <w:sz w:val="13"/>
                <w:szCs w:val="13"/>
                <w:color w:val="auto"/>
              </w:rPr>
              <w:t>210.0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 net earnings (loss) per share from continuing operations attributable to FNF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(0.83)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Basic net loss from discontinued operations attributable to FNF common shareholders</w:t>
            </w: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(0.01)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8"/>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share attributable to FNF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0.99</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(0.85)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300" w:type="dxa"/>
            <w:vAlign w:val="bottom"/>
          </w:tcPr>
          <w:p>
            <w:pPr>
              <w:ind w:left="4940"/>
              <w:spacing w:after="0"/>
              <w:rPr>
                <w:sz w:val="20"/>
                <w:szCs w:val="20"/>
                <w:color w:val="auto"/>
              </w:rPr>
            </w:pPr>
            <w:r>
              <w:rPr>
                <w:rFonts w:ascii="Arial" w:cs="Arial" w:eastAsia="Arial" w:hAnsi="Arial"/>
                <w:sz w:val="13"/>
                <w:szCs w:val="13"/>
                <w:color w:val="auto"/>
              </w:rPr>
              <w:t>78</w:t>
            </w: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rPr>
              <w:t>2009</w:t>
            </w:r>
          </w:p>
        </w:tc>
        <w:tc>
          <w:tcPr>
            <w:tcW w:w="5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6"/>
              </w:rPr>
              <w:t>(In millions,</w:t>
            </w: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6"/>
              </w:rPr>
              <w:t>share data)</w:t>
            </w: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w w:val="99"/>
              </w:rPr>
              <w:t>except per</w:t>
            </w: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Diluted net earnings (loss) per share from continuing operations attributable to FNF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0.98</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(0.83)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Diluted net loss from discontinued operations attributable to FNF common shareholders</w:t>
            </w: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(0.01)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8"/>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share attributable to FNF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r>
              <w:rPr>
                <w:rFonts w:ascii="Arial" w:cs="Arial" w:eastAsia="Arial" w:hAnsi="Arial"/>
                <w:sz w:val="13"/>
                <w:szCs w:val="13"/>
                <w:u w:val="single" w:color="auto"/>
                <w:color w:val="auto"/>
              </w:rPr>
              <w:t>97</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(0.85)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r>
              <w:rPr>
                <w:rFonts w:ascii="Arial" w:cs="Arial" w:eastAsia="Arial" w:hAnsi="Arial"/>
                <w:sz w:val="13"/>
                <w:szCs w:val="13"/>
                <w:u w:val="single" w:color="auto"/>
                <w:color w:val="auto"/>
              </w:rPr>
              <w:t>59</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For the years ended December 31, 2009, 2008, and 2007, options to purchase 10.2 million shares, 23.2 million shares and 5.4 million shares, respectively, of our common stock were excluded from the computation of diluted earnings per share because they were anti-dilutive.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Transactions with Related Parties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historically conducted business with FIS and its subsidiaries. On July 2, 2008, FIS completed the spin-off of its lender processing services segment into a separate publicly traded company, Lender Processing Services, Inc. (“LPS”). As part of the spin-off of LPS, a number of the agreements that were previously between FNF and FIS were amended and renegotiated to reflect the revised relationships between FNF and FIS and the new relationships between FNF and LPS. Effective March 15, 2009, William P. Foley, II, retired from his position as an officer and director of LPS. Prior to March 15, 2009, Mr. Foley was the Chairman of the Board of LPS. Also at that time, Daniel D. (Ron) Lane and Cary H. Thompson, retired from the LPS Board of Directors. As a result, as of March 15, 2009, LPS is no longer a related party and activity between FNF and LPS subsequent to that date is not included in our disclosures of transactions with related parties.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Agreements with FIS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agreements that were in effect with FIS through December 31, 2009, is as follows:</w:t>
      </w:r>
    </w:p>
    <w:p>
      <w:pPr>
        <w:spacing w:after="0" w:line="96" w:lineRule="exact"/>
        <w:rPr>
          <w:sz w:val="20"/>
          <w:szCs w:val="20"/>
          <w:color w:val="auto"/>
        </w:rPr>
      </w:pPr>
    </w:p>
    <w:p>
      <w:pPr>
        <w:ind w:left="1280" w:right="40" w:hanging="190"/>
        <w:spacing w:after="0" w:line="296" w:lineRule="auto"/>
        <w:tabs>
          <w:tab w:leader="none" w:pos="12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Technology (“IT”), data processing services and software development services from FIS. These agreements govern IT support services and software development provided to us by FIS, primarily consisting of infrastructure support and data center management. Subject to certain early termination provisions (including the payment of minimum monthly service and termination fees), the agreement expires on or about June 30, 2013 with an option to renew for one or two additional years.</w:t>
      </w:r>
    </w:p>
    <w:p>
      <w:pPr>
        <w:spacing w:after="0" w:line="39" w:lineRule="exact"/>
        <w:rPr>
          <w:rFonts w:ascii="Arial" w:cs="Arial" w:eastAsia="Arial" w:hAnsi="Arial"/>
          <w:sz w:val="12"/>
          <w:szCs w:val="12"/>
          <w:color w:val="auto"/>
        </w:rPr>
      </w:pPr>
    </w:p>
    <w:p>
      <w:pPr>
        <w:ind w:left="1280" w:right="60" w:hanging="190"/>
        <w:spacing w:after="0" w:line="260"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Administrative corporate support and cost-sharing services to and from FIS. We have provided certain administrative corporate support services such as general management, corporate aviation and other administrative support services to FIS. On a lesser scale, FIS has provided similar support services to us. The pricing of these administrative services is at cost. The administrative corporate services agreements expire in July 2010, subject to extension in certain circumstances or early termination if the services are no longer required by the party receiving the services or upon mutual agreement of the parties.</w:t>
      </w:r>
    </w:p>
    <w:p>
      <w:pPr>
        <w:spacing w:after="0" w:line="59" w:lineRule="exact"/>
        <w:rPr>
          <w:rFonts w:ascii="Arial" w:cs="Arial" w:eastAsia="Arial" w:hAnsi="Arial"/>
          <w:sz w:val="13"/>
          <w:szCs w:val="13"/>
          <w:color w:val="auto"/>
        </w:rPr>
      </w:pPr>
    </w:p>
    <w:p>
      <w:pPr>
        <w:jc w:val="both"/>
        <w:ind w:left="1280" w:right="200" w:hanging="190"/>
        <w:spacing w:after="0" w:line="264"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Real estate management, real estate lease and equipment lease agreements. Included in our revenues are amounts received related to leases of certain equipment to FIS and the sublease of certain office space, furniture and furnishings to FIS. A majority of the leases of equipment to FIS were between FN Capital and FIS and the related receipts are no longer revenue to us subsequent to the sale of FN Capital on September 25, 2009.</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August 31, 2007, we completed the acquisition of Property Insight, LLC (“Property Insight”), a former FIS subsidiary, from FIS for $95 million in cash. Property Insight is a leading provider of title plant services to us, as well as various national and regional underwriters. Property Insight primarily manages, maintains and updates the title plants that we own. Additionally, Property Insight manages our title plant construction. Prior to August 31, 2007, the title plant assets of several of our title insurance subsidiaries were managed or maintained by Property Insight, as a subsidiary of FIS. The underlying title plant information and software were owned by each of our title insurance underwriters, but Property Insight managed and updated the information in return for either (i) a cash management fee or (ii) the right to sell that information to title insurers, including title insurance underwriters that we owned and other third party customers. In most cases, Property Insight was responsible for keeping the title plant assets current and fully functioning, for which we paid a fee to Property Insight based on our use of, or access to, the title plant. In addition, each applicable title insurance underwriter we owned in turn received a royalty on sales of access to its title plant assets.</w:t>
      </w:r>
    </w:p>
    <w:p>
      <w:pPr>
        <w:spacing w:after="0" w:line="5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Our payments to FIS for management and maintenance of title plant assets by Property Insight were $14.0 million for the period from January 1 through August 31, 2007. Our revenues from title plant royalties were $3.7 million for the period from January 1 through August 31, 2007.</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Through August 31, 2007, we paid amounts to Property Insight for capitalized software development and for title plant construction. These amounts included capitalized software development costs of $5.4 million for the period from January 1 through August 31, 2007, and amounts paid for capitalized title plant construction costs of $10.3 million for the period from January 1 through August 31, 2007.</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detail of related party items included in revenues and expenses for the periods presented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ind w:left="140"/>
              <w:spacing w:after="0"/>
              <w:rPr>
                <w:sz w:val="20"/>
                <w:szCs w:val="20"/>
                <w:color w:val="auto"/>
              </w:rPr>
            </w:pPr>
            <w:r>
              <w:rPr>
                <w:rFonts w:ascii="Arial" w:cs="Arial" w:eastAsia="Arial" w:hAnsi="Arial"/>
                <w:sz w:val="10"/>
                <w:szCs w:val="10"/>
                <w:b w:val="1"/>
                <w:bCs w:val="1"/>
                <w:color w:val="auto"/>
                <w:w w:val="81"/>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Rental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7900" w:type="dxa"/>
            <w:vAlign w:val="bottom"/>
            <w:vMerge w:val="restart"/>
          </w:tcPr>
          <w:p>
            <w:pPr>
              <w:spacing w:after="0"/>
              <w:rPr>
                <w:sz w:val="20"/>
                <w:szCs w:val="20"/>
                <w:color w:val="auto"/>
              </w:rPr>
            </w:pPr>
            <w:r>
              <w:rPr>
                <w:rFonts w:ascii="Arial" w:cs="Arial" w:eastAsia="Arial" w:hAnsi="Arial"/>
                <w:sz w:val="13"/>
                <w:szCs w:val="13"/>
                <w:color w:val="auto"/>
              </w:rPr>
              <w:t>Data processing costs</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47.4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42.6</w:t>
            </w: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Corporate services and cost-sharing</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Total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We believe the amounts we earned or were charged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FNF earned or was charged under these arrangements were not negotiated at arm’s-length, and may not represent the terms that we might have obtained from an unrelated third party.</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Amounts due to FIS were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80" w:type="dxa"/>
            <w:vAlign w:val="bottom"/>
          </w:tcPr>
          <w:p>
            <w:pPr>
              <w:spacing w:after="0"/>
              <w:rPr>
                <w:sz w:val="10"/>
                <w:szCs w:val="10"/>
                <w:color w:val="auto"/>
              </w:rPr>
            </w:pPr>
          </w:p>
        </w:tc>
        <w:tc>
          <w:tcPr>
            <w:tcW w:w="960" w:type="dxa"/>
            <w:vAlign w:val="bottom"/>
          </w:tcPr>
          <w:p>
            <w:pPr>
              <w:jc w:val="right"/>
              <w:ind w:right="21"/>
              <w:spacing w:after="0"/>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ind w:right="208"/>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380" w:type="dxa"/>
            <w:vAlign w:val="bottom"/>
          </w:tcPr>
          <w:p>
            <w:pPr>
              <w:spacing w:after="0"/>
              <w:rPr>
                <w:sz w:val="10"/>
                <w:szCs w:val="10"/>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2009</w:t>
            </w:r>
          </w:p>
        </w:tc>
        <w:tc>
          <w:tcPr>
            <w:tcW w:w="2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2008</w:t>
            </w:r>
          </w:p>
        </w:tc>
      </w:tr>
      <w:tr>
        <w:trPr>
          <w:trHeight w:val="125"/>
        </w:trPr>
        <w:tc>
          <w:tcPr>
            <w:tcW w:w="7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ind w:left="80"/>
              <w:spacing w:after="0"/>
              <w:rPr>
                <w:sz w:val="20"/>
                <w:szCs w:val="20"/>
                <w:color w:val="auto"/>
              </w:rPr>
            </w:pPr>
            <w:r>
              <w:rPr>
                <w:rFonts w:ascii="Arial" w:cs="Arial" w:eastAsia="Arial" w:hAnsi="Arial"/>
                <w:sz w:val="10"/>
                <w:szCs w:val="10"/>
                <w:b w:val="1"/>
                <w:bCs w:val="1"/>
                <w:color w:val="auto"/>
                <w:w w:val="81"/>
              </w:rPr>
              <w:t>(In</w:t>
            </w:r>
          </w:p>
        </w:tc>
        <w:tc>
          <w:tcPr>
            <w:tcW w:w="1440" w:type="dxa"/>
            <w:vAlign w:val="bottom"/>
            <w:gridSpan w:val="2"/>
          </w:tcPr>
          <w:p>
            <w:pPr>
              <w:jc w:val="right"/>
              <w:ind w:right="968"/>
              <w:spacing w:after="0"/>
              <w:rPr>
                <w:sz w:val="20"/>
                <w:szCs w:val="20"/>
                <w:color w:val="auto"/>
              </w:rPr>
            </w:pPr>
            <w:r>
              <w:rPr>
                <w:rFonts w:ascii="Arial" w:cs="Arial" w:eastAsia="Arial" w:hAnsi="Arial"/>
                <w:sz w:val="10"/>
                <w:szCs w:val="10"/>
                <w:b w:val="1"/>
                <w:bCs w:val="1"/>
                <w:color w:val="auto"/>
                <w:w w:val="97"/>
              </w:rPr>
              <w:t>millions)</w:t>
            </w:r>
          </w:p>
        </w:tc>
      </w:tr>
      <w:tr>
        <w:trPr>
          <w:trHeight w:val="161"/>
        </w:trPr>
        <w:tc>
          <w:tcPr>
            <w:tcW w:w="7380" w:type="dxa"/>
            <w:vAlign w:val="bottom"/>
          </w:tcPr>
          <w:p>
            <w:pPr>
              <w:spacing w:after="0"/>
              <w:rPr>
                <w:sz w:val="20"/>
                <w:szCs w:val="20"/>
                <w:color w:val="auto"/>
              </w:rPr>
            </w:pPr>
            <w:r>
              <w:rPr>
                <w:rFonts w:ascii="Arial" w:cs="Arial" w:eastAsia="Arial" w:hAnsi="Arial"/>
                <w:sz w:val="13"/>
                <w:szCs w:val="13"/>
                <w:color w:val="auto"/>
              </w:rPr>
              <w:t>Note payable to FIS</w:t>
            </w:r>
          </w:p>
        </w:tc>
        <w:tc>
          <w:tcPr>
            <w:tcW w:w="960" w:type="dxa"/>
            <w:vAlign w:val="bottom"/>
          </w:tcPr>
          <w:p>
            <w:pPr>
              <w:jc w:val="right"/>
              <w:ind w:right="241"/>
              <w:spacing w:after="0"/>
              <w:rPr>
                <w:sz w:val="20"/>
                <w:szCs w:val="20"/>
                <w:color w:val="auto"/>
              </w:rPr>
            </w:pPr>
            <w:r>
              <w:rPr>
                <w:rFonts w:ascii="Arial" w:cs="Arial" w:eastAsia="Arial" w:hAnsi="Arial"/>
                <w:sz w:val="13"/>
                <w:szCs w:val="13"/>
                <w:color w:val="auto"/>
              </w:rPr>
              <w:t>$ —</w:t>
            </w:r>
          </w:p>
        </w:tc>
        <w:tc>
          <w:tcPr>
            <w:tcW w:w="1640" w:type="dxa"/>
            <w:vAlign w:val="bottom"/>
            <w:gridSpan w:val="3"/>
          </w:tcPr>
          <w:p>
            <w:pPr>
              <w:jc w:val="right"/>
              <w:ind w:right="428"/>
              <w:spacing w:after="0"/>
              <w:rPr>
                <w:sz w:val="20"/>
                <w:szCs w:val="20"/>
                <w:color w:val="auto"/>
              </w:rPr>
            </w:pPr>
            <w:r>
              <w:rPr>
                <w:rFonts w:ascii="Arial" w:cs="Arial" w:eastAsia="Arial" w:hAnsi="Arial"/>
                <w:sz w:val="13"/>
                <w:szCs w:val="13"/>
                <w:color w:val="auto"/>
              </w:rPr>
              <w:t>$6.2</w:t>
            </w:r>
          </w:p>
        </w:tc>
      </w:tr>
      <w:tr>
        <w:trPr>
          <w:trHeight w:val="165"/>
        </w:trPr>
        <w:tc>
          <w:tcPr>
            <w:tcW w:w="7380" w:type="dxa"/>
            <w:vAlign w:val="bottom"/>
          </w:tcPr>
          <w:p>
            <w:pPr>
              <w:spacing w:after="0"/>
              <w:rPr>
                <w:sz w:val="20"/>
                <w:szCs w:val="20"/>
                <w:color w:val="auto"/>
              </w:rPr>
            </w:pPr>
            <w:r>
              <w:rPr>
                <w:rFonts w:ascii="Arial" w:cs="Arial" w:eastAsia="Arial" w:hAnsi="Arial"/>
                <w:sz w:val="13"/>
                <w:szCs w:val="13"/>
                <w:color w:val="auto"/>
              </w:rPr>
              <w:t>Due to FIS</w:t>
            </w:r>
          </w:p>
        </w:tc>
        <w:tc>
          <w:tcPr>
            <w:tcW w:w="960" w:type="dxa"/>
            <w:vAlign w:val="bottom"/>
          </w:tcPr>
          <w:p>
            <w:pPr>
              <w:jc w:val="right"/>
              <w:ind w:right="241"/>
              <w:spacing w:after="0"/>
              <w:rPr>
                <w:sz w:val="20"/>
                <w:szCs w:val="20"/>
                <w:color w:val="auto"/>
              </w:rPr>
            </w:pPr>
            <w:r>
              <w:rPr>
                <w:rFonts w:ascii="Arial" w:cs="Arial" w:eastAsia="Arial" w:hAnsi="Arial"/>
                <w:sz w:val="13"/>
                <w:szCs w:val="13"/>
                <w:color w:val="auto"/>
              </w:rPr>
              <w:t>6.9</w:t>
            </w:r>
          </w:p>
        </w:tc>
        <w:tc>
          <w:tcPr>
            <w:tcW w:w="1640" w:type="dxa"/>
            <w:vAlign w:val="bottom"/>
            <w:gridSpan w:val="3"/>
          </w:tcPr>
          <w:p>
            <w:pPr>
              <w:jc w:val="right"/>
              <w:ind w:right="428"/>
              <w:spacing w:after="0"/>
              <w:rPr>
                <w:sz w:val="20"/>
                <w:szCs w:val="20"/>
                <w:color w:val="auto"/>
              </w:rPr>
            </w:pPr>
            <w:r>
              <w:rPr>
                <w:rFonts w:ascii="Arial" w:cs="Arial" w:eastAsia="Arial" w:hAnsi="Arial"/>
                <w:sz w:val="13"/>
                <w:szCs w:val="13"/>
                <w:color w:val="auto"/>
              </w:rPr>
              <w:t>6.9</w:t>
            </w:r>
          </w:p>
        </w:tc>
      </w:tr>
    </w:tbl>
    <w:p>
      <w:pPr>
        <w:spacing w:after="0" w:line="8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3,215,434 shares of FIS’s common stock at a price of $15.55 per share. We are required to hold this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investment for a period of at least 6 months from the date of purchase in accordance with Securities and Exchange Commission Rule 144. Additionally, we received a transaction fee of</w:t>
      </w:r>
    </w:p>
    <w:p>
      <w:pPr>
        <w:spacing w:after="0" w:line="27"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$1.5 million from FIS. The fair value of this investment of $75.4 million is recorded in equity securities as of December 31, 2009. Changes in fair value of the FIS stock are recorded as other comprehensive earnings.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Agreements with LPS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noted above, prior to March 15, 2009, LPS was a related party to us. Agreements with LPS for title agency and other services were in effect at that time. As a result of related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party transactions, as of December 31, 2008, we owed $3.1 million to LPS. A detail of related party revenues and expenses between FNF and LPS are as follows and include results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transactions prior to July 2, 2008, when LPS was a subsidiary of FIS. For the years ended December 31, 2008 and 2007, we recorded agency title premiums of $212.3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$149.4 million, respectively, and $84.2 million for the period from January 1 through March 15, 2009. We recorded agency title commissions of $187.9 million and $132.2 million for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years ended December 31, 2008 and 2007, respectively, and $73.8 million for the period from January 1 through March 15, 2009. We recorded other revenue of $8.4 million and $0.5 million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for the years ended December 31, 2008 and 2007, respectively, and $4.9 million for the period from January 1 through March 15, 2009. Other operating expenses relating to agreements with</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LPS were $66.5 million and $69.3 million for the years ended December 31, 2008 and 2007, respectively, and $18.9 million for the period from January 1 through March 15, 2009.</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Related Party Agreements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August 2007, FNF’s Chairman of the Board, William P. Foley, II, planned to sell 1,000,000 shares of FNF stock on the open market. Because we were actively purchasing shares of treasury stock on the open market at the same time, we agreed to purchase 1,000,000 shares from Mr. Foley on August 8, 2007, for $22.1 million, or $22.09 per share, the market price at the time of the purchase.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December 6, 2007, we sold 1,000 shares of Series B Preferred Stock of Remy to our Chairman of the Board, William P. Foley, II, for a total of $1.0 million, or $1,000 per share.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This per share price was equal to the per share price that we paid to acquire the shares on the same date.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 Plans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account for stock-based compensation plans using the fair value method. Using the fair value method of accounting, compensation cost is measured based on the fair value of the award at the grant date and recognized over the service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functional currency for our foreign operations is either the U.S. Dollar or the local currency.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comprehensive earnings in the Consolidated Statements of Equity and are excluded from net earnings. Gains or losses resulting from foreign currency transactions are included in realized gains and losses and are insignificant in 2009, 2008, and 2007.</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Estimates</w:t>
      </w:r>
    </w:p>
    <w:p>
      <w:pPr>
        <w:spacing w:after="0" w:line="96"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The preparation of these Consolidated Financial Statements in conformity with U.S. generally accepted accounting principles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in the 2008 and 2007 Consolidated Financial Statements to conform to the classifications used in 2009.</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B.</w:t>
      </w:r>
      <w:r>
        <w:rPr>
          <w:sz w:val="20"/>
          <w:szCs w:val="20"/>
          <w:color w:val="auto"/>
        </w:rPr>
        <w:tab/>
      </w:r>
      <w:r>
        <w:rPr>
          <w:rFonts w:ascii="Arial" w:cs="Arial" w:eastAsia="Arial" w:hAnsi="Arial"/>
          <w:sz w:val="11"/>
          <w:szCs w:val="11"/>
          <w:b w:val="1"/>
          <w:bCs w:val="1"/>
          <w:color w:val="auto"/>
        </w:rPr>
        <w:t>Acquisitions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results of operations and financial position of the entities acquired during any year are included in the Consolidated Financial Statements from and after the date of acquisition. Based on our valuation, any differences between the fair value of the identifiable assets and liabilities and the purchase price paid are recorded as goodwill. The only significant acquisitions in the three years ended December 31, 2009, were the acquisitions of certain underwriters from LandAmerica Financial Group, Inc. (“LFG”) in 2008 and the acquisition of an equity interest in Ceridian in 2007.</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Acquisitions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Commonwealth Land Title Insurance Company, Lawyers Title Insurance Corporation, and United Capital Title Insurance Company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December 22, 2008, we completed the acquisition of LandAmerica Financial Group, Inc.’s (“LFG”) two principal title insurance underwriters, Commonwealth Land</w:t>
      </w:r>
    </w:p>
    <w:p>
      <w:pPr>
        <w:spacing w:after="0" w:line="15" w:lineRule="exact"/>
        <w:rPr>
          <w:sz w:val="20"/>
          <w:szCs w:val="20"/>
          <w:color w:val="auto"/>
        </w:rPr>
      </w:pPr>
    </w:p>
    <w:p>
      <w:pPr>
        <w:ind w:left="680" w:right="120"/>
        <w:spacing w:after="0" w:line="256" w:lineRule="auto"/>
        <w:rPr>
          <w:sz w:val="20"/>
          <w:szCs w:val="20"/>
          <w:color w:val="auto"/>
        </w:rPr>
      </w:pPr>
      <w:r>
        <w:rPr>
          <w:rFonts w:ascii="Arial" w:cs="Arial" w:eastAsia="Arial" w:hAnsi="Arial"/>
          <w:sz w:val="13"/>
          <w:szCs w:val="13"/>
          <w:color w:val="auto"/>
        </w:rPr>
        <w:t>Title Insurance Company (“Commonwealth”) and Lawyers Title Insurance Corporation (“Lawyers”), as well as United Capital Title Insurance Company (“United”) (collectively, the “LFG Underwriters”). The total purchase price for the LFG Underwriters was $258.9 million, net of cash acquired of $5.9 million, and was comprised of $153.9 million paid by two of our title insurance underwriters, Fidelity National Title Insurance Company and Chicago Title Insurance Company, a $50.0 million subordinated note due in 2013, $50.0 million in FNF common stock (3,176,620 shares valued at $15.74 per share at the time of closing) and $5 million in transaction costs.</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total purchase price through December 31, 2009, as adjusted for additional consideration paid during 2009 relating to other settlement acquisition related items, was as follows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Cash paid by FNF’s title insurance underwriters, net of cash acquired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153.9</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Subordinated note payable to LFG (see note I)</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FNF common stock (3,176,620 shares valued at $15.74 per share)</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Transaction costs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5.0</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258.9</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purchase price has been allocated to the LFG Underwriters’ assets acquired and liabilities assumed based on our best estimates and the results of our third party evaluation of the fair values of assets and liabilities assumed as of December 22, 2008. Goodwill has been recorded based on the amount that the purchase price exceeds the fair value of the net assets acquired. We completed our purchase price allocation process during the fourth quarter of 2009.</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976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780" w:type="dxa"/>
            <w:vAlign w:val="bottom"/>
          </w:tcPr>
          <w:p>
            <w:pPr>
              <w:jc w:val="center"/>
              <w:ind w:left="554"/>
              <w:spacing w:after="0"/>
              <w:rPr>
                <w:sz w:val="20"/>
                <w:szCs w:val="20"/>
                <w:color w:val="auto"/>
              </w:rPr>
            </w:pPr>
            <w:r>
              <w:rPr>
                <w:rFonts w:ascii="Arial" w:cs="Arial" w:eastAsia="Arial" w:hAnsi="Arial"/>
                <w:sz w:val="13"/>
                <w:szCs w:val="13"/>
                <w:b w:val="1"/>
                <w:bCs w:val="1"/>
                <w:color w:val="auto"/>
              </w:rPr>
              <w:t>FIDELITY NATIONAL FINANCIAL, INC. AND SUBSIDIARIES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780" w:type="dxa"/>
            <w:vAlign w:val="bottom"/>
          </w:tcPr>
          <w:p>
            <w:pPr>
              <w:jc w:val="center"/>
              <w:ind w:left="534"/>
              <w:spacing w:after="0"/>
              <w:rPr>
                <w:sz w:val="20"/>
                <w:szCs w:val="20"/>
                <w:color w:val="auto"/>
              </w:rPr>
            </w:pPr>
            <w:r>
              <w:rPr>
                <w:rFonts w:ascii="Arial" w:cs="Arial" w:eastAsia="Arial" w:hAnsi="Arial"/>
                <w:sz w:val="13"/>
                <w:szCs w:val="13"/>
                <w:b w:val="1"/>
                <w:bCs w:val="1"/>
                <w:color w:val="auto"/>
                <w:w w:val="98"/>
              </w:rPr>
              <w:t>NOTES TO CONSOLIDATED FINANCIAL STATEMENTS — (continued)</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80" w:type="dxa"/>
            <w:vAlign w:val="bottom"/>
          </w:tcPr>
          <w:p>
            <w:pPr>
              <w:ind w:left="100"/>
              <w:spacing w:after="0"/>
              <w:rPr>
                <w:sz w:val="20"/>
                <w:szCs w:val="20"/>
                <w:color w:val="auto"/>
              </w:rPr>
            </w:pPr>
            <w:r>
              <w:rPr>
                <w:rFonts w:ascii="Arial" w:cs="Arial" w:eastAsia="Arial" w:hAnsi="Arial"/>
                <w:sz w:val="13"/>
                <w:szCs w:val="13"/>
                <w:color w:val="auto"/>
              </w:rPr>
              <w:t>The purchase price allocation is as follows (in millions):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Investments</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920.9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Arial" w:cs="Arial" w:eastAsia="Arial" w:hAnsi="Arial"/>
                <w:sz w:val="13"/>
                <w:szCs w:val="13"/>
                <w:color w:val="auto"/>
              </w:rPr>
              <w:t>Trade and notes receivable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73.9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Title plants</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Arial" w:cs="Arial" w:eastAsia="Arial" w:hAnsi="Arial"/>
                <w:sz w:val="13"/>
                <w:szCs w:val="13"/>
                <w:color w:val="auto"/>
              </w:rPr>
              <w:t>Property and equipment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170.3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Arial" w:cs="Arial" w:eastAsia="Arial" w:hAnsi="Arial"/>
                <w:sz w:val="13"/>
                <w:szCs w:val="13"/>
                <w:color w:val="auto"/>
              </w:rPr>
              <w:t>Reserve for claim losses</w:t>
            </w:r>
          </w:p>
        </w:tc>
        <w:tc>
          <w:tcPr>
            <w:tcW w:w="900" w:type="dxa"/>
            <w:vAlign w:val="bottom"/>
            <w:gridSpan w:val="4"/>
          </w:tcPr>
          <w:p>
            <w:pPr>
              <w:jc w:val="right"/>
              <w:ind w:right="40"/>
              <w:spacing w:after="0"/>
              <w:rPr>
                <w:sz w:val="20"/>
                <w:szCs w:val="20"/>
                <w:color w:val="auto"/>
              </w:rPr>
            </w:pPr>
            <w:r>
              <w:rPr>
                <w:rFonts w:ascii="Arial" w:cs="Arial" w:eastAsia="Arial" w:hAnsi="Arial"/>
                <w:sz w:val="13"/>
                <w:szCs w:val="13"/>
                <w:color w:val="auto"/>
              </w:rPr>
              <w:t>(1,112.7)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liabilities assumed</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080" w:type="dxa"/>
            <w:vAlign w:val="bottom"/>
            <w:gridSpan w:val="2"/>
            <w:vMerge w:val="restart"/>
          </w:tcPr>
          <w:p>
            <w:pPr>
              <w:spacing w:after="0"/>
              <w:rPr>
                <w:sz w:val="20"/>
                <w:szCs w:val="20"/>
                <w:color w:val="auto"/>
              </w:rPr>
            </w:pPr>
            <w:r>
              <w:rPr>
                <w:rFonts w:ascii="Arial" w:cs="Arial" w:eastAsia="Arial" w:hAnsi="Arial"/>
                <w:sz w:val="13"/>
                <w:szCs w:val="13"/>
                <w:color w:val="auto"/>
              </w:rPr>
              <w:t>Total purchase price</w:t>
            </w: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080" w:type="dxa"/>
            <w:vAlign w:val="bottom"/>
            <w:gridSpan w:val="2"/>
            <w:vMerge w:val="continue"/>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258.9</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80" w:type="dxa"/>
            <w:vAlign w:val="bottom"/>
          </w:tcPr>
          <w:p>
            <w:pPr>
              <w:ind w:left="100"/>
              <w:spacing w:after="0"/>
              <w:rPr>
                <w:sz w:val="20"/>
                <w:szCs w:val="20"/>
                <w:color w:val="auto"/>
              </w:rPr>
            </w:pPr>
            <w:r>
              <w:rPr>
                <w:rFonts w:ascii="Arial" w:cs="Arial" w:eastAsia="Arial" w:hAnsi="Arial"/>
                <w:sz w:val="13"/>
                <w:szCs w:val="13"/>
                <w:color w:val="auto"/>
              </w:rPr>
              <w:t>The following table summarizes the other liabilities assumed in the acquisition of the LFG Underwriters (in millions):</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Estimated facility closure costs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Arial" w:cs="Arial" w:eastAsia="Arial" w:hAnsi="Arial"/>
                <w:sz w:val="13"/>
                <w:szCs w:val="13"/>
                <w:color w:val="auto"/>
              </w:rPr>
              <w:t>Estimated employee termination costs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merger related costs</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Arial" w:cs="Arial" w:eastAsia="Arial" w:hAnsi="Arial"/>
                <w:sz w:val="13"/>
                <w:szCs w:val="13"/>
                <w:color w:val="auto"/>
              </w:rPr>
              <w:t>Other operating liabilities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7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242.0</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Unaudited Pro Forma Results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Selected unaudited pro forma results of operations for the year ended December 31, 2008 and 2007, assuming the acquisition of the LFG Underwriters had occurred as of January 1, 2007, and using actual general and administrative expenses prior to the acquisition are presented for comparative purposes below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80" w:type="dxa"/>
            <w:vAlign w:val="bottom"/>
          </w:tcPr>
          <w:p>
            <w:pPr>
              <w:spacing w:after="0"/>
              <w:rPr>
                <w:sz w:val="10"/>
                <w:szCs w:val="10"/>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2008(A)</w:t>
            </w:r>
          </w:p>
        </w:tc>
        <w:tc>
          <w:tcPr>
            <w:tcW w:w="280" w:type="dxa"/>
            <w:vAlign w:val="bottom"/>
          </w:tcPr>
          <w:p>
            <w:pPr>
              <w:spacing w:after="0"/>
              <w:rPr>
                <w:sz w:val="10"/>
                <w:szCs w:val="10"/>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2007(A)</w:t>
            </w:r>
          </w:p>
        </w:tc>
      </w:tr>
      <w:tr>
        <w:trPr>
          <w:trHeight w:val="29"/>
        </w:trPr>
        <w:tc>
          <w:tcPr>
            <w:tcW w:w="7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7"/>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$6,413.6</w:t>
            </w:r>
          </w:p>
        </w:tc>
        <w:tc>
          <w:tcPr>
            <w:tcW w:w="124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$8,614.4</w:t>
            </w:r>
          </w:p>
        </w:tc>
      </w:tr>
      <w:tr>
        <w:trPr>
          <w:trHeight w:val="157"/>
        </w:trPr>
        <w:tc>
          <w:tcPr>
            <w:tcW w:w="7780" w:type="dxa"/>
            <w:vAlign w:val="bottom"/>
          </w:tcPr>
          <w:p>
            <w:pPr>
              <w:spacing w:after="0"/>
              <w:rPr>
                <w:sz w:val="20"/>
                <w:szCs w:val="20"/>
                <w:color w:val="auto"/>
              </w:rPr>
            </w:pPr>
            <w:r>
              <w:rPr>
                <w:rFonts w:ascii="Arial" w:cs="Arial" w:eastAsia="Arial" w:hAnsi="Arial"/>
                <w:sz w:val="13"/>
                <w:szCs w:val="13"/>
                <w:color w:val="auto"/>
              </w:rPr>
              <w:t>Net (loss) earnings attributable to FNF common shareholders</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(413.0)</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82.8</w:t>
            </w:r>
          </w:p>
        </w:tc>
      </w:tr>
      <w:tr>
        <w:trPr>
          <w:trHeight w:val="157"/>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Pro forma (loss) earnings per share attributable to FNF common shareholders — basic</w:t>
            </w: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(1.94)</w:t>
            </w:r>
          </w:p>
        </w:tc>
        <w:tc>
          <w:tcPr>
            <w:tcW w:w="124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0.38</w:t>
            </w:r>
          </w:p>
        </w:tc>
      </w:tr>
      <w:tr>
        <w:trPr>
          <w:trHeight w:val="165"/>
        </w:trPr>
        <w:tc>
          <w:tcPr>
            <w:tcW w:w="7780" w:type="dxa"/>
            <w:vAlign w:val="bottom"/>
          </w:tcPr>
          <w:p>
            <w:pPr>
              <w:spacing w:after="0"/>
              <w:rPr>
                <w:sz w:val="20"/>
                <w:szCs w:val="20"/>
                <w:color w:val="auto"/>
              </w:rPr>
            </w:pPr>
            <w:r>
              <w:rPr>
                <w:rFonts w:ascii="Arial" w:cs="Arial" w:eastAsia="Arial" w:hAnsi="Arial"/>
                <w:sz w:val="13"/>
                <w:szCs w:val="13"/>
                <w:color w:val="auto"/>
              </w:rPr>
              <w:t>Pro forma (loss) earnings per share attributable to FNF common shareholders — diluted</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(1.94)</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right="20" w:hanging="289"/>
        <w:spacing w:after="0" w:line="264" w:lineRule="auto"/>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pro forma net earnings for FNF and the LFG Underwriters for 2008 include charges recorded by the LFG Underwriters of $135.1 million for impairments of other intangible assets and goodwill and charges recorded by FNF of $261.6 million for adverse development of loss reserves. The pro forma net earnings for 2007 include charges recorded by FNF of $217.2 million for adverse development of loss reserves.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Equity Interest in Ceridian</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November 9, 2007, FNF and Thomas H. Lee Partners, LP (“THL”), along with certain co-investors, completed the acquisition of Ceridian for $36 in cash per share of common stock, or approximately $5.3 billion. We contributed approximately $527 million of the total $1.6 billion equity funding for the acquisition of Ceridian, resulting in a 33% ownership percentage by us, which we account for using the equity method of accounting for financial statement purposes. On the closing date, we recorded income of $12.3 million in fees associated with the syndication of investors in the acquisition of Ceridian. Ceridian is an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Acquisitions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Property Insight, LLC</w:t>
      </w:r>
    </w:p>
    <w:p>
      <w:pPr>
        <w:spacing w:after="0" w:line="5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On August 31, 2007, we completed the acquisition of Property Insight, a former FIS subsidiary, from FIS for $95 million in cash. Property Insight is a leading provider of title plant services for us, as well as various national and regional underwriters. Property Insight primarily manages, maintains, and updates the title plants that we own. Additionally, Property Insight manages our title plant construction activities.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ATM Holdings, Inc.</w:t>
      </w:r>
    </w:p>
    <w:p>
      <w:pPr>
        <w:spacing w:after="0" w:line="5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On August 13, 2007, we completed the acquisition of ATM Holdings, Inc. (“ATM”), a provider of nationwide mortgage vendor management services to the loan 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Equity Interest in Remy</w:t>
      </w:r>
    </w:p>
    <w:p>
      <w:pPr>
        <w:spacing w:after="0" w:line="5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held an investment in Remy’s Senior Subordinated Notes (the “Notes”) with a total fair value of $139.9 million until December 6, 2007, at which time Remy implemented a pre-packaged plan of bankruptcy under Chapter 11 of the Bankruptcy Code. Pursuant to the plan of bankruptcy, the Notes were converted into 4,935,065 shares of Remy common stock and rights to buy 19,909 shares of Remy Series B preferred stock. Upon execution of the plan of bankruptcy, we purchased all 19,909 shares of the preferred stock for $1,000 per share, or a total of $19.9 million, and then on the same date sold 1,000 of those shares to William P. Foley, II, our Chairman of the Board, for $1,000 per share, or a total of $1.0 million. As of December 31, 2009, we held a 46% ownership interest in Remy, made up of 4,935,065 shares of Remy common stock with a cost basis of $64.3 million and 18,909 shares of Remy Series B preferred stock with a cost basis of $19.5 million, and we account for this investment using the equity method. As a result of the exchange of the Notes for the shares of common and preferred stock, we reversed the unrealized gain of $75.0 million that had previously been recorded in accumulated other comprehensive earnings in relation to the Notes.</w:t>
      </w:r>
    </w:p>
    <w:p>
      <w:pPr>
        <w:spacing w:after="0" w:line="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C.</w:t>
      </w:r>
      <w:r>
        <w:rPr>
          <w:sz w:val="20"/>
          <w:szCs w:val="20"/>
          <w:color w:val="auto"/>
        </w:rPr>
        <w:tab/>
      </w:r>
      <w:r>
        <w:rPr>
          <w:rFonts w:ascii="Arial" w:cs="Arial" w:eastAsia="Arial" w:hAnsi="Arial"/>
          <w:sz w:val="11"/>
          <w:szCs w:val="11"/>
          <w:b w:val="1"/>
          <w:bCs w:val="1"/>
          <w:color w:val="auto"/>
        </w:rPr>
        <w:t>Fair Value Measurements</w:t>
      </w:r>
    </w:p>
    <w:p>
      <w:pPr>
        <w:spacing w:after="0" w:line="6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September 2006, the FASB issued a standard on fair value measurements which defined fair value, established a framework for measuring fair value, and expanded disclosures about fair value measurements by establishing a fair value hierarchy based on the quality of inputs used to measure fair value. The standard on fair value measurements does not require any new fair value measurements, but applies under other accounting pronouncements that require or permit fair value measurements. In accordance with the requirements of the standard on fair value measurements, we adopted the standard for financial assets and financial liabilities that are re-measured for fair value on a recurring basis as of January 1, 2008. The standard was adopted for nonfinancial assets and nonfinancial liabilities for which fair value measurements are determined on a non-recurring basis only when there is an indication of potential impairment as of January 1, 2009, as required by the standard.</w:t>
      </w:r>
    </w:p>
    <w:p>
      <w:pPr>
        <w:spacing w:after="0" w:line="3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fair value hierarchy established by the standard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In accordance with the standard on fair value, the financial assets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liabilities that are recorded in the Consolidated Balance Sheets are categorized based on the inputs to the valuation techniques as follows:</w:t>
      </w:r>
    </w:p>
    <w:p>
      <w:pPr>
        <w:spacing w:after="0" w:line="57"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Financial assets and liabilities whose values are based on unadjusted quoted prices for identical assets or liabilities in an active market that we have the ability to</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access.</w:t>
      </w:r>
    </w:p>
    <w:p>
      <w:pPr>
        <w:spacing w:after="0" w:line="49" w:lineRule="exact"/>
        <w:rPr>
          <w:sz w:val="20"/>
          <w:szCs w:val="20"/>
          <w:color w:val="auto"/>
        </w:rPr>
      </w:pPr>
    </w:p>
    <w:p>
      <w:pPr>
        <w:ind w:left="1080" w:right="12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Financial assets and liabilities whose values are based on quoted prices in markets that are not active or model inputs that are observable either directly or indirectly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for substantially the full term of the asset or liability.</w:t>
      </w:r>
    </w:p>
    <w:p>
      <w:pPr>
        <w:spacing w:after="0" w:line="20"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Financial assets and liabilities whose values are based on model inputs that are unobservable.</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our fair value hierarchy for those assets and liabilities measured at fair value on a recurring basis as of December 31, 2009 and 2008, respectively:</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0"/>
                <w:szCs w:val="10"/>
                <w:b w:val="1"/>
                <w:bCs w:val="1"/>
                <w:color w:val="auto"/>
                <w:w w:val="93"/>
              </w:rPr>
              <w:t>December 31, 2009</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4"/>
              </w:rPr>
              <w:t>Level 1</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Level 3</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left="398"/>
              <w:spacing w:after="0"/>
              <w:rPr>
                <w:sz w:val="20"/>
                <w:szCs w:val="20"/>
                <w:color w:val="auto"/>
              </w:rPr>
            </w:pPr>
            <w:r>
              <w:rPr>
                <w:rFonts w:ascii="Arial" w:cs="Arial" w:eastAsia="Arial" w:hAnsi="Arial"/>
                <w:sz w:val="10"/>
                <w:szCs w:val="10"/>
                <w:b w:val="1"/>
                <w:bCs w:val="1"/>
                <w:color w:val="auto"/>
                <w:w w:val="99"/>
              </w:rPr>
              <w:t>(In millions)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Fixed-maturity securities available for sale:</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U.S. government and agencies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409.2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409.2</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political subdivisions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1,339.4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1,339.4</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1,379.1</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1,379.1</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government bonds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Mortgage-backed/asset-backed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312.5</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312.5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fixed-maturity</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Equity securities available for sale</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92.5</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investments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92.</w:t>
            </w:r>
            <w:r>
              <w:rPr>
                <w:rFonts w:ascii="Arial" w:cs="Arial" w:eastAsia="Arial" w:hAnsi="Arial"/>
                <w:sz w:val="13"/>
                <w:szCs w:val="13"/>
                <w:u w:val="single" w:color="auto"/>
                <w:color w:val="auto"/>
              </w:rPr>
              <w:t>5</w:t>
            </w:r>
          </w:p>
        </w:tc>
        <w:tc>
          <w:tcPr>
            <w:tcW w:w="4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3,479.</w:t>
            </w:r>
            <w:r>
              <w:rPr>
                <w:rFonts w:ascii="Arial" w:cs="Arial" w:eastAsia="Arial" w:hAnsi="Arial"/>
                <w:sz w:val="13"/>
                <w:szCs w:val="13"/>
                <w:u w:val="single" w:color="auto"/>
                <w:color w:val="auto"/>
              </w:rPr>
              <w:t>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123.9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3,695.</w:t>
            </w:r>
            <w:r>
              <w:rPr>
                <w:rFonts w:ascii="Arial" w:cs="Arial" w:eastAsia="Arial" w:hAnsi="Arial"/>
                <w:sz w:val="13"/>
                <w:szCs w:val="13"/>
                <w:u w:val="single" w:color="auto"/>
                <w:color w:val="auto"/>
              </w:rPr>
              <w:t>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5"/>
          </w:tcPr>
          <w:p>
            <w:pPr>
              <w:jc w:val="center"/>
              <w:ind w:right="360"/>
              <w:spacing w:after="0"/>
              <w:rPr>
                <w:sz w:val="20"/>
                <w:szCs w:val="20"/>
                <w:color w:val="auto"/>
              </w:rPr>
            </w:pPr>
            <w:r>
              <w:rPr>
                <w:rFonts w:ascii="Arial" w:cs="Arial" w:eastAsia="Arial" w:hAnsi="Arial"/>
                <w:sz w:val="10"/>
                <w:szCs w:val="10"/>
                <w:b w:val="1"/>
                <w:bCs w:val="1"/>
                <w:color w:val="auto"/>
                <w:w w:val="93"/>
              </w:rPr>
              <w:t>December 31, 2008</w:t>
            </w: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4"/>
              </w:rPr>
              <w:t>Level 1</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Level 3</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left="398"/>
              <w:spacing w:after="0"/>
              <w:rPr>
                <w:sz w:val="20"/>
                <w:szCs w:val="20"/>
                <w:color w:val="auto"/>
              </w:rPr>
            </w:pPr>
            <w:r>
              <w:rPr>
                <w:rFonts w:ascii="Arial" w:cs="Arial" w:eastAsia="Arial" w:hAnsi="Arial"/>
                <w:sz w:val="10"/>
                <w:szCs w:val="10"/>
                <w:b w:val="1"/>
                <w:bCs w:val="1"/>
                <w:color w:val="auto"/>
                <w:w w:val="99"/>
              </w:rPr>
              <w:t>(In millions)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Fixed-maturity securities available for sale:</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U.S. government and agencies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558.7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558.7</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political subdivisions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1,049.1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1,049.1</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875.0</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government bonds</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Mortgage-backed/asset-backed securities</w:t>
            </w: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293.2</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293.2</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fixed-maturity</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Equity securities available for sale</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r>
              <w:rPr>
                <w:rFonts w:ascii="Arial" w:cs="Arial" w:eastAsia="Arial" w:hAnsi="Arial"/>
                <w:sz w:val="13"/>
                <w:szCs w:val="13"/>
                <w:u w:val="single" w:color="auto"/>
                <w:color w:val="auto"/>
              </w:rPr>
              <w:t>5</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2,821.</w:t>
            </w:r>
            <w:r>
              <w:rPr>
                <w:rFonts w:ascii="Arial" w:cs="Arial" w:eastAsia="Arial" w:hAnsi="Arial"/>
                <w:sz w:val="13"/>
                <w:szCs w:val="13"/>
                <w:u w:val="single" w:color="auto"/>
                <w:color w:val="auto"/>
              </w:rPr>
              <w:t>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r>
              <w:rPr>
                <w:rFonts w:ascii="Arial" w:cs="Arial" w:eastAsia="Arial" w:hAnsi="Arial"/>
                <w:sz w:val="13"/>
                <w:szCs w:val="13"/>
                <w:u w:val="single" w:color="auto"/>
                <w:color w:val="auto"/>
              </w:rPr>
              <w:t>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2,925.</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Level 2 fair value measures for fixed-maturities available for sale are provided by third-party pricing services. We utilize one firm for our taxable bond portfolio and another for our municipal bond portfolio. These pricing services are leading global providers of financial market data, analytics and related services to financial institutions. We only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w:t>
      </w:r>
    </w:p>
    <w:p>
      <w:pPr>
        <w:spacing w:after="0" w:line="14"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Level 3 investments consist of auction rate securities which were included in the assets of the LFG Underwriters that were acquired on December 22, 2008, and structured notes that were purchased in the third quarter of 2009. The auction rate securities are classified in other fixed-maturity investments and had a par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20"/>
        <w:spacing w:after="0" w:line="307" w:lineRule="auto"/>
        <w:rPr>
          <w:sz w:val="20"/>
          <w:szCs w:val="20"/>
          <w:color w:val="auto"/>
        </w:rPr>
      </w:pPr>
      <w:r>
        <w:rPr>
          <w:rFonts w:ascii="Arial" w:cs="Arial" w:eastAsia="Arial" w:hAnsi="Arial"/>
          <w:sz w:val="11"/>
          <w:szCs w:val="11"/>
          <w:color w:val="auto"/>
        </w:rPr>
        <w:t>value of $69.7 million and fair value of $45.2 million at December 31, 2009 and a par value of $88.8 million and fair value of $32.0 million at December 31, 2008. These securities represent less than one percent of our total investment portfolio. There is no active market for the auction rate securities and they are valued using models with significant non-observable inputs. Fair values for these securities are provided by a third-party pricing service using a proprietary valuation model which considers factors such as time to maturity, interest rates, credit-worthiness of the issuer, trading characteristics, and available market data for similar securities. We believe the valuation of the auction rate securities to be reasonable and to represent an exit price as of December 31, 2009. The structured notes had a par value of $75.0 million and fair value of $78.7 million at December 31, 2009. The structured notes are held for general investment purposes and represent less than two percent of our total investment portfolio. The structured notes are classified as other long-term investments and are measured in their entirety at fair value with changes in fair value recognized in earnings. The fair value of these instruments represents exit prices obtained from a broker-dealer. These exit prices are the product of a proprietary valuation model utilized by the trading desk of the broker-dealer and contain assumptions relating to volatility, the level of interest rates, and the underlying value of the indexes, exchange-traded funds, and foreign currencies. We believe the valuations of the structured notes to be reasonable and to represent an exit price for the securities as of December 31, 2009.</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The following table presents the changes in our investments that are classified as Level 3 for the year ended December 31, 2009 (in millions).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Balance, January 1,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Purchases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75.0</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Proceeds received upon call/sales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Realized gain</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 included in other comprehensive earnings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r>
      <w:tr>
        <w:trPr>
          <w:trHeight w:val="166"/>
        </w:trPr>
        <w:tc>
          <w:tcPr>
            <w:tcW w:w="9400" w:type="dxa"/>
            <w:vAlign w:val="bottom"/>
          </w:tcPr>
          <w:p>
            <w:pPr>
              <w:spacing w:after="0"/>
              <w:rPr>
                <w:sz w:val="20"/>
                <w:szCs w:val="20"/>
                <w:color w:val="auto"/>
              </w:rPr>
            </w:pPr>
            <w:r>
              <w:rPr>
                <w:rFonts w:ascii="Arial" w:cs="Arial" w:eastAsia="Arial" w:hAnsi="Arial"/>
                <w:sz w:val="13"/>
                <w:szCs w:val="13"/>
                <w:color w:val="auto"/>
              </w:rPr>
              <w:t>Balance, December 31, 2009</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4"/>
                <w:szCs w:val="14"/>
                <w:color w:val="auto"/>
              </w:rPr>
            </w:pPr>
          </w:p>
        </w:tc>
      </w:tr>
    </w:tbl>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amounts of accounts receivable and notes receivable approximate fair value due to their short-term nature. The fair value of our notes payable is included in Note I.</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regarding the fair value of our investment portfolio is included in note D.</w:t>
      </w:r>
    </w:p>
    <w:p>
      <w:pPr>
        <w:spacing w:after="0" w:line="9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D.</w:t>
      </w:r>
      <w:r>
        <w:rPr>
          <w:sz w:val="20"/>
          <w:szCs w:val="20"/>
          <w:color w:val="auto"/>
        </w:rPr>
        <w:tab/>
      </w:r>
      <w:r>
        <w:rPr>
          <w:rFonts w:ascii="Arial" w:cs="Arial" w:eastAsia="Arial" w:hAnsi="Arial"/>
          <w:sz w:val="11"/>
          <w:szCs w:val="11"/>
          <w:b w:val="1"/>
          <w:bCs w:val="1"/>
          <w:color w:val="auto"/>
        </w:rPr>
        <w:t>Investments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amounts and fair values of our fixed maturity securities at December 31, 2009 and 2008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rPr>
              <w:t>December 31, 2009</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7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Carrying</w:t>
            </w:r>
          </w:p>
        </w:tc>
        <w:tc>
          <w:tcPr>
            <w:tcW w:w="60" w:type="dxa"/>
            <w:vAlign w:val="bottom"/>
          </w:tcPr>
          <w:p>
            <w:pPr>
              <w:spacing w:after="0"/>
              <w:rPr>
                <w:sz w:val="7"/>
                <w:szCs w:val="7"/>
                <w:color w:val="auto"/>
              </w:rPr>
            </w:pPr>
          </w:p>
        </w:tc>
        <w:tc>
          <w:tcPr>
            <w:tcW w:w="7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Amortized</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Unrealized</w:t>
            </w: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Unrealized</w:t>
            </w:r>
          </w:p>
        </w:tc>
        <w:tc>
          <w:tcPr>
            <w:tcW w:w="120" w:type="dxa"/>
            <w:vAlign w:val="bottom"/>
          </w:tcPr>
          <w:p>
            <w:pPr>
              <w:spacing w:after="0"/>
              <w:rPr>
                <w:sz w:val="7"/>
                <w:szCs w:val="7"/>
                <w:color w:val="auto"/>
              </w:rPr>
            </w:pPr>
          </w:p>
        </w:tc>
        <w:tc>
          <w:tcPr>
            <w:tcW w:w="460" w:type="dxa"/>
            <w:vAlign w:val="bottom"/>
          </w:tcPr>
          <w:p>
            <w:pPr>
              <w:jc w:val="center"/>
              <w:ind w:right="58"/>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Value</w:t>
            </w:r>
          </w:p>
        </w:tc>
        <w:tc>
          <w:tcPr>
            <w:tcW w:w="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Cost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3"/>
              </w:rPr>
              <w:t>Gains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1"/>
              </w:rPr>
              <w:t>Losses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7"/>
              </w:rPr>
              <w:t>Value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(Dollars 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investments (available for sale):</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U.S. government and agencies</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409.2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397.5</w:t>
            </w:r>
          </w:p>
        </w:tc>
        <w:tc>
          <w:tcPr>
            <w:tcW w:w="320" w:type="dxa"/>
            <w:vAlign w:val="bottom"/>
            <w:gridSpan w:val="2"/>
          </w:tcPr>
          <w:p>
            <w:pPr>
              <w:ind w:left="24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States and political subdivisions</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1,339.4</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1,294.2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1,379.1</w:t>
            </w:r>
          </w:p>
        </w:tc>
        <w:tc>
          <w:tcPr>
            <w:tcW w:w="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1,300.4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84.0</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1,379.1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Foreign government bonds</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38.8</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Mortgage-backed/asset-backed securities</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312.5</w:t>
            </w:r>
          </w:p>
        </w:tc>
        <w:tc>
          <w:tcPr>
            <w:tcW w:w="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298.5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3,524.2</w:t>
            </w:r>
          </w:p>
        </w:tc>
        <w:tc>
          <w:tcPr>
            <w:tcW w:w="4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3,354.6</w:t>
            </w:r>
          </w:p>
        </w:tc>
        <w:tc>
          <w:tcPr>
            <w:tcW w:w="320" w:type="dxa"/>
            <w:vAlign w:val="bottom"/>
            <w:gridSpan w:val="2"/>
          </w:tcPr>
          <w:p>
            <w:pPr>
              <w:ind w:left="24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(9.9)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3,524.2</w:t>
            </w:r>
          </w:p>
        </w:tc>
        <w:tc>
          <w:tcPr>
            <w:tcW w:w="800" w:type="dxa"/>
            <w:vAlign w:val="bottom"/>
          </w:tcPr>
          <w:p>
            <w:pPr>
              <w:spacing w:after="0"/>
              <w:rPr>
                <w:sz w:val="14"/>
                <w:szCs w:val="14"/>
                <w:color w:val="auto"/>
              </w:rPr>
            </w:pPr>
          </w:p>
        </w:tc>
      </w:tr>
      <w:tr>
        <w:trPr>
          <w:trHeight w:val="628"/>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rPr>
              <w:t>December 31, 2008</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5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Carrying</w:t>
            </w:r>
          </w:p>
        </w:tc>
        <w:tc>
          <w:tcPr>
            <w:tcW w:w="60" w:type="dxa"/>
            <w:vAlign w:val="bottom"/>
          </w:tcPr>
          <w:p>
            <w:pPr>
              <w:spacing w:after="0"/>
              <w:rPr>
                <w:sz w:val="7"/>
                <w:szCs w:val="7"/>
                <w:color w:val="auto"/>
              </w:rPr>
            </w:pPr>
          </w:p>
        </w:tc>
        <w:tc>
          <w:tcPr>
            <w:tcW w:w="7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Amortized</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Unrealized</w:t>
            </w: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Unrealized</w:t>
            </w:r>
          </w:p>
        </w:tc>
        <w:tc>
          <w:tcPr>
            <w:tcW w:w="120" w:type="dxa"/>
            <w:vAlign w:val="bottom"/>
          </w:tcPr>
          <w:p>
            <w:pPr>
              <w:spacing w:after="0"/>
              <w:rPr>
                <w:sz w:val="7"/>
                <w:szCs w:val="7"/>
                <w:color w:val="auto"/>
              </w:rPr>
            </w:pPr>
          </w:p>
        </w:tc>
        <w:tc>
          <w:tcPr>
            <w:tcW w:w="460" w:type="dxa"/>
            <w:vAlign w:val="bottom"/>
          </w:tcPr>
          <w:p>
            <w:pPr>
              <w:jc w:val="center"/>
              <w:ind w:right="58"/>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7"/>
                <w:szCs w:val="7"/>
                <w:color w:val="auto"/>
              </w:rPr>
            </w:pPr>
          </w:p>
        </w:tc>
      </w:tr>
      <w:tr>
        <w:trPr>
          <w:trHeight w:val="125"/>
        </w:trPr>
        <w:tc>
          <w:tcPr>
            <w:tcW w:w="5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Value</w:t>
            </w:r>
          </w:p>
        </w:tc>
        <w:tc>
          <w:tcPr>
            <w:tcW w:w="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Cost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3"/>
              </w:rPr>
              <w:t>Gains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1"/>
              </w:rPr>
              <w:t>Losses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7"/>
              </w:rPr>
              <w:t>Value</w:t>
            </w:r>
          </w:p>
        </w:tc>
        <w:tc>
          <w:tcPr>
            <w:tcW w:w="100" w:type="dxa"/>
            <w:vAlign w:val="bottom"/>
          </w:tcPr>
          <w:p>
            <w:pPr>
              <w:spacing w:after="0"/>
              <w:rPr>
                <w:sz w:val="10"/>
                <w:szCs w:val="10"/>
                <w:color w:val="auto"/>
              </w:rPr>
            </w:pPr>
          </w:p>
        </w:tc>
      </w:tr>
      <w:tr>
        <w:trPr>
          <w:trHeight w:val="131"/>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(Dollars 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investments (available for sale):</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558.7</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526.4</w:t>
            </w:r>
          </w:p>
        </w:tc>
        <w:tc>
          <w:tcPr>
            <w:tcW w:w="320" w:type="dxa"/>
            <w:vAlign w:val="bottom"/>
            <w:gridSpan w:val="2"/>
          </w:tcPr>
          <w:p>
            <w:pPr>
              <w:ind w:left="24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558.7</w:t>
            </w: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States and political subdivisions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1,049.1</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1,029.5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1,049.1</w:t>
            </w: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875.0</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910.5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875.0</w:t>
            </w: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Foreign government bonds</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43.5</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Mortgage-backed/asset-backed securities</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293.2</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292.5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293.2</w:t>
            </w: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33.7</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2,853.8</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2,834.2</w:t>
            </w:r>
          </w:p>
        </w:tc>
        <w:tc>
          <w:tcPr>
            <w:tcW w:w="320" w:type="dxa"/>
            <w:vAlign w:val="bottom"/>
            <w:gridSpan w:val="2"/>
          </w:tcPr>
          <w:p>
            <w:pPr>
              <w:ind w:left="24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(49.7)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2,853.8</w:t>
            </w:r>
          </w:p>
        </w:tc>
      </w:tr>
      <w:tr>
        <w:trPr>
          <w:trHeight w:val="30"/>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The majority of our mortgage-backed and asset-backed securities were acquired as a result of the acquisition of the LFG Underwriters on December 22, 2008. At December 31, 2009 all of our mortgage-backed and asset-backed securities are rated AAA. The mortgage-backed and asset-backed securities are made up of $177.9 million of agency mortgage-backed securities, $79.6 million of collateralized mortgage obligations, $15.2 million of commercial mortgage-backed securities, and $39.8 million in asset-backed securities.</w:t>
      </w:r>
    </w:p>
    <w:p>
      <w:pPr>
        <w:spacing w:after="0" w:line="50"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change in unrealized gains (losses) on fixed maturities for the years ended December 31, 2009, 2008, and 2007 was $150.0 million, $(1.3) million, and $46.1 million,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information regarding contractual maturities of our fixed maturity securities at December 31,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0"/>
                <w:szCs w:val="10"/>
                <w:b w:val="1"/>
                <w:bCs w:val="1"/>
                <w:color w:val="auto"/>
              </w:rPr>
              <w:t>December 31, 2009</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Maturity</w:t>
            </w:r>
          </w:p>
        </w:tc>
        <w:tc>
          <w:tcPr>
            <w:tcW w:w="980" w:type="dxa"/>
            <w:vAlign w:val="bottom"/>
            <w:gridSpan w:val="3"/>
          </w:tcPr>
          <w:p>
            <w:pPr>
              <w:jc w:val="center"/>
              <w:ind w:right="380"/>
              <w:spacing w:after="0" w:line="91" w:lineRule="exact"/>
              <w:rPr>
                <w:sz w:val="20"/>
                <w:szCs w:val="20"/>
                <w:color w:val="auto"/>
              </w:rPr>
            </w:pPr>
            <w:r>
              <w:rPr>
                <w:rFonts w:ascii="Arial" w:cs="Arial" w:eastAsia="Arial" w:hAnsi="Arial"/>
                <w:sz w:val="10"/>
                <w:szCs w:val="10"/>
                <w:b w:val="1"/>
                <w:bCs w:val="1"/>
                <w:color w:val="auto"/>
                <w:w w:val="98"/>
              </w:rPr>
              <w:t>Amortized</w:t>
            </w:r>
          </w:p>
        </w:tc>
        <w:tc>
          <w:tcPr>
            <w:tcW w:w="800" w:type="dxa"/>
            <w:vAlign w:val="bottom"/>
            <w:gridSpan w:val="2"/>
          </w:tcPr>
          <w:p>
            <w:pPr>
              <w:jc w:val="right"/>
              <w:ind w:right="480"/>
              <w:spacing w:after="0" w:line="91" w:lineRule="exact"/>
              <w:rPr>
                <w:sz w:val="20"/>
                <w:szCs w:val="20"/>
                <w:color w:val="auto"/>
              </w:rPr>
            </w:pPr>
            <w:r>
              <w:rPr>
                <w:rFonts w:ascii="Arial" w:cs="Arial" w:eastAsia="Arial" w:hAnsi="Arial"/>
                <w:sz w:val="10"/>
                <w:szCs w:val="10"/>
                <w:b w:val="1"/>
                <w:bCs w:val="1"/>
                <w:color w:val="auto"/>
              </w:rPr>
              <w:t>% of</w:t>
            </w:r>
          </w:p>
        </w:tc>
        <w:tc>
          <w:tcPr>
            <w:tcW w:w="120" w:type="dxa"/>
            <w:vAlign w:val="bottom"/>
          </w:tcPr>
          <w:p>
            <w:pPr>
              <w:spacing w:after="0"/>
              <w:rPr>
                <w:sz w:val="7"/>
                <w:szCs w:val="7"/>
                <w:color w:val="auto"/>
              </w:rPr>
            </w:pPr>
          </w:p>
        </w:tc>
        <w:tc>
          <w:tcPr>
            <w:tcW w:w="880" w:type="dxa"/>
            <w:vAlign w:val="bottom"/>
            <w:gridSpan w:val="2"/>
          </w:tcPr>
          <w:p>
            <w:pPr>
              <w:jc w:val="right"/>
              <w:ind w:right="600"/>
              <w:spacing w:after="0" w:line="91" w:lineRule="exact"/>
              <w:rPr>
                <w:sz w:val="20"/>
                <w:szCs w:val="20"/>
                <w:color w:val="auto"/>
              </w:rPr>
            </w:pPr>
            <w:r>
              <w:rPr>
                <w:rFonts w:ascii="Arial" w:cs="Arial" w:eastAsia="Arial" w:hAnsi="Arial"/>
                <w:sz w:val="10"/>
                <w:szCs w:val="10"/>
                <w:b w:val="1"/>
                <w:bCs w:val="1"/>
                <w:color w:val="auto"/>
              </w:rPr>
              <w:t>Fair</w:t>
            </w:r>
          </w:p>
        </w:tc>
        <w:tc>
          <w:tcPr>
            <w:tcW w:w="3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Cost</w:t>
            </w:r>
          </w:p>
        </w:tc>
        <w:tc>
          <w:tcPr>
            <w:tcW w:w="8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Value</w:t>
            </w:r>
          </w:p>
        </w:tc>
        <w:tc>
          <w:tcPr>
            <w:tcW w:w="50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(Dollars in millions)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One year or less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250.9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3"/>
                <w:szCs w:val="13"/>
                <w:color w:val="auto"/>
              </w:rPr>
              <w:t>After one year through five years</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1,645.4</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49.0</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1,739.2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After five years through ten years</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942.6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974.1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3"/>
                <w:szCs w:val="13"/>
                <w:color w:val="auto"/>
              </w:rPr>
              <w:t>After ten years</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217.2</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244.3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Mortgage-backed/asset-backed securities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298.5</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3,354.6</w:t>
            </w:r>
          </w:p>
        </w:tc>
        <w:tc>
          <w:tcPr>
            <w:tcW w:w="3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3,524.2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Subject to call</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575.6</w:t>
            </w: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Fixed maturity securities valued at approximately $185.9 million and $194.3 million were on deposit with various governmental authorities at December 31, 2009 and 2008, respectively, as required by law.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Expected maturities may differ from contractual maturities because certain borrowers have the right to call or prepay obligations with or without call or prepayment penalties.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Equity securities at December 31, 2009 and 2008 consisted of investments at a cost basis of $64.6 million and $79.8 million, respectively, and fair value of $92.5 million and</w:t>
      </w:r>
    </w:p>
    <w:p>
      <w:pPr>
        <w:spacing w:after="0" w:line="27"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$71.5 million, respectively. The carrying value of our investment in equity securities is fair value. The balance of equity securities is primarily composed of an investment in FIS stock, which we purchased on October 1, 2009 for $50.0 million, pursuant to an investment agreement between us and FIS dated March 31, 2009 in connection with a merger between FIS and Metavante Technologies, Inc. We are required to hold this investment for a period of at least 6 months</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spacing w:after="0" w:line="258" w:lineRule="auto"/>
        <w:rPr>
          <w:sz w:val="20"/>
          <w:szCs w:val="20"/>
          <w:color w:val="auto"/>
        </w:rPr>
      </w:pPr>
      <w:r>
        <w:rPr>
          <w:rFonts w:ascii="Arial" w:cs="Arial" w:eastAsia="Arial" w:hAnsi="Arial"/>
          <w:sz w:val="13"/>
          <w:szCs w:val="13"/>
          <w:color w:val="auto"/>
        </w:rPr>
        <w:t>from the date of purchase in accordance with Securities and Exchange Commission Rule 144. The fair value of the FIS stock was $75.4 million as of December 31, 2009. As of December 31, 2009, gross unrealized gains and gross unrealized losses on equity securities were $28.4 million and $0.5 million, respectively. As of December 31, 2008, gross unrealized gains and gross unrealized losses on equity securities were $2.2 million and $10.5 million, respectively. The change in unrealized gains (losses) on equity securities for the years ended December 31, 2009, 2008 and 2007 was $36.2 million, $(5.5) million, and $6.5 million, respectively. There were no significant investments in banks, trust and insurance companies at December 31, 2009 or 2008.</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and investment income consists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6"/>
              </w:rPr>
              <w:t>(Dollars in millions)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Fixed maturity securities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143.9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119.7</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154.5</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184.2</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lend fixed maturity and equity securities to financial institutions in short-term security lending transactions. Our security lending policy requires that the cash received as collateral be 102% or more of the fair value of the loaned securities. At December 31, 2009 and 2008, we had security loans outstanding with fair values of $25.6 million and $103.6 million, respectively. Securities loaned under such transactions may be sold or re-pledged by the transferee. We were liable for cash collateral under our control of $26.5 million and $107.6 million at December 31, 2009 and 2008, respectively, which has been included in cash and cash equivalents and in accounts payable and accrued liabilities.</w:t>
      </w:r>
    </w:p>
    <w:p>
      <w:pPr>
        <w:spacing w:after="0" w:line="53"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Net realized gains (losses) related to investments were $22.8 million, $(49.4) million, and $18.5 million for the years ended December 31, 2009, 2008 and 2007, respectively. Net realized gains related to other assets were $4.6 million, $26.9 million, and less than $0.1 million for the years ended December 31, 2009, 2008, and 2007, respectively.</w:t>
      </w:r>
    </w:p>
    <w:p>
      <w:pPr>
        <w:spacing w:after="0" w:line="35"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During the years ended December 31, 2009, 2008 and 2007, gross realized gains on sales of fixed maturity securities considered available for sale were $38.1 million, $13.1 million, and $11.0 million, respectively; gross realized losses were $2.8 million, $9.8 million, and $2.0 million, respectively. Gross proceeds from the sale and maturity of fixed maturity securities considered available for sale amounted to $789.0 million, $1,231.9 million, and $4,480.1 million during the years ended December 31, 2009, 2008 and 2007, respectively.</w:t>
      </w:r>
    </w:p>
    <w:p>
      <w:pPr>
        <w:spacing w:after="0" w:line="50" w:lineRule="exact"/>
        <w:rPr>
          <w:sz w:val="20"/>
          <w:szCs w:val="20"/>
          <w:color w:val="auto"/>
        </w:rPr>
      </w:pPr>
    </w:p>
    <w:p>
      <w:pPr>
        <w:ind w:left="680" w:right="420" w:firstLine="399"/>
        <w:spacing w:after="0" w:line="264" w:lineRule="auto"/>
        <w:rPr>
          <w:sz w:val="20"/>
          <w:szCs w:val="20"/>
          <w:color w:val="auto"/>
        </w:rPr>
      </w:pPr>
      <w:r>
        <w:rPr>
          <w:rFonts w:ascii="Arial" w:cs="Arial" w:eastAsia="Arial" w:hAnsi="Arial"/>
          <w:sz w:val="13"/>
          <w:szCs w:val="13"/>
          <w:color w:val="auto"/>
        </w:rPr>
        <w:t>During the years ended December 31, 2009, 2008 and 2007, gross realized gains on sales of equity securities considered available for sale were $5.3 million, $5.9 million, and $34.2 million, respectively; gross realized losses were $21.5 million, $4.9 million, and $28.8 million, respectively. Gross proceeds from the sale of equity securities amounted to $60.0 million, $79.4 million, and $807.3 million during the years ended December 31, 2009, 2008 and 2007, respectively.</w:t>
      </w:r>
    </w:p>
    <w:p>
      <w:pPr>
        <w:spacing w:after="0" w:line="67"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Included in our other long-term investments are fixed-maturity structured notes purchased in the third quarter of 2009. The structured notes are carried at fair value (see note C) and changes in the fair value of these structured notes are recorded as realized gains and losses in the Statement of Operations. The carrying value of the structured notes was $78.7 million as of December 31, 2009 and we recorded a net gain of $3.7 million related to the structured notes in the year ended December 31, 2009.</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Net unrealized losses on investment securities and the fair value of the related securities, aggregated by investment category and length of time that individual securities have been in a continuous unrealized loss position at December 31, 2009 and 2008 were as follows (in millions):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7"/>
          </w:tcPr>
          <w:p>
            <w:pPr>
              <w:jc w:val="right"/>
              <w:ind w:right="460"/>
              <w:spacing w:after="0"/>
              <w:rPr>
                <w:sz w:val="20"/>
                <w:szCs w:val="20"/>
                <w:color w:val="auto"/>
              </w:rPr>
            </w:pPr>
            <w:r>
              <w:rPr>
                <w:rFonts w:ascii="Arial" w:cs="Arial" w:eastAsia="Arial" w:hAnsi="Arial"/>
                <w:sz w:val="10"/>
                <w:szCs w:val="10"/>
                <w:b w:val="1"/>
                <w:bCs w:val="1"/>
                <w:color w:val="auto"/>
              </w:rPr>
              <w:t>Less than 12 Months</w:t>
            </w:r>
          </w:p>
        </w:tc>
        <w:tc>
          <w:tcPr>
            <w:tcW w:w="60" w:type="dxa"/>
            <w:vAlign w:val="bottom"/>
          </w:tcPr>
          <w:p>
            <w:pPr>
              <w:spacing w:after="0"/>
              <w:rPr>
                <w:sz w:val="10"/>
                <w:szCs w:val="10"/>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0"/>
                <w:szCs w:val="10"/>
                <w:b w:val="1"/>
                <w:bCs w:val="1"/>
                <w:color w:val="auto"/>
                <w:w w:val="97"/>
              </w:rPr>
              <w:t>12 Months or Longer</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gridSpan w:val="3"/>
          </w:tcPr>
          <w:p>
            <w:pPr>
              <w:jc w:val="right"/>
              <w:ind w:right="320"/>
              <w:spacing w:after="0" w:line="81" w:lineRule="exact"/>
              <w:rPr>
                <w:sz w:val="20"/>
                <w:szCs w:val="20"/>
                <w:color w:val="auto"/>
              </w:rPr>
            </w:pPr>
            <w:r>
              <w:rPr>
                <w:rFonts w:ascii="Arial" w:cs="Arial" w:eastAsia="Arial" w:hAnsi="Arial"/>
                <w:sz w:val="9"/>
                <w:szCs w:val="9"/>
                <w:b w:val="1"/>
                <w:bCs w:val="1"/>
                <w:color w:val="auto"/>
              </w:rPr>
              <w:t>Fair</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Unrealized</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gridSpan w:val="2"/>
          </w:tcPr>
          <w:p>
            <w:pPr>
              <w:jc w:val="right"/>
              <w:ind w:right="360"/>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38"/>
              <w:spacing w:after="0" w:line="81" w:lineRule="exact"/>
              <w:rPr>
                <w:sz w:val="20"/>
                <w:szCs w:val="20"/>
                <w:color w:val="auto"/>
              </w:rPr>
            </w:pPr>
            <w:r>
              <w:rPr>
                <w:rFonts w:ascii="Arial" w:cs="Arial" w:eastAsia="Arial" w:hAnsi="Arial"/>
                <w:sz w:val="9"/>
                <w:szCs w:val="9"/>
                <w:b w:val="1"/>
                <w:bCs w:val="1"/>
                <w:color w:val="auto"/>
              </w:rPr>
              <w:t>Unrealized</w:t>
            </w: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Fair</w:t>
            </w: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8"/>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w w:val="89"/>
              </w:rPr>
              <w:t>Value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Losses</w:t>
            </w:r>
          </w:p>
        </w:tc>
        <w:tc>
          <w:tcPr>
            <w:tcW w:w="6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Value</w:t>
            </w:r>
          </w:p>
        </w:tc>
        <w:tc>
          <w:tcPr>
            <w:tcW w:w="100" w:type="dxa"/>
            <w:vAlign w:val="bottom"/>
          </w:tcPr>
          <w:p>
            <w:pPr>
              <w:spacing w:after="0"/>
              <w:rPr>
                <w:sz w:val="10"/>
                <w:szCs w:val="10"/>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6"/>
              </w:rPr>
              <w:t>Losses</w:t>
            </w:r>
          </w:p>
        </w:tc>
        <w:tc>
          <w:tcPr>
            <w:tcW w:w="80" w:type="dxa"/>
            <w:vAlign w:val="bottom"/>
          </w:tcPr>
          <w:p>
            <w:pPr>
              <w:spacing w:after="0"/>
              <w:rPr>
                <w:sz w:val="10"/>
                <w:szCs w:val="10"/>
                <w:color w:val="auto"/>
              </w:rPr>
            </w:pPr>
          </w:p>
        </w:tc>
        <w:tc>
          <w:tcPr>
            <w:tcW w:w="4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Value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1"/>
              </w:rPr>
              <w:t>Losses</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and agencies</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(0.7)</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$ 33.9</w:t>
            </w: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States and political subdivisions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3"/>
                <w:szCs w:val="13"/>
                <w:color w:val="auto"/>
                <w:w w:val="98"/>
              </w:rPr>
              <w:t>100.0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108.0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Corporate debt securities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w w:val="98"/>
              </w:rPr>
              <w:t>147.7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42.8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190.5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Foreign government bonds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(0.1)</w:t>
            </w: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Mortgage-backed/asset-backed securities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32.8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Equity securities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5.6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temporarily impaired securities</w:t>
            </w:r>
          </w:p>
        </w:tc>
        <w:tc>
          <w:tcPr>
            <w:tcW w:w="10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w w:val="92"/>
              </w:rPr>
              <w:t>$ 340.9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$ 91.4</w:t>
            </w: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432.3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333"/>
        </w:trPr>
        <w:tc>
          <w:tcPr>
            <w:tcW w:w="51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2008</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7"/>
          </w:tcPr>
          <w:p>
            <w:pPr>
              <w:jc w:val="right"/>
              <w:ind w:right="540"/>
              <w:spacing w:after="0"/>
              <w:rPr>
                <w:sz w:val="20"/>
                <w:szCs w:val="20"/>
                <w:color w:val="auto"/>
              </w:rPr>
            </w:pPr>
            <w:r>
              <w:rPr>
                <w:rFonts w:ascii="Arial" w:cs="Arial" w:eastAsia="Arial" w:hAnsi="Arial"/>
                <w:sz w:val="10"/>
                <w:szCs w:val="10"/>
                <w:b w:val="1"/>
                <w:bCs w:val="1"/>
                <w:color w:val="auto"/>
              </w:rPr>
              <w:t>Less than 12 Months</w:t>
            </w:r>
          </w:p>
        </w:tc>
        <w:tc>
          <w:tcPr>
            <w:tcW w:w="60" w:type="dxa"/>
            <w:vAlign w:val="bottom"/>
          </w:tcPr>
          <w:p>
            <w:pPr>
              <w:spacing w:after="0"/>
              <w:rPr>
                <w:sz w:val="18"/>
                <w:szCs w:val="18"/>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12 Months or Longer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4"/>
          </w:tcPr>
          <w:p>
            <w:pPr>
              <w:ind w:left="20"/>
              <w:spacing w:after="0" w:line="81" w:lineRule="exact"/>
              <w:rPr>
                <w:sz w:val="20"/>
                <w:szCs w:val="20"/>
                <w:color w:val="auto"/>
              </w:rPr>
            </w:pPr>
            <w:r>
              <w:rPr>
                <w:rFonts w:ascii="Arial" w:cs="Arial" w:eastAsia="Arial" w:hAnsi="Arial"/>
                <w:sz w:val="9"/>
                <w:szCs w:val="9"/>
                <w:b w:val="1"/>
                <w:bCs w:val="1"/>
                <w:color w:val="auto"/>
              </w:rPr>
              <w:t>Fair</w:t>
            </w: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gridSpan w:val="2"/>
          </w:tcPr>
          <w:p>
            <w:pPr>
              <w:jc w:val="right"/>
              <w:ind w:right="37"/>
              <w:spacing w:after="0" w:line="81" w:lineRule="exact"/>
              <w:rPr>
                <w:sz w:val="20"/>
                <w:szCs w:val="20"/>
                <w:color w:val="auto"/>
              </w:rPr>
            </w:pPr>
            <w:r>
              <w:rPr>
                <w:rFonts w:ascii="Arial" w:cs="Arial" w:eastAsia="Arial" w:hAnsi="Arial"/>
                <w:sz w:val="9"/>
                <w:szCs w:val="9"/>
                <w:b w:val="1"/>
                <w:bCs w:val="1"/>
                <w:color w:val="auto"/>
              </w:rPr>
              <w:t>Unrealized</w:t>
            </w: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gridSpan w:val="2"/>
          </w:tcPr>
          <w:p>
            <w:pPr>
              <w:ind w:left="40"/>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38"/>
              <w:spacing w:after="0" w:line="81" w:lineRule="exact"/>
              <w:rPr>
                <w:sz w:val="20"/>
                <w:szCs w:val="20"/>
                <w:color w:val="auto"/>
              </w:rPr>
            </w:pPr>
            <w:r>
              <w:rPr>
                <w:rFonts w:ascii="Arial" w:cs="Arial" w:eastAsia="Arial" w:hAnsi="Arial"/>
                <w:sz w:val="9"/>
                <w:szCs w:val="9"/>
                <w:b w:val="1"/>
                <w:bCs w:val="1"/>
                <w:color w:val="auto"/>
              </w:rPr>
              <w:t>Unrealized</w:t>
            </w: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Fair</w:t>
            </w: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8"/>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Value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2"/>
              </w:rPr>
              <w:t>Losses</w:t>
            </w:r>
          </w:p>
        </w:tc>
        <w:tc>
          <w:tcPr>
            <w:tcW w:w="60" w:type="dxa"/>
            <w:vAlign w:val="bottom"/>
          </w:tcPr>
          <w:p>
            <w:pPr>
              <w:spacing w:after="0"/>
              <w:rPr>
                <w:sz w:val="10"/>
                <w:szCs w:val="10"/>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6"/>
              </w:rPr>
              <w:t>Losses</w:t>
            </w:r>
          </w:p>
        </w:tc>
        <w:tc>
          <w:tcPr>
            <w:tcW w:w="80" w:type="dxa"/>
            <w:vAlign w:val="bottom"/>
          </w:tcPr>
          <w:p>
            <w:pPr>
              <w:spacing w:after="0"/>
              <w:rPr>
                <w:sz w:val="10"/>
                <w:szCs w:val="10"/>
                <w:color w:val="auto"/>
              </w:rPr>
            </w:pPr>
          </w:p>
        </w:tc>
        <w:tc>
          <w:tcPr>
            <w:tcW w:w="4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Value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1"/>
              </w:rPr>
              <w:t>Losses</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37.9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3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States and political subdivisions</w:t>
            </w:r>
          </w:p>
        </w:tc>
        <w:tc>
          <w:tcPr>
            <w:tcW w:w="520" w:type="dxa"/>
            <w:vAlign w:val="bottom"/>
            <w:gridSpan w:val="4"/>
          </w:tcPr>
          <w:p>
            <w:pPr>
              <w:jc w:val="right"/>
              <w:ind w:right="100"/>
              <w:spacing w:after="0"/>
              <w:rPr>
                <w:sz w:val="20"/>
                <w:szCs w:val="20"/>
                <w:color w:val="auto"/>
              </w:rPr>
            </w:pPr>
            <w:r>
              <w:rPr>
                <w:rFonts w:ascii="Arial" w:cs="Arial" w:eastAsia="Arial" w:hAnsi="Arial"/>
                <w:sz w:val="13"/>
                <w:szCs w:val="13"/>
                <w:color w:val="auto"/>
              </w:rPr>
              <w:t>116.4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127.2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Corporate debt securities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3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541.6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Foreign government bonds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(0.1)</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Mortgage-backed/asset-backed securities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42.6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3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Equity securities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22.3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(10.4)</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22.3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40"/>
              <w:spacing w:after="0"/>
              <w:rPr>
                <w:sz w:val="20"/>
                <w:szCs w:val="20"/>
                <w:color w:val="auto"/>
              </w:rPr>
            </w:pPr>
            <w:r>
              <w:rPr>
                <w:rFonts w:ascii="Arial" w:cs="Arial" w:eastAsia="Arial" w:hAnsi="Arial"/>
                <w:sz w:val="13"/>
                <w:szCs w:val="13"/>
                <w:color w:val="auto"/>
              </w:rPr>
              <w:t>Total temporarily impaired securities</w:t>
            </w:r>
          </w:p>
        </w:tc>
        <w:tc>
          <w:tcPr>
            <w:tcW w:w="4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92"/>
              </w:rPr>
              <w:t>$ 675.0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(41.1)</w:t>
            </w:r>
          </w:p>
        </w:tc>
        <w:tc>
          <w:tcPr>
            <w:tcW w:w="300" w:type="dxa"/>
            <w:vAlign w:val="bottom"/>
          </w:tcPr>
          <w:p>
            <w:pPr>
              <w:spacing w:after="0"/>
              <w:rPr>
                <w:sz w:val="13"/>
                <w:szCs w:val="13"/>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3"/>
                <w:szCs w:val="13"/>
                <w:color w:val="auto"/>
                <w:w w:val="87"/>
              </w:rPr>
              <w:t>$ 100.8</w:t>
            </w:r>
          </w:p>
        </w:tc>
        <w:tc>
          <w:tcPr>
            <w:tcW w:w="10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(19.1)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775.8</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55" w:lineRule="auto"/>
        <w:rPr>
          <w:sz w:val="20"/>
          <w:szCs w:val="20"/>
          <w:color w:val="auto"/>
        </w:rPr>
      </w:pPr>
      <w:r>
        <w:rPr>
          <w:rFonts w:ascii="Arial" w:cs="Arial" w:eastAsia="Arial" w:hAnsi="Arial"/>
          <w:sz w:val="13"/>
          <w:szCs w:val="13"/>
          <w:color w:val="auto"/>
        </w:rPr>
        <w:t>A substantial portion of our unrealized losses relate to debt securities. These unrealized losses were primarily caused by widening credit spreads that we consider to be temporary rather than changes in credit quality. Because we expect to recover the entire amortized cost basis of these debt securities, we do not intend to sell these securities and it is not more likely than not that we will be required to sell the debt securities before recovery of the cost basis, we do not consider these investments to be other-than-temporarily impaired at December 31, 2009. The unrealized losses relating to equity securities were caused by market changes that we consider to be temporary and are not concentrated in a particular sector or an individual security. We have evaluated the near term prospects of the issuers in relation to the severity and duration of the impairment. Based on that evaluation and our ability to hold these securities for a reasonable time sufficient for a forecasted recovery of fair value, we do not consider these securities other-than-temporarily impaired at December 31, 2009.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7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During 2009, 2008 and 2007, we incurred impairment charges relating to investments that were determined to be other-than-temporarily impaired, which resulted in charges of $6.9 million, $59.0 million, and $3.1 million. Impairment charges in 2009 related to equity securities that were deemed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other-than-temporarily impaired. The impairment charges in 2008 included $25.4 million related to fixed maturity securities, $30.1 million related to equity securities, and $3.5 million related to other investments that were deemed other-than-temporarily impaired. The impairment charges relating to the fixed maturity securities primarily related to our conclusion that the credit risk relating to the holdings was high and thus the assets are likely other-than-temporarily impaired. The impairment charges relating to the equity securities were based on the duration and severity of the unrealized loss and our inability to reasonably predict the time to recover if the investment continued to be held.</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April 2009, the FASB updated their guidance on recognition of other-than-temporary impairments on investments, specifically on debt and equity securities for which changes in fair value are not regularly recognized in earnings. In accordance with the updated guidance, we determined that a total of $1.3 million in other-than-temporary impairments on fixed maturity securities had previously been recognized in relation to investments held at April 1, 2009, all of which were related to credit losses. We further concluded that no cumulative effect adjustment was necessary as a result of implementing the updated guidance as all of the securities for which an other-than-temporary impairment had previously been recognized were sold within three months of the updated guidance. As of December 31, 2009, we held no investments for which an other-than-temporary impairment had been previously recognized.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Investments in unconsolidated affiliates are recorded using the equity method of accounting and, as of December 31, 2009 and 2008, consisted of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Ownership</w:t>
            </w:r>
          </w:p>
        </w:tc>
        <w:tc>
          <w:tcPr>
            <w:tcW w:w="120" w:type="dxa"/>
            <w:vAlign w:val="bottom"/>
          </w:tcPr>
          <w:p>
            <w:pPr>
              <w:spacing w:after="0"/>
              <w:rPr>
                <w:sz w:val="10"/>
                <w:szCs w:val="10"/>
                <w:color w:val="auto"/>
              </w:rPr>
            </w:pPr>
          </w:p>
        </w:tc>
        <w:tc>
          <w:tcPr>
            <w:tcW w:w="380" w:type="dxa"/>
            <w:vAlign w:val="bottom"/>
          </w:tcPr>
          <w:p>
            <w:pPr>
              <w:jc w:val="right"/>
              <w:ind w:right="77"/>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Ceridian</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453.1</w:t>
            </w:r>
          </w:p>
        </w:tc>
      </w:tr>
      <w:tr>
        <w:trPr>
          <w:trHeight w:val="157"/>
        </w:trPr>
        <w:tc>
          <w:tcPr>
            <w:tcW w:w="7160" w:type="dxa"/>
            <w:vAlign w:val="bottom"/>
            <w:gridSpan w:val="2"/>
          </w:tcPr>
          <w:p>
            <w:pPr>
              <w:spacing w:after="0"/>
              <w:rPr>
                <w:sz w:val="20"/>
                <w:szCs w:val="20"/>
                <w:color w:val="auto"/>
              </w:rPr>
            </w:pPr>
            <w:r>
              <w:rPr>
                <w:rFonts w:ascii="Arial" w:cs="Arial" w:eastAsia="Arial" w:hAnsi="Arial"/>
                <w:sz w:val="13"/>
                <w:szCs w:val="13"/>
                <w:color w:val="auto"/>
              </w:rPr>
              <w:t>Sedgwick</w:t>
            </w:r>
          </w:p>
        </w:tc>
        <w:tc>
          <w:tcPr>
            <w:tcW w:w="1340" w:type="dxa"/>
            <w:vAlign w:val="bottom"/>
            <w:gridSpan w:val="2"/>
          </w:tcPr>
          <w:p>
            <w:pPr>
              <w:ind w:left="560"/>
              <w:spacing w:after="0"/>
              <w:rPr>
                <w:sz w:val="20"/>
                <w:szCs w:val="20"/>
                <w:color w:val="auto"/>
              </w:rPr>
            </w:pPr>
            <w:r>
              <w:rPr>
                <w:rFonts w:ascii="Arial" w:cs="Arial" w:eastAsia="Arial" w:hAnsi="Arial"/>
                <w:sz w:val="13"/>
                <w:szCs w:val="13"/>
                <w:color w:val="auto"/>
              </w:rPr>
              <w:t>32%(b)</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115.6</w:t>
            </w: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Remy</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46%(a)</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w:t>
            </w:r>
          </w:p>
        </w:tc>
      </w:tr>
      <w:tr>
        <w:trPr>
          <w:trHeight w:val="157"/>
        </w:trPr>
        <w:tc>
          <w:tcPr>
            <w:tcW w:w="7160" w:type="dxa"/>
            <w:vAlign w:val="bottom"/>
            <w:gridSpan w:val="2"/>
          </w:tcPr>
          <w:p>
            <w:pPr>
              <w:spacing w:after="0"/>
              <w:rPr>
                <w:sz w:val="20"/>
                <w:szCs w:val="20"/>
                <w:color w:val="auto"/>
              </w:rPr>
            </w:pPr>
            <w:r>
              <w:rPr>
                <w:rFonts w:ascii="Arial" w:cs="Arial" w:eastAsia="Arial" w:hAnsi="Arial"/>
                <w:sz w:val="13"/>
                <w:szCs w:val="13"/>
                <w:color w:val="auto"/>
              </w:rPr>
              <w:t>Other</w:t>
            </w:r>
          </w:p>
        </w:tc>
        <w:tc>
          <w:tcPr>
            <w:tcW w:w="1340" w:type="dxa"/>
            <w:vAlign w:val="bottom"/>
            <w:gridSpan w:val="2"/>
          </w:tcPr>
          <w:p>
            <w:pPr>
              <w:ind w:left="300"/>
              <w:spacing w:after="0"/>
              <w:rPr>
                <w:sz w:val="20"/>
                <w:szCs w:val="20"/>
                <w:color w:val="auto"/>
              </w:rPr>
            </w:pPr>
            <w:r>
              <w:rPr>
                <w:rFonts w:ascii="Arial" w:cs="Arial" w:eastAsia="Arial" w:hAnsi="Arial"/>
                <w:sz w:val="13"/>
                <w:szCs w:val="13"/>
                <w:color w:val="auto"/>
              </w:rPr>
              <w:t>various</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r>
      <w:tr>
        <w:trPr>
          <w:trHeight w:val="20"/>
        </w:trPr>
        <w:tc>
          <w:tcPr>
            <w:tcW w:w="13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644.5</w:t>
            </w:r>
          </w:p>
        </w:tc>
      </w:tr>
      <w:tr>
        <w:trPr>
          <w:trHeight w:val="108"/>
        </w:trPr>
        <w:tc>
          <w:tcPr>
            <w:tcW w:w="1300" w:type="dxa"/>
            <w:vAlign w:val="bottom"/>
            <w:tcBorders>
              <w:bottom w:val="single" w:sz="8" w:color="auto"/>
            </w:tcBorders>
          </w:tcPr>
          <w:p>
            <w:pPr>
              <w:spacing w:after="0"/>
              <w:rPr>
                <w:sz w:val="9"/>
                <w:szCs w:val="9"/>
                <w:color w:val="auto"/>
              </w:rPr>
            </w:pPr>
          </w:p>
        </w:tc>
        <w:tc>
          <w:tcPr>
            <w:tcW w:w="5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hanging="393"/>
        <w:spacing w:after="0"/>
        <w:tabs>
          <w:tab w:leader="none" w:pos="10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During 2009, Remy issued additional common stock, resulting in dilution of our ownership percentage to 46% from 47% in 2008.</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During 2008, we sold 20% of our interest in Sedgwick (reducing our interest in Sedgwick from 40% to 32%) for proceeds of $53.9 million, resulting in a gain of $24.8 million.</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the years ended December 31, 2009, 2008, and 2007, we recorded an aggregate of $(11.7) million, $(13.4) million, and $0.8 million, respectively, in equity in (losses) earnings of unconsolidated affiliates. In addition, we record our share of the other comprehensive income (loss) of unconsolidated affiliates. As of December 31, 2009, included within the statement of equity, we had recorded accumulated other comprehensive losses of $61.1 million, $14.9 million, and $3.3 million related to our investments in Ceridian, Remy, and Sedgwick,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Summarized financial information for Ceridian is presented below for the time period subsequent to November 9, 2007, the date of acquisition. We account for our equity in Ceridian on a three-month lag. Accordingly, our net earnings for the year ended December 31, 2009, includes our equity in Ceridian’s earnings for the period from September 30, 2008 through September 30, 2009 and our net earnings for the year ended December 31, 2008, includes our equity in Ceridian’s earnings for the period from November 10, 2007 through September 30, 2008 and there is no equity in income of Ceridian included in our 2007 results of operations.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3"/>
          </w:tcPr>
          <w:p>
            <w:pPr>
              <w:ind w:left="200"/>
              <w:spacing w:after="0"/>
              <w:rPr>
                <w:sz w:val="20"/>
                <w:szCs w:val="20"/>
                <w:color w:val="auto"/>
              </w:rPr>
            </w:pPr>
            <w:r>
              <w:rPr>
                <w:rFonts w:ascii="Arial" w:cs="Arial" w:eastAsia="Arial" w:hAnsi="Arial"/>
                <w:sz w:val="10"/>
                <w:szCs w:val="10"/>
                <w:b w:val="1"/>
                <w:bCs w:val="1"/>
                <w:color w:val="auto"/>
              </w:rPr>
              <w:t>September 30, 2009</w:t>
            </w:r>
          </w:p>
        </w:tc>
        <w:tc>
          <w:tcPr>
            <w:tcW w:w="120" w:type="dxa"/>
            <w:vAlign w:val="bottom"/>
          </w:tcPr>
          <w:p>
            <w:pPr>
              <w:spacing w:after="0"/>
              <w:rPr>
                <w:sz w:val="10"/>
                <w:szCs w:val="10"/>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10"/>
                <w:szCs w:val="10"/>
                <w:b w:val="1"/>
                <w:bCs w:val="1"/>
                <w:color w:val="auto"/>
                <w:w w:val="94"/>
              </w:rPr>
              <w:t>September 30, 2008</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jc w:val="center"/>
              <w:ind w:left="241"/>
              <w:spacing w:after="0"/>
              <w:rPr>
                <w:sz w:val="20"/>
                <w:szCs w:val="20"/>
                <w:color w:val="auto"/>
              </w:rPr>
            </w:pPr>
            <w:r>
              <w:rPr>
                <w:rFonts w:ascii="Arial" w:cs="Arial" w:eastAsia="Arial" w:hAnsi="Arial"/>
                <w:sz w:val="10"/>
                <w:szCs w:val="10"/>
                <w:b w:val="1"/>
                <w:bCs w:val="1"/>
                <w:color w:val="auto"/>
                <w:w w:val="99"/>
              </w:rPr>
              <w:t>(In millions)</w:t>
            </w: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978.5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1,300.0</w:t>
            </w:r>
          </w:p>
        </w:tc>
        <w:tc>
          <w:tcPr>
            <w:tcW w:w="0" w:type="dxa"/>
            <w:vAlign w:val="bottom"/>
          </w:tcPr>
          <w:p>
            <w:pPr>
              <w:spacing w:after="0"/>
              <w:rPr>
                <w:sz w:val="1"/>
                <w:szCs w:val="1"/>
                <w:color w:val="auto"/>
              </w:rPr>
            </w:pPr>
          </w:p>
        </w:tc>
      </w:tr>
      <w:tr>
        <w:trPr>
          <w:trHeight w:val="157"/>
        </w:trPr>
        <w:tc>
          <w:tcPr>
            <w:tcW w:w="6500" w:type="dxa"/>
            <w:vAlign w:val="bottom"/>
            <w:gridSpan w:val="3"/>
          </w:tcPr>
          <w:p>
            <w:pPr>
              <w:spacing w:after="0"/>
              <w:rPr>
                <w:sz w:val="20"/>
                <w:szCs w:val="20"/>
                <w:color w:val="auto"/>
              </w:rPr>
            </w:pPr>
            <w:r>
              <w:rPr>
                <w:rFonts w:ascii="Arial" w:cs="Arial" w:eastAsia="Arial" w:hAnsi="Arial"/>
                <w:sz w:val="13"/>
                <w:szCs w:val="13"/>
                <w:color w:val="auto"/>
              </w:rPr>
              <w:t>Goodwill and other intangible assets, net</w:t>
            </w:r>
          </w:p>
        </w:tc>
        <w:tc>
          <w:tcPr>
            <w:tcW w:w="120" w:type="dxa"/>
            <w:vAlign w:val="bottom"/>
          </w:tcPr>
          <w:p>
            <w:pPr>
              <w:spacing w:after="0"/>
              <w:rPr>
                <w:sz w:val="13"/>
                <w:szCs w:val="13"/>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3"/>
                <w:szCs w:val="13"/>
                <w:color w:val="auto"/>
              </w:rPr>
              <w:t>4,683.4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4,755.5</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5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3,461.9</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3,397.9</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3"/>
                <w:szCs w:val="13"/>
                <w:color w:val="auto"/>
              </w:rPr>
              <w:t>Total assets</w:t>
            </w: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tcPr>
          <w:p>
            <w:pPr>
              <w:spacing w:after="0"/>
              <w:rPr>
                <w:sz w:val="13"/>
                <w:szCs w:val="13"/>
                <w:color w:val="auto"/>
              </w:rPr>
            </w:pPr>
          </w:p>
        </w:tc>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9,123.8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9,453.4</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695.0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986.3</w:t>
            </w:r>
          </w:p>
        </w:tc>
        <w:tc>
          <w:tcPr>
            <w:tcW w:w="0" w:type="dxa"/>
            <w:vAlign w:val="bottom"/>
          </w:tcPr>
          <w:p>
            <w:pPr>
              <w:spacing w:after="0"/>
              <w:rPr>
                <w:sz w:val="1"/>
                <w:szCs w:val="1"/>
                <w:color w:val="auto"/>
              </w:rPr>
            </w:pPr>
          </w:p>
        </w:tc>
      </w:tr>
      <w:tr>
        <w:trPr>
          <w:trHeight w:val="157"/>
        </w:trPr>
        <w:tc>
          <w:tcPr>
            <w:tcW w:w="6500" w:type="dxa"/>
            <w:vAlign w:val="bottom"/>
            <w:gridSpan w:val="3"/>
          </w:tcPr>
          <w:p>
            <w:pPr>
              <w:spacing w:after="0"/>
              <w:rPr>
                <w:sz w:val="20"/>
                <w:szCs w:val="20"/>
                <w:color w:val="auto"/>
              </w:rPr>
            </w:pPr>
            <w:r>
              <w:rPr>
                <w:rFonts w:ascii="Arial" w:cs="Arial" w:eastAsia="Arial" w:hAnsi="Arial"/>
                <w:sz w:val="13"/>
                <w:szCs w:val="13"/>
                <w:color w:val="auto"/>
              </w:rPr>
              <w:t>Long-term obligations, less current portion</w:t>
            </w:r>
          </w:p>
        </w:tc>
        <w:tc>
          <w:tcPr>
            <w:tcW w:w="120" w:type="dxa"/>
            <w:vAlign w:val="bottom"/>
          </w:tcPr>
          <w:p>
            <w:pPr>
              <w:spacing w:after="0"/>
              <w:rPr>
                <w:sz w:val="13"/>
                <w:szCs w:val="13"/>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3"/>
                <w:szCs w:val="13"/>
                <w:color w:val="auto"/>
              </w:rPr>
              <w:t>3,485.2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3,516.5</w:t>
            </w:r>
          </w:p>
        </w:tc>
        <w:tc>
          <w:tcPr>
            <w:tcW w:w="0" w:type="dxa"/>
            <w:vAlign w:val="bottom"/>
          </w:tcPr>
          <w:p>
            <w:pPr>
              <w:spacing w:after="0"/>
              <w:rPr>
                <w:sz w:val="1"/>
                <w:szCs w:val="1"/>
                <w:color w:val="auto"/>
              </w:rPr>
            </w:pPr>
          </w:p>
        </w:tc>
      </w:tr>
      <w:tr>
        <w:trPr>
          <w:trHeight w:val="157"/>
        </w:trPr>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20" w:type="dxa"/>
            <w:vAlign w:val="bottom"/>
            <w:shd w:val="clear" w:color="auto" w:fill="CCEEFF"/>
          </w:tcPr>
          <w:p>
            <w:pPr>
              <w:spacing w:after="0"/>
              <w:rPr>
                <w:sz w:val="13"/>
                <w:szCs w:val="13"/>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3,755.0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3,557.7</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3"/>
                <w:szCs w:val="13"/>
                <w:color w:val="auto"/>
                <w:w w:val="95"/>
              </w:rPr>
              <w:t>Total liabilities</w:t>
            </w: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tcPr>
          <w:p>
            <w:pPr>
              <w:spacing w:after="0"/>
              <w:rPr>
                <w:sz w:val="13"/>
                <w:szCs w:val="13"/>
                <w:color w:val="auto"/>
              </w:rPr>
            </w:pPr>
          </w:p>
        </w:tc>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7,935.2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8,060.5</w:t>
            </w:r>
          </w:p>
        </w:tc>
        <w:tc>
          <w:tcPr>
            <w:tcW w:w="0" w:type="dxa"/>
            <w:vAlign w:val="bottom"/>
          </w:tcPr>
          <w:p>
            <w:pPr>
              <w:spacing w:after="0"/>
              <w:rPr>
                <w:sz w:val="1"/>
                <w:szCs w:val="1"/>
                <w:color w:val="auto"/>
              </w:rPr>
            </w:pPr>
          </w:p>
        </w:tc>
      </w:tr>
      <w:tr>
        <w:trPr>
          <w:trHeight w:val="158"/>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Equity</w:t>
            </w:r>
          </w:p>
        </w:tc>
        <w:tc>
          <w:tcPr>
            <w:tcW w:w="5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1,188.6</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1,392.9</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3"/>
                <w:szCs w:val="13"/>
                <w:color w:val="auto"/>
              </w:rPr>
              <w:t>Total liabilities and equity</w:t>
            </w:r>
          </w:p>
        </w:tc>
        <w:tc>
          <w:tcPr>
            <w:tcW w:w="1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500" w:type="dxa"/>
            <w:vAlign w:val="bottom"/>
            <w:gridSpan w:val="3"/>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9,123.8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9,453.4</w:t>
            </w: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0"/>
                <w:szCs w:val="10"/>
                <w:b w:val="1"/>
                <w:bCs w:val="1"/>
                <w:color w:val="auto"/>
                <w:w w:val="96"/>
              </w:rPr>
              <w:t>Period from</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4"/>
          </w:tcPr>
          <w:p>
            <w:pPr>
              <w:jc w:val="center"/>
              <w:ind w:left="201"/>
              <w:spacing w:after="0"/>
              <w:rPr>
                <w:sz w:val="20"/>
                <w:szCs w:val="20"/>
                <w:color w:val="auto"/>
              </w:rPr>
            </w:pPr>
            <w:r>
              <w:rPr>
                <w:rFonts w:ascii="Arial" w:cs="Arial" w:eastAsia="Arial" w:hAnsi="Arial"/>
                <w:sz w:val="10"/>
                <w:szCs w:val="10"/>
                <w:b w:val="1"/>
                <w:bCs w:val="1"/>
                <w:color w:val="auto"/>
                <w:w w:val="99"/>
              </w:rPr>
              <w:t>Period from</w:t>
            </w: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gridSpan w:val="3"/>
          </w:tcPr>
          <w:p>
            <w:pPr>
              <w:jc w:val="center"/>
              <w:ind w:right="800"/>
              <w:spacing w:after="0" w:line="108" w:lineRule="exact"/>
              <w:rPr>
                <w:sz w:val="20"/>
                <w:szCs w:val="20"/>
                <w:color w:val="auto"/>
              </w:rPr>
            </w:pPr>
            <w:r>
              <w:rPr>
                <w:rFonts w:ascii="Arial" w:cs="Arial" w:eastAsia="Arial" w:hAnsi="Arial"/>
                <w:sz w:val="10"/>
                <w:szCs w:val="10"/>
                <w:b w:val="1"/>
                <w:bCs w:val="1"/>
                <w:color w:val="auto"/>
                <w:w w:val="93"/>
              </w:rPr>
              <w:t>September 30, 2008,</w:t>
            </w:r>
          </w:p>
        </w:tc>
        <w:tc>
          <w:tcPr>
            <w:tcW w:w="120" w:type="dxa"/>
            <w:vAlign w:val="bottom"/>
          </w:tcPr>
          <w:p>
            <w:pPr>
              <w:spacing w:after="0"/>
              <w:rPr>
                <w:sz w:val="9"/>
                <w:szCs w:val="9"/>
                <w:color w:val="auto"/>
              </w:rPr>
            </w:pPr>
          </w:p>
        </w:tc>
        <w:tc>
          <w:tcPr>
            <w:tcW w:w="1460" w:type="dxa"/>
            <w:vAlign w:val="bottom"/>
            <w:gridSpan w:val="6"/>
          </w:tcPr>
          <w:p>
            <w:pPr>
              <w:jc w:val="center"/>
              <w:ind w:right="260"/>
              <w:spacing w:after="0" w:line="108" w:lineRule="exact"/>
              <w:rPr>
                <w:sz w:val="20"/>
                <w:szCs w:val="20"/>
                <w:color w:val="auto"/>
              </w:rPr>
            </w:pPr>
            <w:r>
              <w:rPr>
                <w:rFonts w:ascii="Arial" w:cs="Arial" w:eastAsia="Arial" w:hAnsi="Arial"/>
                <w:sz w:val="10"/>
                <w:szCs w:val="10"/>
                <w:b w:val="1"/>
                <w:bCs w:val="1"/>
                <w:color w:val="auto"/>
                <w:w w:val="94"/>
              </w:rPr>
              <w:t>November 10, 2007,</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5"/>
              </w:rPr>
              <w:t>through</w:t>
            </w:r>
          </w:p>
        </w:tc>
        <w:tc>
          <w:tcPr>
            <w:tcW w:w="120" w:type="dxa"/>
            <w:vAlign w:val="bottom"/>
          </w:tcPr>
          <w:p>
            <w:pPr>
              <w:spacing w:after="0"/>
              <w:rPr>
                <w:sz w:val="9"/>
                <w:szCs w:val="9"/>
                <w:color w:val="auto"/>
              </w:rPr>
            </w:pPr>
          </w:p>
        </w:tc>
        <w:tc>
          <w:tcPr>
            <w:tcW w:w="940" w:type="dxa"/>
            <w:vAlign w:val="bottom"/>
            <w:gridSpan w:val="4"/>
          </w:tcPr>
          <w:p>
            <w:pPr>
              <w:jc w:val="center"/>
              <w:ind w:left="201"/>
              <w:spacing w:after="0" w:line="108" w:lineRule="exact"/>
              <w:rPr>
                <w:sz w:val="20"/>
                <w:szCs w:val="20"/>
                <w:color w:val="auto"/>
              </w:rPr>
            </w:pPr>
            <w:r>
              <w:rPr>
                <w:rFonts w:ascii="Arial" w:cs="Arial" w:eastAsia="Arial" w:hAnsi="Arial"/>
                <w:sz w:val="10"/>
                <w:szCs w:val="10"/>
                <w:b w:val="1"/>
                <w:bCs w:val="1"/>
                <w:color w:val="auto"/>
                <w:w w:val="95"/>
              </w:rPr>
              <w:t>through</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3"/>
          </w:tcPr>
          <w:p>
            <w:pPr>
              <w:jc w:val="center"/>
              <w:ind w:right="820"/>
              <w:spacing w:after="0"/>
              <w:rPr>
                <w:sz w:val="20"/>
                <w:szCs w:val="20"/>
                <w:color w:val="auto"/>
              </w:rPr>
            </w:pPr>
            <w:r>
              <w:rPr>
                <w:rFonts w:ascii="Arial" w:cs="Arial" w:eastAsia="Arial" w:hAnsi="Arial"/>
                <w:sz w:val="10"/>
                <w:szCs w:val="10"/>
                <w:b w:val="1"/>
                <w:bCs w:val="1"/>
                <w:color w:val="auto"/>
                <w:w w:val="94"/>
              </w:rPr>
              <w:t>September 30, 2009</w:t>
            </w:r>
          </w:p>
        </w:tc>
        <w:tc>
          <w:tcPr>
            <w:tcW w:w="120" w:type="dxa"/>
            <w:vAlign w:val="bottom"/>
          </w:tcPr>
          <w:p>
            <w:pPr>
              <w:spacing w:after="0"/>
              <w:rPr>
                <w:sz w:val="10"/>
                <w:szCs w:val="10"/>
                <w:color w:val="auto"/>
              </w:rPr>
            </w:pPr>
          </w:p>
        </w:tc>
        <w:tc>
          <w:tcPr>
            <w:tcW w:w="1460" w:type="dxa"/>
            <w:vAlign w:val="bottom"/>
            <w:gridSpan w:val="6"/>
          </w:tcPr>
          <w:p>
            <w:pPr>
              <w:jc w:val="center"/>
              <w:ind w:right="260"/>
              <w:spacing w:after="0"/>
              <w:rPr>
                <w:sz w:val="20"/>
                <w:szCs w:val="20"/>
                <w:color w:val="auto"/>
              </w:rPr>
            </w:pPr>
            <w:r>
              <w:rPr>
                <w:rFonts w:ascii="Arial" w:cs="Arial" w:eastAsia="Arial" w:hAnsi="Arial"/>
                <w:sz w:val="10"/>
                <w:szCs w:val="10"/>
                <w:b w:val="1"/>
                <w:bCs w:val="1"/>
                <w:color w:val="auto"/>
                <w:w w:val="94"/>
              </w:rPr>
              <w:t>September 30, 2008</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359"/>
              <w:spacing w:after="0"/>
              <w:rPr>
                <w:sz w:val="20"/>
                <w:szCs w:val="20"/>
                <w:color w:val="auto"/>
              </w:rPr>
            </w:pPr>
            <w:r>
              <w:rPr>
                <w:rFonts w:ascii="Arial" w:cs="Arial" w:eastAsia="Arial" w:hAnsi="Arial"/>
                <w:sz w:val="10"/>
                <w:szCs w:val="10"/>
                <w:b w:val="1"/>
                <w:bCs w:val="1"/>
                <w:color w:val="auto"/>
                <w:w w:val="99"/>
              </w:rPr>
              <w:t>(In millions)</w:t>
            </w: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jc w:val="center"/>
              <w:ind w:left="201"/>
              <w:spacing w:after="0"/>
              <w:rPr>
                <w:sz w:val="20"/>
                <w:szCs w:val="20"/>
                <w:color w:val="auto"/>
              </w:rPr>
            </w:pPr>
            <w:r>
              <w:rPr>
                <w:rFonts w:ascii="Arial" w:cs="Arial" w:eastAsia="Arial" w:hAnsi="Arial"/>
                <w:sz w:val="10"/>
                <w:szCs w:val="10"/>
                <w:b w:val="1"/>
                <w:bCs w:val="1"/>
                <w:color w:val="auto"/>
                <w:w w:val="99"/>
              </w:rPr>
              <w:t>(In millions)</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w w:val="90"/>
              </w:rPr>
              <w:t>Total revenues</w:t>
            </w:r>
          </w:p>
        </w:tc>
        <w:tc>
          <w:tcPr>
            <w:tcW w:w="5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tcBorders>
              <w:right w:val="single" w:sz="8" w:color="CCEEFF"/>
            </w:tcBorders>
            <w:shd w:val="clear" w:color="auto" w:fill="CCEEFF"/>
          </w:tcPr>
          <w:p>
            <w:pPr>
              <w:jc w:val="right"/>
              <w:ind w:right="639"/>
              <w:spacing w:after="0"/>
              <w:rPr>
                <w:sz w:val="20"/>
                <w:szCs w:val="20"/>
                <w:color w:val="auto"/>
              </w:rPr>
            </w:pPr>
            <w:r>
              <w:rPr>
                <w:rFonts w:ascii="Arial" w:cs="Arial" w:eastAsia="Arial" w:hAnsi="Arial"/>
                <w:sz w:val="13"/>
                <w:szCs w:val="13"/>
                <w:color w:val="auto"/>
              </w:rPr>
              <w:t>$1,474.5</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4"/>
            <w:shd w:val="clear" w:color="auto" w:fill="CCEEFF"/>
          </w:tcPr>
          <w:p>
            <w:pPr>
              <w:jc w:val="right"/>
              <w:ind w:right="93"/>
              <w:spacing w:after="0"/>
              <w:rPr>
                <w:sz w:val="20"/>
                <w:szCs w:val="20"/>
                <w:color w:val="auto"/>
              </w:rPr>
            </w:pPr>
            <w:r>
              <w:rPr>
                <w:rFonts w:ascii="Arial" w:cs="Arial" w:eastAsia="Arial" w:hAnsi="Arial"/>
                <w:sz w:val="13"/>
                <w:szCs w:val="13"/>
                <w:color w:val="auto"/>
              </w:rPr>
              <w:t>$1,417.7</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00" w:type="dxa"/>
            <w:vAlign w:val="bottom"/>
            <w:gridSpan w:val="3"/>
          </w:tcPr>
          <w:p>
            <w:pPr>
              <w:spacing w:after="0"/>
              <w:rPr>
                <w:sz w:val="20"/>
                <w:szCs w:val="20"/>
                <w:color w:val="auto"/>
              </w:rPr>
            </w:pPr>
            <w:r>
              <w:rPr>
                <w:rFonts w:ascii="Arial" w:cs="Arial" w:eastAsia="Arial" w:hAnsi="Arial"/>
                <w:sz w:val="13"/>
                <w:szCs w:val="13"/>
                <w:color w:val="auto"/>
              </w:rPr>
              <w:t>Loss before income taxes</w:t>
            </w:r>
          </w:p>
        </w:tc>
        <w:tc>
          <w:tcPr>
            <w:tcW w:w="120" w:type="dxa"/>
            <w:vAlign w:val="bottom"/>
          </w:tcPr>
          <w:p>
            <w:pPr>
              <w:spacing w:after="0"/>
              <w:rPr>
                <w:sz w:val="13"/>
                <w:szCs w:val="13"/>
                <w:color w:val="auto"/>
              </w:rPr>
            </w:pPr>
          </w:p>
        </w:tc>
        <w:tc>
          <w:tcPr>
            <w:tcW w:w="1380" w:type="dxa"/>
            <w:vAlign w:val="bottom"/>
          </w:tcPr>
          <w:p>
            <w:pPr>
              <w:jc w:val="right"/>
              <w:ind w:right="599"/>
              <w:spacing w:after="0"/>
              <w:rPr>
                <w:sz w:val="20"/>
                <w:szCs w:val="20"/>
                <w:color w:val="auto"/>
              </w:rPr>
            </w:pPr>
            <w:r>
              <w:rPr>
                <w:rFonts w:ascii="Arial" w:cs="Arial" w:eastAsia="Arial" w:hAnsi="Arial"/>
                <w:sz w:val="13"/>
                <w:szCs w:val="13"/>
                <w:color w:val="auto"/>
              </w:rPr>
              <w:t>(159.7)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4"/>
          </w:tcPr>
          <w:p>
            <w:pPr>
              <w:jc w:val="right"/>
              <w:ind w:right="53"/>
              <w:spacing w:after="0"/>
              <w:rPr>
                <w:sz w:val="20"/>
                <w:szCs w:val="20"/>
                <w:color w:val="auto"/>
              </w:rPr>
            </w:pPr>
            <w:r>
              <w:rPr>
                <w:rFonts w:ascii="Arial" w:cs="Arial" w:eastAsia="Arial" w:hAnsi="Arial"/>
                <w:sz w:val="13"/>
                <w:szCs w:val="13"/>
                <w:color w:val="auto"/>
              </w:rPr>
              <w:t>(108.4)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5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tcBorders>
              <w:right w:val="single" w:sz="8" w:color="CCEEFF"/>
            </w:tcBorders>
            <w:shd w:val="clear" w:color="auto" w:fill="CCEEFF"/>
          </w:tcPr>
          <w:p>
            <w:pPr>
              <w:jc w:val="right"/>
              <w:ind w:right="599"/>
              <w:spacing w:after="0"/>
              <w:rPr>
                <w:sz w:val="20"/>
                <w:szCs w:val="20"/>
                <w:color w:val="auto"/>
              </w:rPr>
            </w:pPr>
            <w:r>
              <w:rPr>
                <w:rFonts w:ascii="Arial" w:cs="Arial" w:eastAsia="Arial" w:hAnsi="Arial"/>
                <w:sz w:val="13"/>
                <w:szCs w:val="13"/>
                <w:color w:val="auto"/>
              </w:rPr>
              <w:t>(106.2)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w w:val="88"/>
              </w:rPr>
              <w:t>(73.0)</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0"/>
                <w:szCs w:val="20"/>
                <w:color w:val="auto"/>
              </w:rPr>
            </w:pPr>
            <w:r>
              <w:rPr>
                <w:rFonts w:ascii="Arial" w:cs="Arial" w:eastAsia="Arial" w:hAnsi="Arial"/>
                <w:sz w:val="13"/>
                <w:szCs w:val="13"/>
                <w:b w:val="1"/>
                <w:bCs w:val="1"/>
                <w:color w:val="auto"/>
              </w:rPr>
              <w:t>Note E.</w:t>
            </w:r>
          </w:p>
        </w:tc>
        <w:tc>
          <w:tcPr>
            <w:tcW w:w="5700" w:type="dxa"/>
            <w:vAlign w:val="bottom"/>
            <w:gridSpan w:val="2"/>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500" w:type="dxa"/>
            <w:vAlign w:val="bottom"/>
            <w:gridSpan w:val="3"/>
          </w:tcPr>
          <w:p>
            <w:pPr>
              <w:ind w:left="400"/>
              <w:spacing w:after="0"/>
              <w:rPr>
                <w:sz w:val="20"/>
                <w:szCs w:val="20"/>
                <w:color w:val="auto"/>
              </w:rPr>
            </w:pPr>
            <w:r>
              <w:rPr>
                <w:rFonts w:ascii="Arial" w:cs="Arial" w:eastAsia="Arial" w:hAnsi="Arial"/>
                <w:sz w:val="13"/>
                <w:szCs w:val="13"/>
                <w:color w:val="auto"/>
              </w:rPr>
              <w:t>Property and equipment consists of the following:</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10"/>
                <w:szCs w:val="10"/>
                <w:b w:val="1"/>
                <w:bCs w:val="1"/>
                <w:color w:val="auto"/>
                <w:w w:val="94"/>
              </w:rPr>
              <w:t>Year Ended December 31,</w:t>
            </w:r>
          </w:p>
        </w:tc>
        <w:tc>
          <w:tcPr>
            <w:tcW w:w="0" w:type="dxa"/>
            <w:vAlign w:val="bottom"/>
          </w:tcPr>
          <w:p>
            <w:pPr>
              <w:spacing w:after="0"/>
              <w:rPr>
                <w:sz w:val="1"/>
                <w:szCs w:val="1"/>
                <w:color w:val="auto"/>
              </w:rPr>
            </w:pPr>
          </w:p>
        </w:tc>
      </w:tr>
      <w:tr>
        <w:trPr>
          <w:trHeight w:val="98"/>
        </w:trPr>
        <w:tc>
          <w:tcPr>
            <w:tcW w:w="80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rPr>
              <w:t>in</w:t>
            </w:r>
          </w:p>
        </w:tc>
        <w:tc>
          <w:tcPr>
            <w:tcW w:w="1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300" w:type="dxa"/>
            <w:vAlign w:val="bottom"/>
            <w:gridSpan w:val="2"/>
            <w:vMerge w:val="continue"/>
          </w:tcPr>
          <w:p>
            <w:pPr>
              <w:spacing w:after="0"/>
              <w:rPr>
                <w:sz w:val="11"/>
                <w:szCs w:val="11"/>
                <w:color w:val="auto"/>
              </w:rPr>
            </w:pPr>
          </w:p>
        </w:tc>
        <w:tc>
          <w:tcPr>
            <w:tcW w:w="580" w:type="dxa"/>
            <w:vAlign w:val="bottom"/>
            <w:gridSpan w:val="2"/>
          </w:tcPr>
          <w:p>
            <w:pPr>
              <w:jc w:val="right"/>
              <w:ind w:right="235"/>
              <w:spacing w:after="0"/>
              <w:rPr>
                <w:sz w:val="20"/>
                <w:szCs w:val="20"/>
                <w:color w:val="auto"/>
              </w:rPr>
            </w:pPr>
            <w:r>
              <w:rPr>
                <w:rFonts w:ascii="Arial" w:cs="Arial" w:eastAsia="Arial" w:hAnsi="Arial"/>
                <w:sz w:val="9"/>
                <w:szCs w:val="9"/>
                <w:b w:val="1"/>
                <w:bCs w:val="1"/>
                <w:color w:val="auto"/>
                <w:w w:val="70"/>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5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4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rPr>
              <w:t>Buildings</w:t>
            </w:r>
          </w:p>
        </w:tc>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35.8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57"/>
        </w:trPr>
        <w:tc>
          <w:tcPr>
            <w:tcW w:w="6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20" w:type="dxa"/>
            <w:vAlign w:val="bottom"/>
            <w:shd w:val="clear" w:color="auto" w:fill="CCEEFF"/>
          </w:tcPr>
          <w:p>
            <w:pPr>
              <w:spacing w:after="0"/>
              <w:rPr>
                <w:sz w:val="13"/>
                <w:szCs w:val="13"/>
                <w:color w:val="auto"/>
              </w:rPr>
            </w:pPr>
          </w:p>
        </w:tc>
        <w:tc>
          <w:tcPr>
            <w:tcW w:w="13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79.7</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57"/>
        </w:trPr>
        <w:tc>
          <w:tcPr>
            <w:tcW w:w="6500" w:type="dxa"/>
            <w:vAlign w:val="bottom"/>
            <w:gridSpan w:val="3"/>
          </w:tcPr>
          <w:p>
            <w:pPr>
              <w:spacing w:after="0"/>
              <w:rPr>
                <w:sz w:val="20"/>
                <w:szCs w:val="20"/>
                <w:color w:val="auto"/>
              </w:rPr>
            </w:pPr>
            <w:r>
              <w:rPr>
                <w:rFonts w:ascii="Arial" w:cs="Arial" w:eastAsia="Arial" w:hAnsi="Arial"/>
                <w:sz w:val="13"/>
                <w:szCs w:val="13"/>
                <w:color w:val="auto"/>
              </w:rPr>
              <w:t>Furniture, fixtures and equipment</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460.2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551.0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664.5</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761.9</w:t>
            </w:r>
          </w:p>
        </w:tc>
        <w:tc>
          <w:tcPr>
            <w:tcW w:w="0" w:type="dxa"/>
            <w:vAlign w:val="bottom"/>
          </w:tcPr>
          <w:p>
            <w:pPr>
              <w:spacing w:after="0"/>
              <w:rPr>
                <w:sz w:val="1"/>
                <w:szCs w:val="1"/>
                <w:color w:val="auto"/>
              </w:rPr>
            </w:pPr>
          </w:p>
        </w:tc>
      </w:tr>
      <w:tr>
        <w:trPr>
          <w:trHeight w:val="157"/>
        </w:trPr>
        <w:tc>
          <w:tcPr>
            <w:tcW w:w="6500" w:type="dxa"/>
            <w:vAlign w:val="bottom"/>
            <w:gridSpan w:val="3"/>
          </w:tcPr>
          <w:p>
            <w:pPr>
              <w:spacing w:after="0"/>
              <w:rPr>
                <w:sz w:val="20"/>
                <w:szCs w:val="20"/>
                <w:color w:val="auto"/>
              </w:rPr>
            </w:pPr>
            <w:r>
              <w:rPr>
                <w:rFonts w:ascii="Arial" w:cs="Arial" w:eastAsia="Arial" w:hAnsi="Arial"/>
                <w:sz w:val="13"/>
                <w:szCs w:val="13"/>
                <w:color w:val="auto"/>
              </w:rPr>
              <w:t>Accumulated depreciation and amortization</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(474.7)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(454.7)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5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189.8</w:t>
            </w:r>
          </w:p>
        </w:tc>
        <w:tc>
          <w:tcPr>
            <w:tcW w:w="4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307.2</w:t>
            </w:r>
          </w:p>
        </w:tc>
        <w:tc>
          <w:tcPr>
            <w:tcW w:w="0" w:type="dxa"/>
            <w:vAlign w:val="bottom"/>
          </w:tcPr>
          <w:p>
            <w:pPr>
              <w:spacing w:after="0"/>
              <w:rPr>
                <w:sz w:val="1"/>
                <w:szCs w:val="1"/>
                <w:color w:val="auto"/>
              </w:rPr>
            </w:pPr>
          </w:p>
        </w:tc>
      </w:tr>
      <w:tr>
        <w:trPr>
          <w:trHeight w:val="29"/>
        </w:trPr>
        <w:tc>
          <w:tcPr>
            <w:tcW w:w="8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Depreciation expense on property and equipment was $53.0 million, $65.6 million, and $76.9 million for the years ended December 31, 2009, 2008, and 2007, respectively.</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86"/>
              </w:rPr>
              <w:t>Note F.</w:t>
            </w:r>
          </w:p>
        </w:tc>
        <w:tc>
          <w:tcPr>
            <w:tcW w:w="4900" w:type="dxa"/>
            <w:vAlign w:val="bottom"/>
          </w:tcPr>
          <w:p>
            <w:pPr>
              <w:ind w:left="420"/>
              <w:spacing w:after="0"/>
              <w:rPr>
                <w:sz w:val="20"/>
                <w:szCs w:val="20"/>
                <w:color w:val="auto"/>
              </w:rPr>
            </w:pPr>
            <w:r>
              <w:rPr>
                <w:rFonts w:ascii="Arial" w:cs="Arial" w:eastAsia="Arial" w:hAnsi="Arial"/>
                <w:sz w:val="13"/>
                <w:szCs w:val="13"/>
                <w:b w:val="1"/>
                <w:bCs w:val="1"/>
                <w:color w:val="auto"/>
              </w:rPr>
              <w:t>Goodwill</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Goodwill consists of the following:</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Fidelity National</w:t>
            </w:r>
          </w:p>
        </w:tc>
        <w:tc>
          <w:tcPr>
            <w:tcW w:w="100" w:type="dxa"/>
            <w:vAlign w:val="bottom"/>
          </w:tcPr>
          <w:p>
            <w:pPr>
              <w:spacing w:after="0"/>
              <w:rPr>
                <w:sz w:val="16"/>
                <w:szCs w:val="16"/>
                <w:color w:val="auto"/>
              </w:rPr>
            </w:pPr>
          </w:p>
        </w:tc>
        <w:tc>
          <w:tcPr>
            <w:tcW w:w="100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w w:val="90"/>
              </w:rPr>
              <w:t>Specialty</w:t>
            </w:r>
          </w:p>
        </w:tc>
        <w:tc>
          <w:tcPr>
            <w:tcW w:w="8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Corporate</w:t>
            </w:r>
          </w:p>
        </w:tc>
        <w:tc>
          <w:tcPr>
            <w:tcW w:w="140" w:type="dxa"/>
            <w:vAlign w:val="bottom"/>
          </w:tcPr>
          <w:p>
            <w:pPr>
              <w:spacing w:after="0"/>
              <w:rPr>
                <w:sz w:val="16"/>
                <w:szCs w:val="16"/>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Title Group</w:t>
            </w:r>
          </w:p>
        </w:tc>
        <w:tc>
          <w:tcPr>
            <w:tcW w:w="100" w:type="dxa"/>
            <w:vAlign w:val="bottom"/>
          </w:tcPr>
          <w:p>
            <w:pPr>
              <w:spacing w:after="0"/>
              <w:rPr>
                <w:sz w:val="10"/>
                <w:szCs w:val="10"/>
                <w:color w:val="auto"/>
              </w:rPr>
            </w:pPr>
          </w:p>
        </w:tc>
        <w:tc>
          <w:tcPr>
            <w:tcW w:w="100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w w:val="93"/>
              </w:rPr>
              <w:t>Insurance</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and Other</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(Dollars in</w:t>
            </w:r>
          </w:p>
        </w:tc>
        <w:tc>
          <w:tcPr>
            <w:tcW w:w="400" w:type="dxa"/>
            <w:vAlign w:val="bottom"/>
          </w:tcPr>
          <w:p>
            <w:pPr>
              <w:jc w:val="right"/>
              <w:ind w:right="28"/>
              <w:spacing w:after="0"/>
              <w:rPr>
                <w:sz w:val="20"/>
                <w:szCs w:val="20"/>
                <w:color w:val="auto"/>
              </w:rPr>
            </w:pPr>
            <w:r>
              <w:rPr>
                <w:rFonts w:ascii="Arial" w:cs="Arial" w:eastAsia="Arial" w:hAnsi="Arial"/>
                <w:sz w:val="10"/>
                <w:szCs w:val="10"/>
                <w:b w:val="1"/>
                <w:bCs w:val="1"/>
                <w:color w:val="auto"/>
                <w:w w:val="72"/>
              </w:rPr>
              <w:t>millions)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1,344.6</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Goodwill acquired during the year</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238.0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237.1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December 31, 2008</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1,581.7</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Goodwill acquired during the year</w:t>
            </w:r>
          </w:p>
        </w:tc>
        <w:tc>
          <w:tcPr>
            <w:tcW w:w="1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Adjustments to prior year acquisitions</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(114.4)</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Sale of assets related to discontinued operations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(43.2)</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December 31, 2009</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1,401.2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1,455.2</w:t>
            </w: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620" w:type="dxa"/>
            <w:vAlign w:val="bottom"/>
          </w:tcPr>
          <w:p>
            <w:pPr>
              <w:spacing w:after="0"/>
              <w:rPr>
                <w:sz w:val="20"/>
                <w:szCs w:val="20"/>
                <w:color w:val="auto"/>
              </w:rPr>
            </w:pPr>
            <w:r>
              <w:rPr>
                <w:rFonts w:ascii="Arial" w:cs="Arial" w:eastAsia="Arial" w:hAnsi="Arial"/>
                <w:sz w:val="13"/>
                <w:szCs w:val="13"/>
                <w:b w:val="1"/>
                <w:bCs w:val="1"/>
                <w:color w:val="auto"/>
              </w:rPr>
              <w:t>Note G.</w:t>
            </w:r>
          </w:p>
        </w:tc>
        <w:tc>
          <w:tcPr>
            <w:tcW w:w="7680" w:type="dxa"/>
            <w:vAlign w:val="bottom"/>
          </w:tcPr>
          <w:p>
            <w:pPr>
              <w:ind w:left="200"/>
              <w:spacing w:after="0"/>
              <w:rPr>
                <w:sz w:val="20"/>
                <w:szCs w:val="20"/>
                <w:color w:val="auto"/>
              </w:rPr>
            </w:pPr>
            <w:r>
              <w:rPr>
                <w:rFonts w:ascii="Arial" w:cs="Arial" w:eastAsia="Arial" w:hAnsi="Arial"/>
                <w:sz w:val="13"/>
                <w:szCs w:val="13"/>
                <w:b w:val="1"/>
                <w:bCs w:val="1"/>
                <w:color w:val="auto"/>
              </w:rPr>
              <w:t>Other Intangible Assets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8300" w:type="dxa"/>
            <w:vAlign w:val="bottom"/>
            <w:gridSpan w:val="2"/>
          </w:tcPr>
          <w:p>
            <w:pPr>
              <w:ind w:left="400"/>
              <w:spacing w:after="0"/>
              <w:rPr>
                <w:sz w:val="20"/>
                <w:szCs w:val="20"/>
                <w:color w:val="auto"/>
              </w:rPr>
            </w:pPr>
            <w:r>
              <w:rPr>
                <w:rFonts w:ascii="Arial" w:cs="Arial" w:eastAsia="Arial" w:hAnsi="Arial"/>
                <w:sz w:val="13"/>
                <w:szCs w:val="13"/>
                <w:color w:val="auto"/>
              </w:rPr>
              <w:t>Other intangible assets consist of the following:</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6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98"/>
        </w:trPr>
        <w:tc>
          <w:tcPr>
            <w:tcW w:w="6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131"/>
        </w:trPr>
        <w:tc>
          <w:tcPr>
            <w:tcW w:w="6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(Dollars in millions)</w:t>
            </w:r>
          </w:p>
        </w:tc>
      </w:tr>
      <w:tr>
        <w:trPr>
          <w:trHeight w:val="16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relationships and contracts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204.4</w:t>
            </w:r>
          </w:p>
        </w:tc>
      </w:tr>
      <w:tr>
        <w:trPr>
          <w:trHeight w:val="157"/>
        </w:trPr>
        <w:tc>
          <w:tcPr>
            <w:tcW w:w="620" w:type="dxa"/>
            <w:vAlign w:val="bottom"/>
          </w:tcPr>
          <w:p>
            <w:pPr>
              <w:spacing w:after="0"/>
              <w:rPr>
                <w:sz w:val="20"/>
                <w:szCs w:val="20"/>
                <w:color w:val="auto"/>
              </w:rPr>
            </w:pPr>
            <w:r>
              <w:rPr>
                <w:rFonts w:ascii="Arial" w:cs="Arial" w:eastAsia="Arial" w:hAnsi="Arial"/>
                <w:sz w:val="13"/>
                <w:szCs w:val="13"/>
                <w:color w:val="auto"/>
              </w:rPr>
              <w:t>Other</w:t>
            </w:r>
          </w:p>
        </w:tc>
        <w:tc>
          <w:tcPr>
            <w:tcW w:w="7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48.9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25.6</w:t>
            </w:r>
          </w:p>
        </w:tc>
      </w:tr>
      <w:tr>
        <w:trPr>
          <w:trHeight w:val="20"/>
        </w:trPr>
        <w:tc>
          <w:tcPr>
            <w:tcW w:w="6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20" w:type="dxa"/>
            <w:vAlign w:val="bottom"/>
            <w:shd w:val="clear" w:color="auto" w:fill="CCEEFF"/>
          </w:tcPr>
          <w:p>
            <w:pPr>
              <w:spacing w:after="0"/>
              <w:rPr>
                <w:sz w:val="13"/>
                <w:szCs w:val="13"/>
                <w:color w:val="auto"/>
              </w:rPr>
            </w:pPr>
          </w:p>
        </w:tc>
        <w:tc>
          <w:tcPr>
            <w:tcW w:w="7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Accumulated amortization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(153.0)</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(137.5)</w:t>
            </w:r>
          </w:p>
        </w:tc>
      </w:tr>
      <w:tr>
        <w:trPr>
          <w:trHeight w:val="20"/>
        </w:trPr>
        <w:tc>
          <w:tcPr>
            <w:tcW w:w="6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20" w:type="dxa"/>
            <w:vAlign w:val="bottom"/>
            <w:shd w:val="clear" w:color="auto" w:fill="CCEEFF"/>
          </w:tcPr>
          <w:p>
            <w:pPr>
              <w:spacing w:after="0"/>
              <w:rPr>
                <w:sz w:val="13"/>
                <w:szCs w:val="13"/>
                <w:color w:val="auto"/>
              </w:rPr>
            </w:pPr>
          </w:p>
        </w:tc>
        <w:tc>
          <w:tcPr>
            <w:tcW w:w="76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92.5</w:t>
            </w:r>
          </w:p>
        </w:tc>
      </w:tr>
      <w:tr>
        <w:trPr>
          <w:trHeight w:val="29"/>
        </w:trPr>
        <w:tc>
          <w:tcPr>
            <w:tcW w:w="6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Amortization expense for amortizable intangible assets, which consist primarily of customer relationships, was $25.3 million, $22.0 million, and $23.7 million for the years ended December 31, 2009, 2008, and 2007, respectively. Other represents non-amortizable intangible assets such as trademarks and licenses. Estimated amortization expense for the next five years for assets owned at December 31, 2009, is $22.6 million in 2010, $18.6 million in 2011, $15.1 million in 2012, $13.1 million in 2013 and $10.6 million in 2014.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3"/>
                <w:szCs w:val="13"/>
                <w:b w:val="1"/>
                <w:bCs w:val="1"/>
                <w:color w:val="auto"/>
              </w:rPr>
              <w:t>Note H.</w:t>
            </w:r>
          </w:p>
        </w:tc>
        <w:tc>
          <w:tcPr>
            <w:tcW w:w="3600" w:type="dxa"/>
            <w:vAlign w:val="bottom"/>
          </w:tcPr>
          <w:p>
            <w:pPr>
              <w:ind w:left="40"/>
              <w:spacing w:after="0"/>
              <w:rPr>
                <w:sz w:val="20"/>
                <w:szCs w:val="20"/>
                <w:color w:val="auto"/>
              </w:rPr>
            </w:pPr>
            <w:r>
              <w:rPr>
                <w:rFonts w:ascii="Arial" w:cs="Arial" w:eastAsia="Arial" w:hAnsi="Arial"/>
                <w:sz w:val="13"/>
                <w:szCs w:val="13"/>
                <w:b w:val="1"/>
                <w:bCs w:val="1"/>
                <w:color w:val="auto"/>
              </w:rPr>
              <w:t>Accounts Payable and Accrued Liabilities</w:t>
            </w: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4380" w:type="dxa"/>
            <w:vAlign w:val="bottom"/>
            <w:gridSpan w:val="2"/>
          </w:tcPr>
          <w:p>
            <w:pPr>
              <w:ind w:left="400"/>
              <w:spacing w:after="0"/>
              <w:rPr>
                <w:sz w:val="20"/>
                <w:szCs w:val="20"/>
                <w:color w:val="auto"/>
              </w:rPr>
            </w:pPr>
            <w:r>
              <w:rPr>
                <w:rFonts w:ascii="Arial" w:cs="Arial" w:eastAsia="Arial" w:hAnsi="Arial"/>
                <w:sz w:val="13"/>
                <w:szCs w:val="13"/>
                <w:color w:val="auto"/>
              </w:rPr>
              <w:t>Accounts payable and accrued liabilities consist of the following:</w:t>
            </w:r>
          </w:p>
        </w:tc>
        <w:tc>
          <w:tcPr>
            <w:tcW w:w="4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(Dollars in millions)</w:t>
            </w: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benefits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235.8</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Salaries and incentives</w:t>
            </w: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125.9</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w w:val="93"/>
              </w:rPr>
              <w:t>Security loans</w:t>
            </w:r>
          </w:p>
        </w:tc>
        <w:tc>
          <w:tcPr>
            <w:tcW w:w="360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Accrued rent</w:t>
            </w:r>
          </w:p>
        </w:tc>
        <w:tc>
          <w:tcPr>
            <w:tcW w:w="36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 accounts payable</w:t>
            </w:r>
          </w:p>
        </w:tc>
        <w:tc>
          <w:tcPr>
            <w:tcW w:w="4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54.8</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Accrued recording fees and transfer taxes</w:t>
            </w: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premium taxes</w:t>
            </w:r>
          </w:p>
        </w:tc>
        <w:tc>
          <w:tcPr>
            <w:tcW w:w="4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Other accrued liabilities</w:t>
            </w: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158.3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214.0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828.9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20" w:type="dxa"/>
            <w:vAlign w:val="bottom"/>
          </w:tcPr>
          <w:p>
            <w:pPr>
              <w:jc w:val="right"/>
              <w:ind w:right="3374"/>
              <w:spacing w:after="0"/>
              <w:rPr>
                <w:sz w:val="20"/>
                <w:szCs w:val="20"/>
                <w:color w:val="auto"/>
              </w:rPr>
            </w:pPr>
            <w:r>
              <w:rPr>
                <w:rFonts w:ascii="Arial" w:cs="Arial" w:eastAsia="Arial" w:hAnsi="Arial"/>
                <w:sz w:val="13"/>
                <w:szCs w:val="13"/>
                <w:color w:val="auto"/>
              </w:rPr>
              <w:t>92</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95"/>
              </w:rPr>
              <w:t>Note I.</w:t>
            </w:r>
          </w:p>
        </w:tc>
        <w:tc>
          <w:tcPr>
            <w:tcW w:w="7900" w:type="dxa"/>
            <w:vAlign w:val="bottom"/>
          </w:tcPr>
          <w:p>
            <w:pPr>
              <w:ind w:left="320"/>
              <w:spacing w:after="0"/>
              <w:rPr>
                <w:sz w:val="20"/>
                <w:szCs w:val="20"/>
                <w:color w:val="auto"/>
              </w:rPr>
            </w:pPr>
            <w:r>
              <w:rPr>
                <w:rFonts w:ascii="Arial" w:cs="Arial" w:eastAsia="Arial" w:hAnsi="Arial"/>
                <w:sz w:val="13"/>
                <w:szCs w:val="13"/>
                <w:b w:val="1"/>
                <w:bCs w:val="1"/>
                <w:color w:val="auto"/>
              </w:rPr>
              <w:t>Notes Payable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40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Notes payable consists of the following:</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4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40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r>
      <w:tr>
        <w:trPr>
          <w:trHeight w:val="131"/>
        </w:trPr>
        <w:tc>
          <w:tcPr>
            <w:tcW w:w="40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(Dollars in millions)</w:t>
            </w:r>
          </w:p>
        </w:tc>
      </w:tr>
      <w:tr>
        <w:trPr>
          <w:trHeight w:val="16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Unsecured notes net of discount, interest payable semi-annually at 5.25%, due March 2013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245.2</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249.2</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Unsecured notes, net of discount, interest payable semi-annually at 7.30%, due August 2011</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165.5</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241.1</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4"/>
              </w:rPr>
              <w:t>Syndicated credit agreement, unsecured, interest payable monthly at LIBOR plus 0.475% (0.73% at December 31, 2009), unused portion of $700 million</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8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at December 31, 2009, due October 2011</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400.0</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Bank promissory notes, nonrecourse, secured, interest payable monthly at various fixed rates (3.7%-10.67%), various maturities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197.5</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note payable to LandAmerica Financial Group, Inc., interest payable annually at 2.36%, due December 2013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rPr>
              <w:t>Other</w:t>
            </w:r>
          </w:p>
        </w:tc>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28.0</w:t>
            </w:r>
          </w:p>
        </w:tc>
      </w:tr>
      <w:tr>
        <w:trPr>
          <w:trHeight w:val="20"/>
        </w:trPr>
        <w:tc>
          <w:tcPr>
            <w:tcW w:w="4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9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1,350.</w:t>
            </w:r>
            <w:r>
              <w:rPr>
                <w:rFonts w:ascii="Arial" w:cs="Arial" w:eastAsia="Arial" w:hAnsi="Arial"/>
                <w:sz w:val="13"/>
                <w:szCs w:val="13"/>
                <w:u w:val="single" w:color="auto"/>
                <w:color w:val="auto"/>
              </w:rPr>
              <w:t>8</w:t>
            </w:r>
          </w:p>
        </w:tc>
      </w:tr>
      <w:tr>
        <w:trPr>
          <w:trHeight w:val="29"/>
        </w:trPr>
        <w:tc>
          <w:tcPr>
            <w:tcW w:w="4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At December 31, 2009, the estimated fair value of our outstanding notes payable was approximately $849.1 million or $12.7 million lower than its carrying value. The carrying value of our notes payable was approximately $1,279.0 million or $71.8 million lower than its estimated fair value at December 31, 2008. The fair values of our unsecured notes payable are based on established market prices for the securities on December 31, 2009 and 2008. The fair value of our syndicated credit agreement and our fixed rate notes payable is estimated using discounted cash flow analyses based on current market interest rates and comparison of interest rates being paid to our current incremental borrowing rates for similar types of borrowing arrangements.</w:t>
      </w:r>
    </w:p>
    <w:p>
      <w:pPr>
        <w:spacing w:after="0" w:line="71"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On December 22, 2008, in connection with the acquisition of the LFG Underwriters, we entered into a $50 million subordinated note payable to LFG, due December 2013. This note bears interest at 2.36%, payable annually. Subsequent to year end, on March 1, 2010, we paid approximately $49 million to the LFG Liquidation Trust in full satisfaction of this obligation.</w:t>
      </w:r>
    </w:p>
    <w:p>
      <w:pPr>
        <w:spacing w:after="0" w:line="12"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Effective October 24, 2006, we entered into a credit agreement (the “Credit Agreement”) with Bank of America, N.A. as Administrative Agent and Swing Line Lender, and other financial institutions party thereto. Effective October 11, 2007, we exercised an option to increase the amount of the credit facility by an additional $300 million. The Credit Agreement provides for a $1.1 billion unsecured revolving credit facility, including the additional $300 million, maturing on the fifth anniversary of the closing date. Amounts under the revolving credit facility may be borrowed, repaid and reborrowed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w:t>
      </w:r>
    </w:p>
    <w:p>
      <w:pPr>
        <w:spacing w:after="0" w:line="2" w:lineRule="exact"/>
        <w:rPr>
          <w:sz w:val="20"/>
          <w:szCs w:val="20"/>
          <w:color w:val="auto"/>
        </w:rPr>
      </w:pPr>
    </w:p>
    <w:p>
      <w:pPr>
        <w:ind w:left="680" w:right="180" w:firstLine="7"/>
        <w:spacing w:after="0" w:line="264" w:lineRule="auto"/>
        <w:tabs>
          <w:tab w:leader="none" w:pos="873"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rate per annum equal to LIBOR plus a margin of between 0.23%-0.675%, depending on our then current senior unsecured long-term debt rating from the rating agencies. In addition, we pay a commitment fee between 0.07%-0.175% on the entire facility, also depending on our senior unsecured long-term debt rating.</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Credit Agreement contains affirmative, negative and financial covenants customary for financings of this type, including, among other things, limits on the creation of liens, sales of assets, the incurrence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78" w:lineRule="auto"/>
        <w:rPr>
          <w:sz w:val="20"/>
          <w:szCs w:val="20"/>
          <w:color w:val="auto"/>
        </w:rPr>
      </w:pPr>
      <w:r>
        <w:rPr>
          <w:rFonts w:ascii="Arial" w:cs="Arial" w:eastAsia="Arial" w:hAnsi="Arial"/>
          <w:sz w:val="12"/>
          <w:szCs w:val="12"/>
          <w:color w:val="auto"/>
        </w:rPr>
        <w:t>indebtedness, restricted payments, transactions with affiliates, and certain amendments. The Credit Agreement requires us to maintain certain financial ratios and levels of capitalization. The Credit Agreement prohibits us from paying dividends to our stockholders if an event of default has occurred and is continuing or would result therefrom.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At December 31, 2009, we were in compliance with all of the covenants under the Credit Agreement.</w:t>
      </w:r>
    </w:p>
    <w:p>
      <w:pPr>
        <w:spacing w:after="0" w:line="6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August 20, 2001, Old FNF completed a public offering of $250.0 million aggregate principal amount of 7.30% notes due August 15, 2011. The notes were priced at 99.597% of par to yield 7.358% annual interest. As such, we recorded a discount of $1.0 million, which is netted against the $250.0 million aggregate principal amount of notes. The discount is amortized to interest expense over 10 years, the term of the notes. We received net proceeds of $247.0 million, after expenses, which were used to pay down a portion of the amount outstanding under a prior credit agreement. Interest is payable semiannually.</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On March 11, 2003, Old FNF issued $250.0 million aggregate principal amount of 5.25% notes due March 2013, which are unsecured. The notes were priced at 99.247% of par to yield 5.433% annual interest. As such, we recorded a discount of $1.9 million, which was netted against the $250.0 million aggregate principal amount of notes. The discount was amortized to interest expense based on the 10-year term of the notes. We received net proceeds of approximately $246.2 million, after expenses, which were used to pay a portion of the $1,069.6 million purchase price for FIS. Interest is payable semiannually.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January 17, 2006, $241.3 million aggregate principal amount of the Old FNF 7.30% notes due 2011 and the entire $250.0 million aggregate principal amount of the Old FNF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5.25% notes due 2013 were exchanged for FNF notes having identical terms. The remaining principal amount of $8.7 million of the Old FNF 7.30% notes has been redeemed and cancelled.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These notes contain customary covenants and events of default for investment grade public debt. The events of default include a cross-default provision that allows the trustee or at least 25%</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of the noteholders to accelerate the notes if we fail to make a payment on debt in an aggregate amount in excess of $20 million or as a result of a default thereunder the maturity of any debt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an aggregate principal amount in excess of $20 million is accelerated and in either case we fail to cure the nonpayment or acceleration or repay the debt within 10 days after notice from</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trustee or the noteholders.</w:t>
      </w:r>
    </w:p>
    <w:p>
      <w:pPr>
        <w:spacing w:after="0" w:line="8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 April 14, 2009, we received $331 million in net proceeds from our offering of a total of 18,170,000 shares of our common stock. The proceeds were partially used to repay $135 million in borrowings under our $1.1 billion revolving credit facility, bringing the total repayment to $185 million since December 31, 2008. In addition, we used the proceeds to purchase $67.8 million in par value of our 7.30% notes due in 2011 for an aggregate purchase price of $68.7 million, including accrued interest of $1.2 million, and $3.0 million in par value of our 5.25% notes due in 2013 for an aggregate purchase price of $2.8 million. In the third and fourth quarters of 2009, one of our underwriters purchased $7.8 million in par value of our 7.30% notes for a total purchase price of $8.0 million.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As discussed in note A, on September 25, 2009, we closed on the sale of our subsidiary, FN Capital. The bank promissory notes which totaled $197.5 million as of December 31, 2008, were obligations of FN Capital which is no longer our subsidiary.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Principal maturities of notes payable at December 31, 2009, are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6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2011</w:t>
            </w:r>
          </w:p>
        </w:tc>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w w:val="92"/>
              </w:rPr>
              <w:t>565.7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6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2013</w:t>
            </w:r>
          </w:p>
        </w:tc>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w w:val="92"/>
              </w:rPr>
              <w:t>295.2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7"/>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2"/>
              </w:rPr>
              <w:t>861.9</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Note J.</w:t>
            </w:r>
          </w:p>
        </w:tc>
        <w:tc>
          <w:tcPr>
            <w:tcW w:w="7040" w:type="dxa"/>
            <w:vAlign w:val="bottom"/>
            <w:gridSpan w:val="3"/>
          </w:tcPr>
          <w:p>
            <w:pPr>
              <w:jc w:val="right"/>
              <w:ind w:right="6034"/>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6"/>
        </w:trPr>
        <w:tc>
          <w:tcPr>
            <w:tcW w:w="680" w:type="dxa"/>
            <w:vAlign w:val="bottom"/>
          </w:tcPr>
          <w:p>
            <w:pPr>
              <w:spacing w:after="0"/>
              <w:rPr>
                <w:sz w:val="21"/>
                <w:szCs w:val="21"/>
                <w:color w:val="auto"/>
              </w:rPr>
            </w:pPr>
          </w:p>
        </w:tc>
        <w:tc>
          <w:tcPr>
            <w:tcW w:w="7680" w:type="dxa"/>
            <w:vAlign w:val="bottom"/>
            <w:gridSpan w:val="4"/>
          </w:tcPr>
          <w:p>
            <w:pPr>
              <w:ind w:left="400"/>
              <w:spacing w:after="0"/>
              <w:rPr>
                <w:sz w:val="20"/>
                <w:szCs w:val="20"/>
                <w:color w:val="auto"/>
              </w:rPr>
            </w:pPr>
            <w:r>
              <w:rPr>
                <w:rFonts w:ascii="Arial" w:cs="Arial" w:eastAsia="Arial" w:hAnsi="Arial"/>
                <w:sz w:val="13"/>
                <w:szCs w:val="13"/>
                <w:color w:val="auto"/>
              </w:rPr>
              <w:t>Income tax expense (benefit) on continuing operations consists of the following:</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0"/>
                <w:szCs w:val="10"/>
                <w:b w:val="1"/>
                <w:bCs w:val="1"/>
                <w:color w:val="auto"/>
                <w:w w:val="94"/>
              </w:rPr>
              <w:t>Year Ended December 31,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3"/>
          </w:tcPr>
          <w:p>
            <w:pPr>
              <w:jc w:val="right"/>
              <w:ind w:right="40"/>
              <w:spacing w:after="0" w:line="98" w:lineRule="exact"/>
              <w:rPr>
                <w:sz w:val="20"/>
                <w:szCs w:val="20"/>
                <w:color w:val="auto"/>
              </w:rPr>
            </w:pPr>
            <w:r>
              <w:rPr>
                <w:rFonts w:ascii="Arial" w:cs="Arial" w:eastAsia="Arial" w:hAnsi="Arial"/>
                <w:sz w:val="10"/>
                <w:szCs w:val="10"/>
                <w:b w:val="1"/>
                <w:bCs w:val="1"/>
                <w:color w:val="auto"/>
              </w:rPr>
              <w:t>2009</w:t>
            </w: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w w:val="98"/>
              </w:rPr>
              <w:t>2008</w:t>
            </w:r>
          </w:p>
        </w:tc>
        <w:tc>
          <w:tcPr>
            <w:tcW w:w="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6"/>
          </w:tcPr>
          <w:p>
            <w:pPr>
              <w:jc w:val="center"/>
              <w:spacing w:after="0"/>
              <w:rPr>
                <w:sz w:val="20"/>
                <w:szCs w:val="20"/>
                <w:color w:val="auto"/>
              </w:rPr>
            </w:pPr>
            <w:r>
              <w:rPr>
                <w:rFonts w:ascii="Arial" w:cs="Arial" w:eastAsia="Arial" w:hAnsi="Arial"/>
                <w:sz w:val="10"/>
                <w:szCs w:val="10"/>
                <w:b w:val="1"/>
                <w:bCs w:val="1"/>
                <w:color w:val="auto"/>
                <w:w w:val="96"/>
              </w:rPr>
              <w:t>(In millions)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7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5"/>
            <w:shd w:val="clear" w:color="auto" w:fill="CCEEFF"/>
          </w:tcPr>
          <w:p>
            <w:pPr>
              <w:jc w:val="right"/>
              <w:ind w:right="148"/>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60.1</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Deferred</w:t>
            </w:r>
          </w:p>
        </w:tc>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4"/>
          </w:tcPr>
          <w:p>
            <w:pPr>
              <w:jc w:val="right"/>
              <w:spacing w:after="0"/>
              <w:rPr>
                <w:sz w:val="20"/>
                <w:szCs w:val="20"/>
                <w:color w:val="auto"/>
              </w:rPr>
            </w:pPr>
            <w:r>
              <w:rPr>
                <w:rFonts w:ascii="Arial" w:cs="Arial" w:eastAsia="Arial" w:hAnsi="Arial"/>
                <w:sz w:val="13"/>
                <w:szCs w:val="13"/>
                <w:color w:val="auto"/>
              </w:rPr>
              <w:t>94.1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3"/>
                <w:szCs w:val="13"/>
                <w:color w:val="auto"/>
              </w:rPr>
              <w:t>(74.8)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9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(119.9)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50.3</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7600" w:type="dxa"/>
            <w:vAlign w:val="bottom"/>
            <w:gridSpan w:val="3"/>
          </w:tcPr>
          <w:p>
            <w:pPr>
              <w:ind w:left="400"/>
              <w:spacing w:after="0"/>
              <w:rPr>
                <w:sz w:val="20"/>
                <w:szCs w:val="20"/>
                <w:color w:val="auto"/>
              </w:rPr>
            </w:pPr>
            <w:r>
              <w:rPr>
                <w:rFonts w:ascii="Arial" w:cs="Arial" w:eastAsia="Arial" w:hAnsi="Arial"/>
                <w:sz w:val="13"/>
                <w:szCs w:val="13"/>
                <w:color w:val="auto"/>
                <w:w w:val="94"/>
              </w:rPr>
              <w:t>Total income tax expense (benefit) on continuing operations for the years ended December 31 was allocated as follows (in millions):</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8"/>
        </w:trPr>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right"/>
              <w:ind w:right="108"/>
              <w:spacing w:after="0"/>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Net earnings (loss)</w:t>
            </w:r>
          </w:p>
        </w:tc>
        <w:tc>
          <w:tcPr>
            <w:tcW w:w="24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2"/>
              </w:rPr>
              <w:t>106.8</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(119.9)</w:t>
            </w: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50.3</w:t>
            </w: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7680" w:type="dxa"/>
            <w:vAlign w:val="bottom"/>
            <w:gridSpan w:val="4"/>
          </w:tcPr>
          <w:p>
            <w:pPr>
              <w:spacing w:after="0"/>
              <w:rPr>
                <w:sz w:val="20"/>
                <w:szCs w:val="20"/>
                <w:color w:val="auto"/>
              </w:rPr>
            </w:pPr>
            <w:r>
              <w:rPr>
                <w:rFonts w:ascii="Arial" w:cs="Arial" w:eastAsia="Arial" w:hAnsi="Arial"/>
                <w:sz w:val="13"/>
                <w:szCs w:val="13"/>
                <w:color w:val="auto"/>
              </w:rPr>
              <w:t>Other comprehensive earnings (loss):</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Unrealized gains (losses) on investments and other financial instruments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tcPr>
          <w:p>
            <w:pPr>
              <w:spacing w:after="0"/>
              <w:rPr>
                <w:sz w:val="20"/>
                <w:szCs w:val="20"/>
                <w:color w:val="auto"/>
              </w:rPr>
            </w:pPr>
            <w:r>
              <w:rPr>
                <w:rFonts w:ascii="Arial" w:cs="Arial" w:eastAsia="Arial" w:hAnsi="Arial"/>
                <w:sz w:val="13"/>
                <w:szCs w:val="13"/>
                <w:color w:val="auto"/>
              </w:rPr>
              <w:t>Unrealized gain on foreign currency translation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5"/>
          </w:tcPr>
          <w:p>
            <w:pPr>
              <w:jc w:val="right"/>
              <w:ind w:right="12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Reclassification adjustment for realized (gains) losses included in net earnings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tcPr>
          <w:p>
            <w:pPr>
              <w:spacing w:after="0"/>
              <w:rPr>
                <w:sz w:val="20"/>
                <w:szCs w:val="20"/>
                <w:color w:val="auto"/>
              </w:rPr>
            </w:pPr>
            <w:r>
              <w:rPr>
                <w:rFonts w:ascii="Arial" w:cs="Arial" w:eastAsia="Arial" w:hAnsi="Arial"/>
                <w:sz w:val="13"/>
                <w:szCs w:val="13"/>
                <w:color w:val="auto"/>
              </w:rPr>
              <w:t>Minimum pension liability adjustment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5"/>
          </w:tcPr>
          <w:p>
            <w:pPr>
              <w:jc w:val="right"/>
              <w:ind w:right="8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6.2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income tax (benefit) expense allocated to other comprehensive income</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26.9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tcPr>
          <w:p>
            <w:pPr>
              <w:spacing w:after="0"/>
              <w:rPr>
                <w:sz w:val="20"/>
                <w:szCs w:val="20"/>
                <w:color w:val="auto"/>
              </w:rPr>
            </w:pPr>
            <w:r>
              <w:rPr>
                <w:rFonts w:ascii="Arial" w:cs="Arial" w:eastAsia="Arial" w:hAnsi="Arial"/>
                <w:sz w:val="13"/>
                <w:szCs w:val="13"/>
                <w:color w:val="auto"/>
              </w:rPr>
              <w:t>Additional paid-in capital (exercise of stock options)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5"/>
          </w:tcPr>
          <w:p>
            <w:pPr>
              <w:jc w:val="right"/>
              <w:ind w:right="8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income taxes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148.4</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(132.9)</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72.5</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7680" w:type="dxa"/>
            <w:vAlign w:val="bottom"/>
            <w:gridSpan w:val="4"/>
          </w:tcPr>
          <w:p>
            <w:pPr>
              <w:ind w:left="400"/>
              <w:spacing w:after="0"/>
              <w:rPr>
                <w:sz w:val="20"/>
                <w:szCs w:val="20"/>
                <w:color w:val="auto"/>
              </w:rPr>
            </w:pPr>
            <w:r>
              <w:rPr>
                <w:rFonts w:ascii="Arial" w:cs="Arial" w:eastAsia="Arial" w:hAnsi="Arial"/>
                <w:sz w:val="13"/>
                <w:szCs w:val="13"/>
                <w:color w:val="auto"/>
              </w:rPr>
              <w:t>A reconciliation of the federal statutory rate to our effective tax rate is as follows:</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8"/>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0"/>
                <w:szCs w:val="10"/>
                <w:b w:val="1"/>
                <w:bCs w:val="1"/>
                <w:color w:val="auto"/>
                <w:w w:val="94"/>
              </w:rPr>
              <w:t>Year Ended December 31,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auto"/>
            </w:tcBorders>
            <w:gridSpan w:val="4"/>
          </w:tcPr>
          <w:p>
            <w:pPr>
              <w:ind w:left="220"/>
              <w:spacing w:after="0" w:line="98" w:lineRule="exact"/>
              <w:rPr>
                <w:sz w:val="20"/>
                <w:szCs w:val="20"/>
                <w:color w:val="auto"/>
              </w:rPr>
            </w:pPr>
            <w:r>
              <w:rPr>
                <w:rFonts w:ascii="Arial" w:cs="Arial" w:eastAsia="Arial" w:hAnsi="Arial"/>
                <w:sz w:val="10"/>
                <w:szCs w:val="10"/>
                <w:b w:val="1"/>
                <w:bCs w:val="1"/>
                <w:color w:val="auto"/>
                <w:w w:val="89"/>
              </w:rPr>
              <w:t>2008</w:t>
            </w:r>
          </w:p>
        </w:tc>
        <w:tc>
          <w:tcPr>
            <w:tcW w:w="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Federal statutory rate</w:t>
            </w:r>
          </w:p>
        </w:tc>
        <w:tc>
          <w:tcPr>
            <w:tcW w:w="440" w:type="dxa"/>
            <w:vAlign w:val="bottom"/>
            <w:gridSpan w:val="4"/>
            <w:shd w:val="clear" w:color="auto" w:fill="CCEEFF"/>
          </w:tcPr>
          <w:p>
            <w:pPr>
              <w:jc w:val="right"/>
              <w:ind w:right="14"/>
              <w:spacing w:after="0"/>
              <w:rPr>
                <w:sz w:val="20"/>
                <w:szCs w:val="20"/>
                <w:color w:val="auto"/>
              </w:rPr>
            </w:pPr>
            <w:r>
              <w:rPr>
                <w:rFonts w:ascii="Arial" w:cs="Arial" w:eastAsia="Arial" w:hAnsi="Arial"/>
                <w:sz w:val="13"/>
                <w:szCs w:val="13"/>
                <w:color w:val="auto"/>
                <w:w w:val="92"/>
              </w:rPr>
              <w:t>35.0%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6"/>
              </w:rPr>
              <w:t>35.0%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tcPr>
          <w:p>
            <w:pPr>
              <w:spacing w:after="0"/>
              <w:rPr>
                <w:sz w:val="20"/>
                <w:szCs w:val="20"/>
                <w:color w:val="auto"/>
              </w:rPr>
            </w:pPr>
            <w:r>
              <w:rPr>
                <w:rFonts w:ascii="Arial" w:cs="Arial" w:eastAsia="Arial" w:hAnsi="Arial"/>
                <w:sz w:val="13"/>
                <w:szCs w:val="13"/>
                <w:color w:val="auto"/>
              </w:rPr>
              <w:t>Federal benefit of state taxes</w:t>
            </w:r>
          </w:p>
        </w:tc>
        <w:tc>
          <w:tcPr>
            <w:tcW w:w="320" w:type="dxa"/>
            <w:vAlign w:val="bottom"/>
            <w:gridSpan w:val="3"/>
          </w:tcPr>
          <w:p>
            <w:pPr>
              <w:jc w:val="right"/>
              <w:ind w:right="40"/>
              <w:spacing w:after="0"/>
              <w:rPr>
                <w:sz w:val="20"/>
                <w:szCs w:val="20"/>
                <w:color w:val="auto"/>
              </w:rPr>
            </w:pPr>
            <w:r>
              <w:rPr>
                <w:rFonts w:ascii="Arial" w:cs="Arial" w:eastAsia="Arial" w:hAnsi="Arial"/>
                <w:sz w:val="13"/>
                <w:szCs w:val="13"/>
                <w:color w:val="auto"/>
                <w:w w:val="97"/>
              </w:rPr>
              <w:t>(0.9)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5"/>
          </w:tcPr>
          <w:p>
            <w:pPr>
              <w:jc w:val="right"/>
              <w:ind w:right="140"/>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(0.9)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Deductible dividends paid to FNF 401(k) plan</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7"/>
              </w:rPr>
              <w:t>(0.4)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(1.8)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tcPr>
          <w:p>
            <w:pPr>
              <w:spacing w:after="0"/>
              <w:rPr>
                <w:sz w:val="20"/>
                <w:szCs w:val="20"/>
                <w:color w:val="auto"/>
              </w:rPr>
            </w:pPr>
            <w:r>
              <w:rPr>
                <w:rFonts w:ascii="Arial" w:cs="Arial" w:eastAsia="Arial" w:hAnsi="Arial"/>
                <w:sz w:val="13"/>
                <w:szCs w:val="13"/>
                <w:color w:val="auto"/>
              </w:rPr>
              <w:t>Tax exempt interest income</w:t>
            </w:r>
          </w:p>
        </w:tc>
        <w:tc>
          <w:tcPr>
            <w:tcW w:w="320" w:type="dxa"/>
            <w:vAlign w:val="bottom"/>
            <w:gridSpan w:val="3"/>
          </w:tcPr>
          <w:p>
            <w:pPr>
              <w:jc w:val="right"/>
              <w:ind w:right="40"/>
              <w:spacing w:after="0"/>
              <w:rPr>
                <w:sz w:val="20"/>
                <w:szCs w:val="20"/>
                <w:color w:val="auto"/>
              </w:rPr>
            </w:pPr>
            <w:r>
              <w:rPr>
                <w:rFonts w:ascii="Arial" w:cs="Arial" w:eastAsia="Arial" w:hAnsi="Arial"/>
                <w:sz w:val="13"/>
                <w:szCs w:val="13"/>
                <w:color w:val="auto"/>
                <w:w w:val="97"/>
              </w:rPr>
              <w:t>(3.6)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5"/>
          </w:tcPr>
          <w:p>
            <w:pPr>
              <w:jc w:val="right"/>
              <w:ind w:right="18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color w:val="auto"/>
                <w:w w:val="88"/>
              </w:rPr>
              <w:t>(11.6)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Release of uncertain tax positions</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7"/>
              </w:rPr>
              <w:t>(2.5)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7"/>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tcPr>
          <w:p>
            <w:pPr>
              <w:spacing w:after="0"/>
              <w:rPr>
                <w:sz w:val="20"/>
                <w:szCs w:val="20"/>
                <w:color w:val="auto"/>
              </w:rPr>
            </w:pPr>
            <w:r>
              <w:rPr>
                <w:rFonts w:ascii="Arial" w:cs="Arial" w:eastAsia="Arial" w:hAnsi="Arial"/>
                <w:sz w:val="13"/>
                <w:szCs w:val="13"/>
                <w:color w:val="auto"/>
              </w:rPr>
              <w:t>State income taxes</w:t>
            </w:r>
          </w:p>
        </w:tc>
        <w:tc>
          <w:tcPr>
            <w:tcW w:w="320" w:type="dxa"/>
            <w:vAlign w:val="bottom"/>
            <w:gridSpan w:val="3"/>
          </w:tcPr>
          <w:p>
            <w:pPr>
              <w:jc w:val="right"/>
              <w:ind w:right="80"/>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5"/>
          </w:tcPr>
          <w:p>
            <w:pPr>
              <w:jc w:val="right"/>
              <w:ind w:right="18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Non-deductible expenses</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4"/>
          </w:tcPr>
          <w:p>
            <w:pPr>
              <w:jc w:val="right"/>
              <w:ind w:right="14"/>
              <w:spacing w:after="0"/>
              <w:rPr>
                <w:sz w:val="20"/>
                <w:szCs w:val="20"/>
                <w:color w:val="auto"/>
              </w:rPr>
            </w:pPr>
            <w:r>
              <w:rPr>
                <w:rFonts w:ascii="Arial" w:cs="Arial" w:eastAsia="Arial" w:hAnsi="Arial"/>
                <w:sz w:val="13"/>
                <w:szCs w:val="13"/>
                <w:color w:val="auto"/>
                <w:w w:val="92"/>
              </w:rPr>
              <w:t>31.0%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5"/>
          </w:tcPr>
          <w:p>
            <w:pPr>
              <w:jc w:val="right"/>
              <w:ind w:right="80"/>
              <w:spacing w:after="0"/>
              <w:rPr>
                <w:sz w:val="20"/>
                <w:szCs w:val="20"/>
                <w:color w:val="auto"/>
              </w:rPr>
            </w:pPr>
            <w:r>
              <w:rPr>
                <w:rFonts w:ascii="Arial" w:cs="Arial" w:eastAsia="Arial" w:hAnsi="Arial"/>
                <w:sz w:val="13"/>
                <w:szCs w:val="13"/>
                <w:color w:val="auto"/>
              </w:rPr>
              <w:t>42.9%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3"/>
                <w:szCs w:val="13"/>
                <w:color w:val="auto"/>
                <w:w w:val="86"/>
              </w:rPr>
              <w:t>27.2%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40" w:type="dxa"/>
            <w:vAlign w:val="bottom"/>
          </w:tcPr>
          <w:p>
            <w:pPr>
              <w:jc w:val="right"/>
              <w:ind w:right="2354"/>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68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components of deferred tax assets and liabilities at December 31, 2009 and 2008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(In millions)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Insurance reserve discounting</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80.8</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131.9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Employee benefit accruals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 investments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 carryforwards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Capital loss carryforwards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Rent abatement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Pension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State income taxes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Amortization of goodwill and intangible assets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332.0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431.2</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Less: valuation allowance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(132.6)</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deferred tax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327.9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298.6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Title plant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(65.9)</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goodwill and intangible assets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Investment securities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(43.0)</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Bad debts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(6.5)</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Lease accounting</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(199.0)</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140"/>
              <w:spacing w:after="0"/>
              <w:rPr>
                <w:sz w:val="20"/>
                <w:szCs w:val="20"/>
                <w:color w:val="auto"/>
              </w:rPr>
            </w:pPr>
            <w:r>
              <w:rPr>
                <w:rFonts w:ascii="Arial" w:cs="Arial" w:eastAsia="Arial" w:hAnsi="Arial"/>
                <w:sz w:val="13"/>
                <w:szCs w:val="13"/>
                <w:color w:val="auto"/>
              </w:rPr>
              <w:t>Net deferred tax asset</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128.9</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139.2</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56" w:lineRule="auto"/>
        <w:rPr>
          <w:sz w:val="20"/>
          <w:szCs w:val="20"/>
          <w:color w:val="auto"/>
        </w:rPr>
      </w:pPr>
      <w:r>
        <w:rPr>
          <w:rFonts w:ascii="Arial" w:cs="Arial" w:eastAsia="Arial" w:hAnsi="Arial"/>
          <w:sz w:val="13"/>
          <w:szCs w:val="13"/>
          <w:color w:val="auto"/>
        </w:rPr>
        <w:t>Our net deferred tax asset balance was $128.9 million as of December 31, 2009, which represents a $10.3 million decrease from December 31, 2008. The significant changes in the deferred taxes are as follows: The insurance reserve discounting decreased by $51.1 million due to actual title losses paid and deducted during the year. Net operating losses decreased by $102.5 million partially due to the sale of the FNRES investment with a net operating loss of $10.2 million. The remaining decrease of $92.3 million was due to the finalization of the pre-acquisition tax return in 2009 for the LFG Underwriters which generated the actual net operating loss available for carryover. Investment securities changed from a deferred tax asset of $39.1 million to a deferred tax liability of $43.0 million largely due to unrealized gains established through Other Comprehensive Income. Amortization of goodwill and intangible assets changed from a net deferred tax asset of $8.8 million to a net deferred tax liability of $64.2 million primarily due to additional purchase accounting adjustments relating to the LFG Underwriters.</w:t>
      </w:r>
    </w:p>
    <w:p>
      <w:pPr>
        <w:spacing w:after="0" w:line="73"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At December 31, 2009, we have net operating loss carryforwards on a pretax basis of $115.1 million which are available to offset future federal taxable income through 2027. Capital loss carryforwards of $83.5 million on a pretax basis are available to offset capital gain income through 2014. We expect to produce sufficient capital gain income to fully utilize these capital losses.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valuation allowance for deferred tax assets as of December 31, 2009 and 2008 was $4.1 million and $132.6 million, respectively. The valuation allowance as of December 31, 2008 was applied against the net operating loss attributable to the LFG Underwriters in the amount of $132.6 million. During 2009, it was determined that the deferred tax asset related to the net operating losses acquired with the LFG Underwriters would be fully utilized. However, a new valuation allowance of $4.1 million was established to offset certain other deferred tax assets that may not be realized. The net decrease of the valuation allowance in the amount of $128.5 million was reflected as a decrease to goodwill under generally accepted accounting principles on business combinations. We believe that, based on our historical pattern of taxable income, we will produce sufficient income in the future to realize our remaining deferred tax assets.</w:t>
      </w:r>
    </w:p>
    <w:p>
      <w:pPr>
        <w:spacing w:after="0" w:line="3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Tax benefits of $2.4 million, $0.3 million, and $4.7 million associated with the exercise of employee stock options and the vesting of restricted stock grants were allocated to equity for the years ended December 31, 2009, 2008, and 2007, respectively.</w:t>
      </w:r>
    </w:p>
    <w:p>
      <w:pPr>
        <w:spacing w:after="0" w:line="2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of December 31, 2009 and 2008, we had approximately $1.4 million and $5.8 million (including interest of $0.5 million and $0.6 million), respectively, of total gross unrecognized tax benefits that, if recognized, would favorably affect our income tax rate. These amounts are reported on a gross basis and do not reflect a federal tax benefit on state income taxes. We record interest and penalties related to income taxes as a component of income tax expense. The decrease of unrecognized tax benefits was due to a prior year tax position that was effectively settled with the taxing authority in 2009.</w:t>
      </w:r>
    </w:p>
    <w:p>
      <w:pPr>
        <w:spacing w:after="0" w:line="3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Internal Revenue Service (“IRS”) has selected us to participate in the Compliance Assurance Program that is a real-time audit. During 2009, the IRS completed its examination of our consolidated tax return for the tax year ended December 31, 2008, which resulted in no additional tax. We are currently under audit by the Internal Revenue Service for the 2009 and 2010 tax years.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00" w:type="dxa"/>
            <w:vAlign w:val="bottom"/>
          </w:tcPr>
          <w:p>
            <w:pPr>
              <w:spacing w:after="0"/>
              <w:rPr>
                <w:sz w:val="20"/>
                <w:szCs w:val="20"/>
                <w:color w:val="auto"/>
              </w:rPr>
            </w:pPr>
            <w:r>
              <w:rPr>
                <w:rFonts w:ascii="Arial" w:cs="Arial" w:eastAsia="Arial" w:hAnsi="Arial"/>
                <w:sz w:val="13"/>
                <w:szCs w:val="13"/>
                <w:b w:val="1"/>
                <w:bCs w:val="1"/>
                <w:color w:val="auto"/>
              </w:rPr>
              <w:t>Note K.</w:t>
            </w:r>
          </w:p>
        </w:tc>
        <w:tc>
          <w:tcPr>
            <w:tcW w:w="6180" w:type="dxa"/>
            <w:vAlign w:val="bottom"/>
            <w:gridSpan w:val="2"/>
          </w:tcPr>
          <w:p>
            <w:pPr>
              <w:ind w:left="20"/>
              <w:spacing w:after="0"/>
              <w:rPr>
                <w:sz w:val="20"/>
                <w:szCs w:val="20"/>
                <w:color w:val="auto"/>
              </w:rPr>
            </w:pPr>
            <w:r>
              <w:rPr>
                <w:rFonts w:ascii="Arial" w:cs="Arial" w:eastAsia="Arial" w:hAnsi="Arial"/>
                <w:sz w:val="13"/>
                <w:szCs w:val="13"/>
                <w:b w:val="1"/>
                <w:bCs w:val="1"/>
                <w:color w:val="auto"/>
              </w:rPr>
              <w:t>Summary of Reserve for Claim Losses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980" w:type="dxa"/>
            <w:vAlign w:val="bottom"/>
            <w:gridSpan w:val="3"/>
          </w:tcPr>
          <w:p>
            <w:pPr>
              <w:ind w:left="400"/>
              <w:spacing w:after="0"/>
              <w:rPr>
                <w:sz w:val="20"/>
                <w:szCs w:val="20"/>
                <w:color w:val="auto"/>
              </w:rPr>
            </w:pPr>
            <w:r>
              <w:rPr>
                <w:rFonts w:ascii="Arial" w:cs="Arial" w:eastAsia="Arial" w:hAnsi="Arial"/>
                <w:sz w:val="13"/>
                <w:szCs w:val="13"/>
                <w:color w:val="auto"/>
              </w:rPr>
              <w:t>A summary of the reserve for claim losses for title and specialty insurance follows: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2008</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9"/>
              </w:rPr>
              <w:t>(In millions)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2,738.6</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1,419.9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1,220.6</w:t>
            </w:r>
          </w:p>
        </w:tc>
        <w:tc>
          <w:tcPr>
            <w:tcW w:w="0" w:type="dxa"/>
            <w:vAlign w:val="bottom"/>
          </w:tcPr>
          <w:p>
            <w:pPr>
              <w:spacing w:after="0"/>
              <w:rPr>
                <w:sz w:val="1"/>
                <w:szCs w:val="1"/>
                <w:color w:val="auto"/>
              </w:rPr>
            </w:pPr>
          </w:p>
        </w:tc>
      </w:tr>
      <w:tr>
        <w:trPr>
          <w:trHeight w:val="157"/>
        </w:trPr>
        <w:tc>
          <w:tcPr>
            <w:tcW w:w="6980" w:type="dxa"/>
            <w:vAlign w:val="bottom"/>
            <w:gridSpan w:val="3"/>
          </w:tcPr>
          <w:p>
            <w:pPr>
              <w:spacing w:after="0"/>
              <w:rPr>
                <w:sz w:val="20"/>
                <w:szCs w:val="20"/>
                <w:color w:val="auto"/>
              </w:rPr>
            </w:pPr>
            <w:r>
              <w:rPr>
                <w:rFonts w:ascii="Arial" w:cs="Arial" w:eastAsia="Arial" w:hAnsi="Arial"/>
                <w:sz w:val="13"/>
                <w:szCs w:val="13"/>
                <w:color w:val="auto"/>
              </w:rPr>
              <w:t>Reserves assumed/transferred(1)</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34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1,115.8</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Claim loss provision related to:</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88"/>
              </w:rPr>
              <w:t>Current year</w:t>
            </w:r>
          </w:p>
        </w:tc>
        <w:tc>
          <w:tcPr>
            <w:tcW w:w="5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423.0</w:t>
            </w:r>
          </w:p>
        </w:tc>
        <w:tc>
          <w:tcPr>
            <w:tcW w:w="34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377.9</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450.7</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Prior years</w:t>
            </w:r>
          </w:p>
        </w:tc>
        <w:tc>
          <w:tcPr>
            <w:tcW w:w="500" w:type="dxa"/>
            <w:vAlign w:val="bottom"/>
            <w:shd w:val="clear" w:color="auto" w:fill="CCEEFF"/>
          </w:tcPr>
          <w:p>
            <w:pPr>
              <w:spacing w:after="0"/>
              <w:rPr>
                <w:sz w:val="13"/>
                <w:szCs w:val="13"/>
                <w:color w:val="auto"/>
              </w:rPr>
            </w:pPr>
          </w:p>
        </w:tc>
        <w:tc>
          <w:tcPr>
            <w:tcW w:w="5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(93.6)</w:t>
            </w:r>
          </w:p>
        </w:tc>
        <w:tc>
          <w:tcPr>
            <w:tcW w:w="340" w:type="dxa"/>
            <w:vAlign w:val="bottom"/>
            <w:tcBorders>
              <w:righ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252.5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203.2</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claim loss provision</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329.4</w:t>
            </w:r>
          </w:p>
        </w:tc>
        <w:tc>
          <w:tcPr>
            <w:tcW w:w="34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630.4</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r>
        <w:trPr>
          <w:trHeight w:val="158"/>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Claims paid, net of recoupments related to:</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88"/>
              </w:rPr>
              <w:t>Current year</w:t>
            </w:r>
          </w:p>
        </w:tc>
        <w:tc>
          <w:tcPr>
            <w:tcW w:w="5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(109.6)</w:t>
            </w:r>
          </w:p>
        </w:tc>
        <w:tc>
          <w:tcPr>
            <w:tcW w:w="3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(119.4)</w:t>
            </w: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Prior years</w:t>
            </w:r>
          </w:p>
        </w:tc>
        <w:tc>
          <w:tcPr>
            <w:tcW w:w="500" w:type="dxa"/>
            <w:vAlign w:val="bottom"/>
            <w:shd w:val="clear" w:color="auto" w:fill="CCEEFF"/>
          </w:tcPr>
          <w:p>
            <w:pPr>
              <w:spacing w:after="0"/>
              <w:rPr>
                <w:sz w:val="13"/>
                <w:szCs w:val="13"/>
                <w:color w:val="auto"/>
              </w:rPr>
            </w:pPr>
          </w:p>
        </w:tc>
        <w:tc>
          <w:tcPr>
            <w:tcW w:w="5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(413.9)</w:t>
            </w:r>
          </w:p>
        </w:tc>
        <w:tc>
          <w:tcPr>
            <w:tcW w:w="340" w:type="dxa"/>
            <w:vAlign w:val="bottom"/>
            <w:tcBorders>
              <w:righ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(308.1)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(353.4)</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claims paid, net of recoupments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(523.5)</w:t>
            </w:r>
          </w:p>
        </w:tc>
        <w:tc>
          <w:tcPr>
            <w:tcW w:w="34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(427.5)</w:t>
            </w: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(454.6)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2,541.4</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2,738.6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1,419.9</w:t>
            </w:r>
          </w:p>
        </w:tc>
        <w:tc>
          <w:tcPr>
            <w:tcW w:w="0" w:type="dxa"/>
            <w:vAlign w:val="bottom"/>
          </w:tcPr>
          <w:p>
            <w:pPr>
              <w:spacing w:after="0"/>
              <w:rPr>
                <w:sz w:val="1"/>
                <w:szCs w:val="1"/>
                <w:color w:val="auto"/>
              </w:rPr>
            </w:pPr>
          </w:p>
        </w:tc>
      </w:tr>
      <w:tr>
        <w:trPr>
          <w:trHeight w:val="29"/>
        </w:trPr>
        <w:tc>
          <w:tcPr>
            <w:tcW w:w="6980" w:type="dxa"/>
            <w:vAlign w:val="bottom"/>
            <w:gridSpan w:val="3"/>
            <w:vMerge w:val="restart"/>
          </w:tcPr>
          <w:p>
            <w:pPr>
              <w:spacing w:after="0"/>
              <w:rPr>
                <w:sz w:val="20"/>
                <w:szCs w:val="20"/>
                <w:color w:val="auto"/>
              </w:rPr>
            </w:pPr>
            <w:r>
              <w:rPr>
                <w:rFonts w:ascii="Arial" w:cs="Arial" w:eastAsia="Arial" w:hAnsi="Arial"/>
                <w:sz w:val="13"/>
                <w:szCs w:val="13"/>
                <w:color w:val="auto"/>
              </w:rPr>
              <w:t>Ending balance of claim loss reserves for title insurance only</w:t>
            </w: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980" w:type="dxa"/>
            <w:vAlign w:val="bottom"/>
            <w:gridSpan w:val="3"/>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2,488.8</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2,679.0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1,322.6</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Provision for title insurance claim losses as a percentage of title insurance premiums only</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w:t>
            </w:r>
          </w:p>
        </w:tc>
        <w:tc>
          <w:tcPr>
            <w:tcW w:w="340" w:type="dxa"/>
            <w:vAlign w:val="bottom"/>
            <w:tcBorders>
              <w:right w:val="single" w:sz="8" w:color="CCEEFF"/>
            </w:tcBorders>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18.2%</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08"/>
        </w:trPr>
        <w:tc>
          <w:tcPr>
            <w:tcW w:w="8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40" w:hanging="259"/>
        <w:spacing w:after="0" w:line="276" w:lineRule="auto"/>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 2008, we assumed an estimated $1,115.8 million in additional reserves for claim losses with the acquisition of the LFG Underwriters. During 2009 we completed our evaluation of the fair value of this claims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reserve as of the acquisition date and adjusted the balance by $3.1 million to reflect our best estimate and the results of third party evaluations of the fair value of the liability.</w:t>
      </w:r>
    </w:p>
    <w:p>
      <w:pPr>
        <w:spacing w:after="0" w:line="10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continually update loss reserve estimates as new information becomes known, new loss patterns emerge, or as other contributing factors are considered and incorporated into the analysis of reserve for claim losses. A substantial portion of our reserve for claim losses is attributable to title insurance operations.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During the year ended December 31, 2009, we released excess title reserves of $74.4 million in addition to recording an average 7.25% provision for claims losses. The release of excess reserves was due to analysis of the reserve position in light of consistently lower claim payments since 2008. During the year ended December 31, 2008, we recorded a charge to the provision for title claim losses of $261.6 million resulting from adverse claim loss development on prior policy years. During the year ended December 31, 2007, we recorded charges to the provision for title claims losses of $217.2 million, resulting from adverse claim loss development on prior policy years. These charges were in addition to the provision for title insurance claim losses of 8.5% and 7.5%, for 2008 and 2007, respectively. Because reported and paid claims continued to exceed expected claims in these years, we modified our actuarial model in 2008 to more heavily weight the three most recent full years’ data on loss experience and to incorporate that data into the assumptions and factors that determine ultimate expected loss experience for all prior calendar years. In response to the unfavorable prior year development, as well as to address higher expected costs for policies issued in 2005, 2006 and 2007, the title loss provision amounts as a percentage of title premiums increased in 2008 and 2007. In response to the favorable development on prior year claims, the title loss provision amount as a percentage of title premiums decreased in 2009.</w:t>
      </w:r>
    </w:p>
    <w:p>
      <w:pPr>
        <w:spacing w:after="0" w:line="6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w:t>
      </w:r>
    </w:p>
    <w:p>
      <w:pPr>
        <w:spacing w:after="0" w:line="67"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Beginning in 2007, we began making payments on a group of related claims alleging negligence and fraud related to issuing title insurance policies and closing escrow transactions. We believed that we had the ability to recoup all of these payments, subject to a $10 million retention, from various insurance policies. Through December 31, 2007, we had paid approximately $51.9 million in claims, had received cash recoupment from insurance carriers of approximately $15.5 million and had an insurance recoverable of $31.4 million included in the Consolidated Balance Sheet. Through March 31, 2008, we had paid an additional $79.3 million in claims, had received an additional $27.5 million in cash recoupment from insurance carriers and had an insurance recoverable of $78.2 million included in the Consolidated Balance Sheet. During the remainder of 2008 and through the third quarter of 2009 there were approximately $8.2 million in claims payments and approximately $3.2 million in insurance recoveries resulting in an $83.2 million insurance recoverable included in the Consolidated Balance Sheet at that time. During September and October 2009, there were developments, including two court rulings, relating to coverages under certain insurance policies that caused us to reevaluate our position on maintaining a recorded insurance recoverable. The fact that we received an adverse ruling in our case against the insurer on our Comprehensive General Liability policy together with a reevaluation of our position by new legal counsel, caused us to reverse $63.2 million of the receivable, recorded as a charge to the provision for claim losses, during the quarter ended September 30, 2009. We also received a favorable summary judgment relating to an insurance providers’ duty to defend the Company under our Miscellaneous Professional Liability policy. In light of these developments, we did not believe it appropriate to carry more than the anticipated $20 million recovery for compensatory damages on the Miscellaneous Professional Liability policy as a receivable as of September 30, 2009. During the quarter ended December 31, 2009, the Company paid an additional $8.8 million in respect of these claims and received payments of $11.8 million relating to the Miscellaneous Professional Liability Policy and continued to negotiate with the carrier who had been found to act in bad faith under the terms of that policy. As of</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371" w:lineRule="auto"/>
        <w:rPr>
          <w:sz w:val="20"/>
          <w:szCs w:val="20"/>
          <w:color w:val="auto"/>
        </w:rPr>
      </w:pPr>
      <w:r>
        <w:rPr>
          <w:rFonts w:ascii="Arial" w:cs="Arial" w:eastAsia="Arial" w:hAnsi="Arial"/>
          <w:sz w:val="11"/>
          <w:szCs w:val="11"/>
          <w:color w:val="auto"/>
        </w:rPr>
        <w:t>December 31, 2009, we carried an $8.2 million receivable related to these coverages. Subsequent to December 31, 2009, we reached a settlement agreement with the same carrier for an additional $16.2 million, representing the remaining $8.2 million receivable and $8 million in compensatory damages. The $16.2 million settlement amount was received in February 2010.</w:t>
      </w:r>
    </w:p>
    <w:p>
      <w:pPr>
        <w:spacing w:after="0" w:line="8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L.</w:t>
      </w:r>
      <w:r>
        <w:rPr>
          <w:sz w:val="20"/>
          <w:szCs w:val="20"/>
          <w:color w:val="auto"/>
        </w:rPr>
        <w:tab/>
      </w:r>
      <w:r>
        <w:rPr>
          <w:rFonts w:ascii="Arial" w:cs="Arial" w:eastAsia="Arial" w:hAnsi="Arial"/>
          <w:sz w:val="11"/>
          <w:szCs w:val="11"/>
          <w:b w:val="1"/>
          <w:bCs w:val="1"/>
          <w:color w:val="auto"/>
        </w:rPr>
        <w:t>Commitments and Contingencies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ordinary course of business, we are involved in various pending and threatened litigation matters related to our operations, some of which include claims for punitive or exemplary damages. This customary litigation includes but is not limited to a wide variety of cases arising out of or related to title and escrow claims, for which we make provisions through our loss reserves. We believe that no actions, other than those listed below, depart from customary litigation incidental to our business. As background to the disclosure below, please note the following:</w:t>
      </w:r>
    </w:p>
    <w:p>
      <w:pPr>
        <w:spacing w:after="0" w:line="70" w:lineRule="exact"/>
        <w:rPr>
          <w:sz w:val="20"/>
          <w:szCs w:val="20"/>
          <w:color w:val="auto"/>
        </w:rPr>
      </w:pPr>
    </w:p>
    <w:p>
      <w:pPr>
        <w:ind w:left="1280" w:hanging="190"/>
        <w:spacing w:after="0" w:line="282" w:lineRule="auto"/>
        <w:tabs>
          <w:tab w:leader="none" w:pos="1280" w:val="left"/>
        </w:tabs>
        <w:numPr>
          <w:ilvl w:val="0"/>
          <w:numId w:val="65"/>
        </w:numPr>
        <w:rPr>
          <w:rFonts w:ascii="Arial" w:cs="Arial" w:eastAsia="Arial" w:hAnsi="Arial"/>
          <w:sz w:val="12"/>
          <w:szCs w:val="12"/>
          <w:b w:val="1"/>
          <w:bCs w:val="1"/>
          <w:color w:val="auto"/>
        </w:rPr>
      </w:pPr>
      <w:r>
        <w:rPr>
          <w:rFonts w:ascii="Arial" w:cs="Arial" w:eastAsia="Arial" w:hAnsi="Arial"/>
          <w:sz w:val="12"/>
          <w:szCs w:val="12"/>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49" w:lineRule="exact"/>
        <w:rPr>
          <w:rFonts w:ascii="Arial" w:cs="Arial" w:eastAsia="Arial" w:hAnsi="Arial"/>
          <w:sz w:val="12"/>
          <w:szCs w:val="12"/>
          <w:b w:val="1"/>
          <w:bCs w:val="1"/>
          <w:color w:val="auto"/>
        </w:rPr>
      </w:pPr>
    </w:p>
    <w:p>
      <w:pPr>
        <w:ind w:left="1280" w:right="20" w:hanging="190"/>
        <w:spacing w:after="0" w:line="281" w:lineRule="auto"/>
        <w:tabs>
          <w:tab w:leader="none" w:pos="1280" w:val="left"/>
        </w:tabs>
        <w:numPr>
          <w:ilvl w:val="0"/>
          <w:numId w:val="65"/>
        </w:numPr>
        <w:rPr>
          <w:rFonts w:ascii="Arial" w:cs="Arial" w:eastAsia="Arial" w:hAnsi="Arial"/>
          <w:sz w:val="12"/>
          <w:szCs w:val="12"/>
          <w:b w:val="1"/>
          <w:bCs w:val="1"/>
          <w:color w:val="auto"/>
        </w:rPr>
      </w:pPr>
      <w:r>
        <w:rPr>
          <w:rFonts w:ascii="Arial" w:cs="Arial" w:eastAsia="Arial" w:hAnsi="Arial"/>
          <w:sz w:val="12"/>
          <w:szCs w:val="12"/>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our experience, monetary demands in plaintiffs’ court pleadings bear little relation to the ultimate loss, if any, that we may experience. None of the cases described below includes a statement as to the dollar amount of damages demanded. Instead, each of the cases includes a demand in an amount to be proved at trial.</w:t>
      </w:r>
    </w:p>
    <w:p>
      <w:pPr>
        <w:spacing w:after="0" w:line="48" w:lineRule="exact"/>
        <w:rPr>
          <w:rFonts w:ascii="Arial" w:cs="Arial" w:eastAsia="Arial" w:hAnsi="Arial"/>
          <w:sz w:val="12"/>
          <w:szCs w:val="12"/>
          <w:b w:val="1"/>
          <w:bCs w:val="1"/>
          <w:color w:val="auto"/>
        </w:rPr>
      </w:pPr>
    </w:p>
    <w:p>
      <w:pPr>
        <w:ind w:left="1280" w:right="140" w:hanging="190"/>
        <w:spacing w:after="0" w:line="264" w:lineRule="auto"/>
        <w:tabs>
          <w:tab w:leader="none" w:pos="1280" w:val="left"/>
        </w:tabs>
        <w:numPr>
          <w:ilvl w:val="0"/>
          <w:numId w:val="65"/>
        </w:numPr>
        <w:rPr>
          <w:rFonts w:ascii="Arial" w:cs="Arial" w:eastAsia="Arial" w:hAnsi="Arial"/>
          <w:sz w:val="13"/>
          <w:szCs w:val="13"/>
          <w:b w:val="1"/>
          <w:bCs w:val="1"/>
          <w:color w:val="auto"/>
        </w:rPr>
      </w:pPr>
      <w:r>
        <w:rPr>
          <w:rFonts w:ascii="Arial" w:cs="Arial" w:eastAsia="Arial" w:hAnsi="Arial"/>
          <w:sz w:val="13"/>
          <w:szCs w:val="13"/>
          <w:color w:val="auto"/>
        </w:rPr>
        <w:t>For the reasons specified above, it is not possible to make meaningful estimates of the amount or range of loss that could result from these matters at this time. We review these matters on an ongoing basis when making accrual and disclosure decisions. When assessing reasonably possible and probable outcomes, management bases its decision on its assessment of the ultimate outcome following all appeals.</w:t>
      </w:r>
    </w:p>
    <w:p>
      <w:pPr>
        <w:spacing w:after="0" w:line="57" w:lineRule="exact"/>
        <w:rPr>
          <w:rFonts w:ascii="Arial" w:cs="Arial" w:eastAsia="Arial" w:hAnsi="Arial"/>
          <w:sz w:val="13"/>
          <w:szCs w:val="13"/>
          <w:b w:val="1"/>
          <w:bCs w:val="1"/>
          <w:color w:val="auto"/>
        </w:rPr>
      </w:pPr>
    </w:p>
    <w:p>
      <w:pPr>
        <w:ind w:left="1280" w:right="100" w:hanging="190"/>
        <w:spacing w:after="0" w:line="276" w:lineRule="auto"/>
        <w:tabs>
          <w:tab w:leader="none" w:pos="1280" w:val="left"/>
        </w:tabs>
        <w:numPr>
          <w:ilvl w:val="0"/>
          <w:numId w:val="65"/>
        </w:numPr>
        <w:rPr>
          <w:rFonts w:ascii="Arial" w:cs="Arial" w:eastAsia="Arial" w:hAnsi="Arial"/>
          <w:sz w:val="13"/>
          <w:szCs w:val="13"/>
          <w:b w:val="1"/>
          <w:bCs w:val="1"/>
          <w:color w:val="auto"/>
        </w:rPr>
      </w:pPr>
      <w:r>
        <w:rPr>
          <w:rFonts w:ascii="Arial" w:cs="Arial" w:eastAsia="Arial" w:hAnsi="Arial"/>
          <w:sz w:val="13"/>
          <w:szCs w:val="13"/>
          <w:color w:val="auto"/>
        </w:rPr>
        <w:t>We intend to vigorously defend each of these matters. In the opinion of our management, while some of these matters may be material to our operating results for any particular period if an unfavorable outcome results, none will have a material adverse effect on our overall financial condition.</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There are class actions pending against several title insurance companies, including Security Union Title Insurance Company, Fidelity National Title Insurance Company, Chicago Title Insurance Company, Ticor Title Insurance Company of Florida, Commonwealth Land Title Insurance Company, Lawyers Title Insurance Corporation, and Ticor Title Insurance Company, alleging improper premiums were charged for title insurance.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These cases allege that the named defendant companies failed to provide notice of premium discounts to consumers refinancing their mortgages, and/or failed to give discounts in refinancing transactions in violation of the filed rates.</w:t>
      </w:r>
    </w:p>
    <w:p>
      <w:pPr>
        <w:spacing w:after="0" w:line="5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In February 2008, thirteen putative class actions were commenced against several title insurance companies, including Fidelity National Title Insurance Company, Chicago Title Insurance Company, Security Union Title Insurance Company, Alamo Title Insurance Company, Ticor Title Insurance Company of Florida, Commonwealth Land Title Insurance Company, LandAmerica New Jersey Title Insurance Company (now Continental Title Insurance Company), Lawyers Title Insurance Corporation, Transnation Title Insurance Company (which has merged into Lawyers Title Insurance Corporation), and Ticor Title Insurance Company (collectively, the “Fidelity Affiliates”). The complaints also name Fidelity National Financial, Inc.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numerous complaints pending alleging that the Fidelity Defendants conspired with their competitors to unlawfully inflate rates for title insurance in every major market in the United States. A motion was filed before the Multidistrict Litigation Panel to consolidate and/or coordinate these actions in the United States District Court in the Southern District of New York. However, that motion was denied. Where there are multiple cases in one state they have been consolidated before one district court judge in each state and scheduled for the filing of consolidated complaints and motion practice. In 2009, the complaints filed in Texas and New York were dismissed with prejudice, but the plaintiffs have appealed. On February 11, 2010, the Second Circuit Court of Appeals in a summary opinion affirmed the dismissal of the complaint in so far as it alleged antitrust violations. A count of the complaint alleging RESPA violations remains, however we believe it is meritless and will be dismissed on motion. The complaints in Arkansas and Washington were dismissed with leave to amend, but the plaintiffs have not amended. The complaint in California was dismissed with leave to amend, the plaintiffs have amended, and the companies have moved to dismiss the amended complaint and the court denied the motion. The case will proceed on a state consumer protection cause of action. The complaint in Delaware was dismissed, but the plaintiffs were permitted to amend to state a claim for injunctive relief. The plaintiffs amended, and the defendants have moved to dismiss the amended complaint. The damage claims in the Pennsylvania cases were dismissed, but the plaintiffs were permitted to pursue injunctive relief. The plaintiffs were permitted limited discovery and a schedule for summary judgment briefing after the first of the year has been set. The magistrate has recommended that the Ohio complaint be dismissed. On December 17, 2009 the District Court Judge heard motions on the recommendation, and permitted the filing of additional briefs on January 25, 2010. On February 2, 2010, the District Court judge recused himself, and the matter has been transferred to a new judge. In New Jersey, the Company’s motion to dismiss the amended complaint remains under submission. In West Virginia, the case has been placed on the inactive list pending the resolution of the LandAmerica bankruptcy. The complaints filed in Florida and Massachusetts were all voluntarily dismissed.</w:t>
      </w:r>
    </w:p>
    <w:p>
      <w:pPr>
        <w:spacing w:after="0" w:line="6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September 24, 2007 a third party complaint was filed in the In Re Ameriquest Mortgage Lending Practices Litigation in the United States District Court for the Northern District of Illinois by Ameriquest Mortgage Company (“Ameriquest”) and Argent Mortgage Company (“Argent”) against numerous title insurers and agents (the “Title Insurer Defendants”), including Chicago Title Company, Fidelity National Title Company, Fidelity National Title Insurance Company, American Pioneer Title Insurance Company (now known as Ticor Title Insurance Company of Florida), Chicago Title of Michigan, Fidelity National Title Insurance</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Company of New York, Transnation Title Insurance Company (now known as Lawyers Title Insurance Corporation), Commonwealth Land Title Insurance Company, Commonwealth Land Title Company, Lawyers Title Insurance Corporation, Chicago Title Insurance Company, Alamo Title Company, and Ticor Title Insurance Company (collectively, the “FNF Affiliates”). The third party complaint alleges that Ameriquest and Argent have been sued by a class of borrowers (and by numerous persons who have preemptively opted out of any class that may be certified) alleging that the two lenders violated the Truth in Lending Act (“TILA”) by failing to comply with the notice of right to cancel provisions and making misrepresentations in lending to the borrowers, who now seek money damages. Ameriquest and Argent each alleges that the FNF Affiliates contracted and warranted to close these loans in conformity with the lender’s instructions which correctly followed the requirements of TILA and contained no misrepresentations; therefore, if Ameriquest and Argent are liable to the class or to the opt-out plaintiffs, then the FNF Affiliates are liable to them for failing to close the lending transactions as agreed. Ameriquest and Argent seek to recover the cost of resolving the class action and other cases against them including their attorney’s fees and costs in the action. The Title Insurer Defendants organized to form a defense group and, as requested by the court, are exploring the possibility of filing a single collective response. The Seventh Circuit, in which circuit these matters are pending, ruled in a separate case that TILA violations as alleged in these complaints could not be the subject of a class action seeking rescission, though the plaintiffs in the case against Ameriquest and Argent have not yet sought class certification and so the court in their case has not yet ruled on the applicability of the Court of Appeals’ decision (which, in any event, would not affect the cases of individual plaintiffs). Ameriquest filed its fifth amended third party complaint against the defendants, and the Title Insurer Defendants moved to dismiss. On January 19, 2010 the court granted the motion as to the negligence claims, but denied the motion as to the contract claims and negligent misrepresentation claims. The Title Insurer Defendants will answer the Fifth Amended complaint.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class actions pending against Fidelity National Financial, Inc., Fidelity National Title Group and several title insurance companies, including Fidelity National</w:t>
      </w:r>
    </w:p>
    <w:p>
      <w:pPr>
        <w:spacing w:after="0" w:line="15" w:lineRule="exact"/>
        <w:rPr>
          <w:sz w:val="20"/>
          <w:szCs w:val="20"/>
          <w:color w:val="auto"/>
        </w:rPr>
      </w:pPr>
    </w:p>
    <w:p>
      <w:pPr>
        <w:ind w:left="680"/>
        <w:spacing w:after="0" w:line="276" w:lineRule="auto"/>
        <w:rPr>
          <w:sz w:val="20"/>
          <w:szCs w:val="20"/>
          <w:color w:val="auto"/>
        </w:rPr>
      </w:pPr>
      <w:r>
        <w:rPr>
          <w:rFonts w:ascii="Arial" w:cs="Arial" w:eastAsia="Arial" w:hAnsi="Arial"/>
          <w:sz w:val="12"/>
          <w:szCs w:val="12"/>
          <w:color w:val="auto"/>
        </w:rPr>
        <w:t>Title Insurance Company, Chicago Title Insurance Company, Lawyers Title Insurance Corporation, Transnation Title Insurance Company (which has merged into Lawyers Title Insurance Corporation), United Title Company, Inc., and Ticor Title Insurance Company, alleging overcharges for government recording fees. These cases allege that the named defendant companies charged fees in excess of the fees charged by government entities in closing transactions and charged for documents releasing encumbrances that were never recorded by us. These suits seek various remedies including compensatory damages, prejudgment interest, punitive damages and attorney’s fees. One case filed in Missouri (Hartis) in the summer of 2008 but removed to the Federal District Court in Missouri, seeks to certify a national class against Chicago Title Insurance Company. Although the Federal District Court in Kansas refused to certify a national class previously filed by the same plaintiff’s attorneys, this suit seeks to overcome that Court’s objections to certification. In September 2009, we filed a motion to deny class certification. And, although similar cases filed in Indiana were decertified by the appellate court and trial court, the Missouri courts have refused to decertify a case now pending, which has been assigned to a judge and set for trial on March 1, 2010. On January 26, 2009, a recording fee class action was filed in New Jersey. On January 30, 2009, the court granted the named defendants’ motion for summary judgment in the recording fee class action in the Federal District Court in Texas, which alleged recording fee overcharges in five states. The plaintiff has appealed this decision and oral argument was heard in the Fifth Circuit Court of Appeals on November 2, 2009. On January 15, 2010, the Fifth Circuit Court of Appeals affirmed the Federal District Court’s decision to grant the named defendants’ motion for summary judgment.</w:t>
      </w:r>
    </w:p>
    <w:p>
      <w:pPr>
        <w:spacing w:after="0" w:line="65"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There are class actions pending against Fidelity National Title Company, Fidelity National Title Company of Washington, Inc., and Chicago Title Insurance Company, alleging that the named defendants in each case charged unnecessary reconveyance fees (Cornelius, Bushbeck) without performing any separate service for those fees which was not already included as a service for the “escrow fee.” Additionally, Cornelius alleges that the named defendants wrongfully earned interest or other benefits on escrowed funds from the time funds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were deposited into escrow until any disbursement checks cleared the account. Motions for class certification were filed in both of these cases, and we then moved for summary judgment in both cases and to continue the briefing of the class certification motions until the summary judgment motions were determined. Both courts granted the motions to continue class certification briefing until the summary judgment motions were determined and those motions are now fully briefed and submitted.</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class action has been filed in state court in Hawaii against Fidelity National Title and Escrow of Hawaii, Inc. alleging the Company wrongfully released funds from escrow thereby engaging in unfair or deceptive trade practices in violation of state statute. The suit seeks damages, treble damages, prejudgment interest, attorney’s fees and costs. We answered the complaint and are investigating the allegations informally and through discovery.</w:t>
      </w:r>
    </w:p>
    <w:p>
      <w:pPr>
        <w:spacing w:after="0" w:line="67" w:lineRule="exact"/>
        <w:rPr>
          <w:sz w:val="20"/>
          <w:szCs w:val="20"/>
          <w:color w:val="auto"/>
        </w:rPr>
      </w:pPr>
    </w:p>
    <w:p>
      <w:pPr>
        <w:jc w:val="both"/>
        <w:ind w:left="680" w:right="540" w:firstLine="399"/>
        <w:spacing w:after="0" w:line="296" w:lineRule="auto"/>
        <w:rPr>
          <w:sz w:val="20"/>
          <w:szCs w:val="20"/>
          <w:color w:val="auto"/>
        </w:rPr>
      </w:pPr>
      <w:r>
        <w:rPr>
          <w:rFonts w:ascii="Arial" w:cs="Arial" w:eastAsia="Arial" w:hAnsi="Arial"/>
          <w:sz w:val="12"/>
          <w:szCs w:val="12"/>
          <w:color w:val="auto"/>
        </w:rPr>
        <w:t>A class action filed in District Court in Nevada has been amended to allege a cause of action for breach of fiduciary duty in handling escrows against Commonwealth Land Title Insurance Company and Fidelity National Title Agency of Nevada, Inc. The complaint seeks compensatory and punitive damages and attorney’s fees. We are investigating the allegations and have moved for a more definite statement of the allegations against us, which was opposed by plaintiffs and is now fully briefed and submitted.</w:t>
      </w:r>
    </w:p>
    <w:p>
      <w:pPr>
        <w:spacing w:after="0" w:line="50"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On December 3, 2007, a former title officer in California filed a putative class action suit against Lawyers Title Company, and LandAmerica Financial Group, Inc (collectively, the “Defendants”). The lawsuits were later amended to include Commonwealth Land Title Company and Commonwealth Land Title Insurance Company as defendants in the Superior Court of California for Los Angeles County. A similar putative class action was filed against the Defendants by former escrow officers in California, in the same court on December 12, 2007. The plaintiffs’ complaints in both lawsuits allege failure to pay overtime and other related violations of the California Labor Code, as well as unfair business practices under the California Business and Professions Code § 17200 on behalf of all current and former California title and escrow officers. The underlying basis for both lawsuits is an alleged misclassification of title and escrow officers as “exempt” employees for purposes of the California Labor Code, which resulted in a failure to pay overtime and provide for required meal and rest breaks. Although such employees were reclassified as “non-exempt” beginning on January 1, 2006, the complaints allege similar violations of the California Labor Code even after that date for alleged “off-the-clock” work. The plaintiffs’ complaints in both cases demand an unspecified amount of back wages, statutory penalties, declaratory and injunctive relief, punitive damages, interest, and attorneys’ fees and costs. The plaintiffs have yet to file a motion for class certification, as the parties have agreed to mediation. A mediation date has not yet been set. Should further litigation prove necessary following the mediation, the Defendants believe that they have meritorious defenses both to class certification and to liability.</w:t>
      </w:r>
    </w:p>
    <w:p>
      <w:pPr>
        <w:spacing w:after="0" w:line="6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Georgia Insurance Commissioner and the Company are engaged in discussions regarding market conduct matters involving rates, closing protection letters and the licensing of agents. Closing protection letters are standardized indemnity agreements given to individually named lenders and specify conditions under, and the extent to which, a title insurer will accept liability for the acts or omissions of its agents connected with the closing of insured real estate transactions. These discussions are in the early stage and we do not know the impact the outcome thereof will have on the Company, if any.</w:t>
      </w:r>
    </w:p>
    <w:p>
      <w:pPr>
        <w:spacing w:after="0" w:line="7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Various governmental entities are studying the title insurance product, market, pricing, business practices, and potential regulatory and legislative changes. We receive inquiries and requests for information from state insurance departments, attorneys general and other regulatory agencies from time to time about various matters relating to our business. Sometimes these take the form of civil investigative subpoenas or market conduct examinations. We attempt to cooperate with all such inquiries. From time to time, we are assessed fines for violations of regulations or other matters or enter into settlements with such authorities which require us to pay money or take other actions.</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We have a contingent liability relating to proper disposition of these balances for our customers, which amounted to $4.2 billion at December 31, 2009. As a result of holding these customers’ assets in escrow, we have ongoing programs for realizing economic benefits during the year through favorable borrowing and vendor arrangements with various banks. There were no investments or loans outstanding as of December 31, 2009 and 2008 related to these arrangements.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560" w:type="dxa"/>
            <w:vAlign w:val="bottom"/>
          </w:tcPr>
          <w:p>
            <w:pPr>
              <w:ind w:left="400"/>
              <w:spacing w:after="0"/>
              <w:rPr>
                <w:sz w:val="20"/>
                <w:szCs w:val="20"/>
                <w:color w:val="auto"/>
              </w:rPr>
            </w:pPr>
            <w:r>
              <w:rPr>
                <w:rFonts w:ascii="Arial" w:cs="Arial" w:eastAsia="Arial" w:hAnsi="Arial"/>
                <w:sz w:val="13"/>
                <w:szCs w:val="13"/>
                <w:color w:val="auto"/>
              </w:rPr>
              <w:t>Future minimum operating lease payments are as follows (dollars in millions):</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00"/>
        </w:trPr>
        <w:tc>
          <w:tcPr>
            <w:tcW w:w="9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7"/>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$ 135.5</w:t>
            </w:r>
          </w:p>
        </w:tc>
      </w:tr>
      <w:tr>
        <w:trPr>
          <w:trHeight w:val="157"/>
        </w:trPr>
        <w:tc>
          <w:tcPr>
            <w:tcW w:w="9560" w:type="dxa"/>
            <w:vAlign w:val="bottom"/>
          </w:tcPr>
          <w:p>
            <w:pPr>
              <w:spacing w:after="0"/>
              <w:rPr>
                <w:sz w:val="20"/>
                <w:szCs w:val="20"/>
                <w:color w:val="auto"/>
              </w:rPr>
            </w:pPr>
            <w:r>
              <w:rPr>
                <w:rFonts w:ascii="Arial" w:cs="Arial" w:eastAsia="Arial" w:hAnsi="Arial"/>
                <w:sz w:val="13"/>
                <w:szCs w:val="13"/>
                <w:color w:val="auto"/>
              </w:rPr>
              <w:t>2011</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99.6</w:t>
            </w:r>
          </w:p>
        </w:tc>
      </w:tr>
      <w:tr>
        <w:trPr>
          <w:trHeight w:val="157"/>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66.2</w:t>
            </w:r>
          </w:p>
        </w:tc>
      </w:tr>
      <w:tr>
        <w:trPr>
          <w:trHeight w:val="157"/>
        </w:trPr>
        <w:tc>
          <w:tcPr>
            <w:tcW w:w="9560" w:type="dxa"/>
            <w:vAlign w:val="bottom"/>
          </w:tcPr>
          <w:p>
            <w:pPr>
              <w:spacing w:after="0"/>
              <w:rPr>
                <w:sz w:val="20"/>
                <w:szCs w:val="20"/>
                <w:color w:val="auto"/>
              </w:rPr>
            </w:pPr>
            <w:r>
              <w:rPr>
                <w:rFonts w:ascii="Arial" w:cs="Arial" w:eastAsia="Arial" w:hAnsi="Arial"/>
                <w:sz w:val="13"/>
                <w:szCs w:val="13"/>
                <w:color w:val="auto"/>
              </w:rPr>
              <w:t>2013</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34.8</w:t>
            </w:r>
          </w:p>
        </w:tc>
      </w:tr>
      <w:tr>
        <w:trPr>
          <w:trHeight w:val="157"/>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20.8</w:t>
            </w:r>
          </w:p>
        </w:tc>
      </w:tr>
      <w:tr>
        <w:trPr>
          <w:trHeight w:val="157"/>
        </w:trPr>
        <w:tc>
          <w:tcPr>
            <w:tcW w:w="9560" w:type="dxa"/>
            <w:vAlign w:val="bottom"/>
          </w:tcPr>
          <w:p>
            <w:pPr>
              <w:spacing w:after="0"/>
              <w:rPr>
                <w:sz w:val="20"/>
                <w:szCs w:val="20"/>
                <w:color w:val="auto"/>
              </w:rPr>
            </w:pPr>
            <w:r>
              <w:rPr>
                <w:rFonts w:ascii="Arial" w:cs="Arial" w:eastAsia="Arial" w:hAnsi="Arial"/>
                <w:sz w:val="13"/>
                <w:szCs w:val="13"/>
                <w:color w:val="auto"/>
              </w:rPr>
              <w:t>Thereafter</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94.3</w:t>
            </w:r>
          </w:p>
        </w:tc>
      </w:tr>
      <w:tr>
        <w:trPr>
          <w:trHeight w:val="20"/>
        </w:trPr>
        <w:tc>
          <w:tcPr>
            <w:tcW w:w="9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956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operating lease payments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$ 451.2</w:t>
            </w:r>
          </w:p>
        </w:tc>
      </w:tr>
      <w:tr>
        <w:trPr>
          <w:trHeight w:val="29"/>
        </w:trPr>
        <w:tc>
          <w:tcPr>
            <w:tcW w:w="9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Rent expense incurred under operating leases during the years ended December 31, 2009, 2008 and 2007 was $153.1 million, $138.0 million, and $163.9 million, respectively. Rent expense in 2009, 2008, and 2007 includes abandoned lease charges related to office closures of $5.3 million, $23.4 million, and $13.0 million, respectively.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party to an off-balance sheet financing arrangement (commonly referred to as a “synthetic lease”). The owner/lessor in this arrangement acquired land and various real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property improvements associated with new construction of an office building in Jacksonville, Florida, that are part of FNF’s corporate campus and headquarters. The lease expires 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June 28, 2011, with renewal subject to consent of the lessor and the lenders. The lessor is a third-party limited liability company. The synthetic lease facility provides for amounts up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$75.0 million. As of December 31, 2009, the full $75.0 million had been drawn on the facility to finance land costs and related fees and expenses and the outstanding balance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$70.1 million. The lease includes guarantees by us of up to 86.7% of the outstanding lease balance, and options to purchase the facilities at the outstanding lease balance. The guarantee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becomes effective if we decline to purchase the facilities at the end of the lease and also decline to renew the lease. The lessor financed the acquisition of the facilities through funding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provided by third-party financial institutions. We have no affiliation or relationship with the lessor or any of its employees, directors or affiliates, and transactions with the lessor are limited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to the operating lease agreements and the associated rent expense that have been included in other operating expenses in the Consolidated Statements of Operations. We do not believe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lessor is a variable interest entity, as defined in the FASB standard on consolidation of variable interest entities.</w:t>
      </w:r>
    </w:p>
    <w:p>
      <w:pPr>
        <w:spacing w:after="0" w:line="16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M.</w:t>
      </w:r>
      <w:r>
        <w:rPr>
          <w:sz w:val="20"/>
          <w:szCs w:val="20"/>
          <w:color w:val="auto"/>
        </w:rPr>
        <w:tab/>
      </w:r>
      <w:r>
        <w:rPr>
          <w:rFonts w:ascii="Arial" w:cs="Arial" w:eastAsia="Arial" w:hAnsi="Arial"/>
          <w:sz w:val="11"/>
          <w:szCs w:val="11"/>
          <w:b w:val="1"/>
          <w:bCs w:val="1"/>
          <w:color w:val="auto"/>
        </w:rPr>
        <w:t>Regulation and Equity</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insurance subsidiaries, including title insurers, property and casualty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Since we are governed by both state and federal governments and the applicable insurance laws and regulations are constantly subject to change, it is not possible to predict the potential effects on our insurance operations, particularly the Fidelity National Title Group segment, of any laws or regulations that may become more restrictive in the future or if new restrictive laws will be enacted.</w:t>
      </w:r>
    </w:p>
    <w:p>
      <w:pPr>
        <w:spacing w:after="0" w:line="67"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2009, the combined statutory unearned premium reserve required and reported for our title insurers was $1,978.3 million. In addition to statutory unearned premium reserves, each of our insurers maintains reserves for known claims and surplus funds for policyholder protection and business operations.</w:t>
      </w:r>
    </w:p>
    <w:p>
      <w:pPr>
        <w:spacing w:after="0" w:line="55"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 and certain of these examinations are currently ongoing.</w:t>
      </w:r>
    </w:p>
    <w:p>
      <w:pPr>
        <w:spacing w:after="0" w:line="67" w:lineRule="exact"/>
        <w:rPr>
          <w:sz w:val="20"/>
          <w:szCs w:val="20"/>
          <w:color w:val="auto"/>
        </w:rPr>
      </w:pPr>
    </w:p>
    <w:p>
      <w:pPr>
        <w:jc w:val="both"/>
        <w:ind w:left="680" w:right="320" w:firstLine="399"/>
        <w:spacing w:after="0" w:line="260" w:lineRule="auto"/>
        <w:rPr>
          <w:sz w:val="20"/>
          <w:szCs w:val="20"/>
          <w:color w:val="auto"/>
        </w:rPr>
      </w:pPr>
      <w:r>
        <w:rPr>
          <w:rFonts w:ascii="Arial" w:cs="Arial" w:eastAsia="Arial" w:hAnsi="Arial"/>
          <w:sz w:val="13"/>
          <w:szCs w:val="13"/>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2009, $2,435.3 million of our net assets are restricted from dividend payments without prior approval from the Departments of Insurance. During 2010, our title insurers can pay or make distributions to us of approximately $289.4 million, without prior approval.</w:t>
      </w:r>
    </w:p>
    <w:p>
      <w:pPr>
        <w:spacing w:after="0" w:line="7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The combined statutory capital and surplus of our title insurers was $860.9 million and $634.9 million as of December 31, 2009 and 2008, respectively. The combined statutory net earnings of our title insurance subsidiaries were $270.4 million, $(170.5), and $204.8 million for the years ended December 31, 2009, 2008, and 2007, respectively. Combined statutory net earnings for 2009 and 2008 includes the activity of the LFG Underwriters.</w:t>
      </w:r>
    </w:p>
    <w:p>
      <w:pPr>
        <w:spacing w:after="0" w:line="67"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Pursuant to statutory requirements of the various states in which our insurers are domiciled, such insurers must maintain certain levels of minimum capital and surplus. Each of our insurers has complied with the minimum statutory requirements as of December 31, 2009.</w:t>
      </w:r>
    </w:p>
    <w:p>
      <w:pPr>
        <w:spacing w:after="0" w:line="59" w:lineRule="exact"/>
        <w:rPr>
          <w:sz w:val="20"/>
          <w:szCs w:val="20"/>
          <w:color w:val="auto"/>
        </w:rPr>
      </w:pPr>
    </w:p>
    <w:p>
      <w:pPr>
        <w:ind w:left="680" w:right="140" w:firstLine="399"/>
        <w:spacing w:after="0" w:line="280" w:lineRule="auto"/>
        <w:rPr>
          <w:sz w:val="20"/>
          <w:szCs w:val="20"/>
          <w:color w:val="auto"/>
        </w:rPr>
      </w:pPr>
      <w:r>
        <w:rPr>
          <w:rFonts w:ascii="Arial" w:cs="Arial" w:eastAsia="Arial" w:hAnsi="Arial"/>
          <w:sz w:val="12"/>
          <w:szCs w:val="12"/>
          <w:color w:val="auto"/>
        </w:rPr>
        <w:t>Our underwritten title companies are also subject to certain regulation by insurance regulatory or banking authorities, primarily relating to minimum net worth. Minimum net worth requirements for each underwritten title company are as follows: $7.5 million for Fidelity National Title Company, $2.5 million for Fidelity National Title Company of California,</w:t>
      </w:r>
    </w:p>
    <w:p>
      <w:pPr>
        <w:ind w:left="680" w:right="40"/>
        <w:spacing w:after="0" w:line="264" w:lineRule="auto"/>
        <w:rPr>
          <w:sz w:val="20"/>
          <w:szCs w:val="20"/>
          <w:color w:val="auto"/>
        </w:rPr>
      </w:pPr>
      <w:r>
        <w:rPr>
          <w:rFonts w:ascii="Arial" w:cs="Arial" w:eastAsia="Arial" w:hAnsi="Arial"/>
          <w:sz w:val="13"/>
          <w:szCs w:val="13"/>
          <w:color w:val="auto"/>
        </w:rPr>
        <w:t>$3.0 million for Chicago Title Company, and $0.4 million for Ticor Title Company of California, Commonwealth Land Title Company, and Lawyers Title Company. These underwritten title companies are in compliance with all of their respective minimum net worth requirements at December 31, 2009.</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On April 14, 2009, we offered 15,800,000 shares of our common stock at an offering price of $19.00 per share, pursuant to an effective registration statement previously filed with the Securities and Exchange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Commission. The underwriters were granted and chose to exercise an option to purchase additional shares equal to 15% of the offering, or 2,370,000 shares, at the offering price. A total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18,170,000 shares were issued on April 20, 2009, for net proceeds of approximately $331.4 million. The proceeds were used as follows: $135.0 million to repay borrowings under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 billion revolving credit facility, $71.5 million to repurchase our public bonds, $50.8 million to repurchase shares of our common stock, $25.0 million as part of a $57.1 million capital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infusion into Lawyers Title and Commonwealth Land Title, and the remainder for general corporate purposes.</w:t>
      </w:r>
    </w:p>
    <w:p>
      <w:pPr>
        <w:spacing w:after="0" w:line="8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2"/>
          <w:szCs w:val="12"/>
          <w:color w:val="auto"/>
        </w:rPr>
        <w:t>On October 25, 2006, the Board of Directors approved a three-year stock repurchase program under which we can repurchase up to 25 million shares of our common stock. On July 21, 2009, the Board of Directors approved a new three-year stock repurchase program under which we can repurchase up to 15 million shares through July 31, 2012. We may make repurchases from time to time in the open market, in block purchases or in privately negotiated transactions, depending on market conditions and other factors. Since the original commencement of the plan adopted in October 2006, and through September 2009, we repurchased a total of 17,161,120 shares for $286.2 million, or an average of $16.68 per share. This includes 4,320,750 shares repurchased in 2009 for $57.1 million, or an average of $13.21 per share and 3,165,470 repurchases in 2008 for $46.0 million, or $14.53 per share and</w:t>
      </w:r>
    </w:p>
    <w:p>
      <w:pPr>
        <w:ind w:left="680" w:right="40"/>
        <w:spacing w:after="0" w:line="284" w:lineRule="auto"/>
        <w:rPr>
          <w:sz w:val="20"/>
          <w:szCs w:val="20"/>
          <w:color w:val="auto"/>
        </w:rPr>
      </w:pPr>
      <w:r>
        <w:rPr>
          <w:rFonts w:ascii="Arial" w:cs="Arial" w:eastAsia="Arial" w:hAnsi="Arial"/>
          <w:sz w:val="12"/>
          <w:szCs w:val="12"/>
          <w:color w:val="auto"/>
        </w:rPr>
        <w:t>9,675,000 shares repurchased in 2007 for a total of $183.1 million, or $18.93 per share. In October 2009, we began repurchasing shares under the program approved July 21, 2009, and, through December 31, 2009, we repurchased a total of 1,294,400 shares for $17.9 million, or an average of $13.83 per share. Subsequent to year-end, on January 4, 2010, we purchased 859,866 shares of our common stock for $11.6 million from the administrator of two of our former subsidiaries employee benefit plans. Because we were actively repurchasing shares of our stock on the open market as part of the stock repurchase plan, we agreed to purchase the shares at a price of $13.46 per share, the market price at the time of purchase.</w:t>
      </w:r>
    </w:p>
    <w:p>
      <w:pPr>
        <w:spacing w:after="0" w:line="13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N.</w:t>
      </w:r>
      <w:r>
        <w:rPr>
          <w:sz w:val="20"/>
          <w:szCs w:val="20"/>
          <w:color w:val="auto"/>
        </w:rPr>
        <w:tab/>
      </w:r>
      <w:r>
        <w:rPr>
          <w:rFonts w:ascii="Arial" w:cs="Arial" w:eastAsia="Arial" w:hAnsi="Arial"/>
          <w:sz w:val="11"/>
          <w:szCs w:val="11"/>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Purchase Plan</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During the three-year period ended December 31, 2009,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contributed $11.4 million, $15.2 million, and $17.2 million to the ESPPs in the years ended December 31, 2009, 2008, and 2007, respectively, in accordance with the employer’s matching contribution.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401(k) Profit Sharing Plan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three-year period ended December 31, 2009, we have offered our employees the opportunity to participate in 401(k) profit sharing plans (the “401(k) Plans”), qualified voluntary contributory savings plans which are available to substantially all of our employees. Eligible employees may contribute up to 40% of their pretax annual compensation, up to the amount allowed pursuant to the Internal Revenue Code. During the year ended December 31, 2007, we matched 50% of each dollar of employee contribution up to six percent of the employee’s total compensation. There was no employer match for the years ended December 31, 2009 and 2008. Our contributions to the 401(k) Plans for the year ended December 31, 2007 was $22.8 million.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Plans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connection with the 2005 distribution of FNT stock by Old FNF, we established the FNT 2005 Omnibus Incentive Plan (the “Omnibus Plan”) authorizing the issuance of up to 8 million shares of common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20"/>
        <w:spacing w:after="0" w:line="312" w:lineRule="auto"/>
        <w:rPr>
          <w:sz w:val="20"/>
          <w:szCs w:val="20"/>
          <w:color w:val="auto"/>
        </w:rPr>
      </w:pPr>
      <w:r>
        <w:rPr>
          <w:rFonts w:ascii="Arial" w:cs="Arial" w:eastAsia="Arial" w:hAnsi="Arial"/>
          <w:sz w:val="11"/>
          <w:szCs w:val="11"/>
          <w:color w:val="auto"/>
        </w:rPr>
        <w:t>stock, subject to the terms of the Omnibus Plan. On October 23, 2006, the stockholders of FNT approved an amendment to increase the number of shares available for issuance under the Omnibus Plan by 15.5 million shares. The increase was in part to provide capacity for options and restricted stock to be issued to replace Old FNF options and restricted stock. The Omnibus Plan provides for the grant of stock options, stock appreciation rights, restricted stock, restricted stock units and performance shares, performance units, other cash and stock-based awards and dividend equivalents. As of December 31, 2009, there were 1,968,540 shares of restricted stock and 23,238,646 stock options outstanding under this plan. Awards granted are determined and approved by the Compensation Committee of the Board of Directors. Options vest over a 3 to 4 year period, and the exercise price for options granted equals the market price of the underlying stock on the grant date. A grant of 1.5 million shares made to the Executive Chairman in 2009 contains time based and market based criteria for vesting purposes.</w:t>
      </w:r>
    </w:p>
    <w:p>
      <w:pPr>
        <w:spacing w:after="0" w:line="45"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Following the closing of the 2006 Distribution on October 24, 2006, former Old FNF options and restricted stock held by our employees were converted in an intrinsic value swap to options and restricted stock as noted above. Options and restricted stock held by FIS employees were converted into FIS options and restricted stock.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 option transactions under the Omnibus Plan for 2007, 2008, and 2009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Options</w:t>
            </w:r>
          </w:p>
        </w:tc>
        <w:tc>
          <w:tcPr>
            <w:tcW w:w="260" w:type="dxa"/>
            <w:vAlign w:val="bottom"/>
          </w:tcPr>
          <w:p>
            <w:pPr>
              <w:spacing w:after="0"/>
              <w:rPr>
                <w:sz w:val="10"/>
                <w:szCs w:val="10"/>
                <w:color w:val="auto"/>
              </w:rPr>
            </w:pPr>
          </w:p>
        </w:tc>
        <w:tc>
          <w:tcPr>
            <w:tcW w:w="1400" w:type="dxa"/>
            <w:vAlign w:val="bottom"/>
          </w:tcPr>
          <w:p>
            <w:pPr>
              <w:jc w:val="right"/>
              <w:ind w:right="228"/>
              <w:spacing w:after="0"/>
              <w:rPr>
                <w:sz w:val="20"/>
                <w:szCs w:val="20"/>
                <w:color w:val="auto"/>
              </w:rPr>
            </w:pPr>
            <w:r>
              <w:rPr>
                <w:rFonts w:ascii="Arial" w:cs="Arial" w:eastAsia="Arial" w:hAnsi="Arial"/>
                <w:sz w:val="10"/>
                <w:szCs w:val="10"/>
                <w:b w:val="1"/>
                <w:bCs w:val="1"/>
                <w:color w:val="auto"/>
              </w:rPr>
              <w:t>Weighted Average</w:t>
            </w:r>
          </w:p>
        </w:tc>
        <w:tc>
          <w:tcPr>
            <w:tcW w:w="260" w:type="dxa"/>
            <w:vAlign w:val="bottom"/>
          </w:tcPr>
          <w:p>
            <w:pPr>
              <w:spacing w:after="0"/>
              <w:rPr>
                <w:sz w:val="10"/>
                <w:szCs w:val="10"/>
                <w:color w:val="auto"/>
              </w:rPr>
            </w:pPr>
          </w:p>
        </w:tc>
        <w:tc>
          <w:tcPr>
            <w:tcW w:w="1280" w:type="dxa"/>
            <w:vAlign w:val="bottom"/>
            <w:vMerge w:val="restart"/>
          </w:tcPr>
          <w:p>
            <w:pPr>
              <w:jc w:val="right"/>
              <w:ind w:right="328"/>
              <w:spacing w:after="0"/>
              <w:rPr>
                <w:sz w:val="20"/>
                <w:szCs w:val="20"/>
                <w:color w:val="auto"/>
              </w:rPr>
            </w:pPr>
            <w:r>
              <w:rPr>
                <w:rFonts w:ascii="Arial" w:cs="Arial" w:eastAsia="Arial" w:hAnsi="Arial"/>
                <w:sz w:val="10"/>
                <w:szCs w:val="10"/>
                <w:b w:val="1"/>
                <w:bCs w:val="1"/>
                <w:color w:val="auto"/>
              </w:rPr>
              <w:t>Exercisable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0"/>
                <w:szCs w:val="10"/>
                <w:b w:val="1"/>
                <w:bCs w:val="1"/>
                <w:color w:val="auto"/>
              </w:rPr>
              <w:t>Exercise Price</w:t>
            </w:r>
          </w:p>
        </w:tc>
        <w:tc>
          <w:tcPr>
            <w:tcW w:w="260" w:type="dxa"/>
            <w:vAlign w:val="bottom"/>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356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14,141,410</w:t>
            </w: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$14.55</w:t>
            </w:r>
          </w:p>
        </w:tc>
        <w:tc>
          <w:tcPr>
            <w:tcW w:w="15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7,406,280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Granted</w:t>
            </w:r>
          </w:p>
        </w:tc>
        <w:tc>
          <w:tcPr>
            <w:tcW w:w="3560" w:type="dxa"/>
            <w:vAlign w:val="bottom"/>
            <w:gridSpan w:val="4"/>
          </w:tcPr>
          <w:p>
            <w:pPr>
              <w:jc w:val="right"/>
              <w:ind w:right="340"/>
              <w:spacing w:after="0"/>
              <w:rPr>
                <w:sz w:val="20"/>
                <w:szCs w:val="20"/>
                <w:color w:val="auto"/>
              </w:rPr>
            </w:pPr>
            <w:r>
              <w:rPr>
                <w:rFonts w:ascii="Arial" w:cs="Arial" w:eastAsia="Arial" w:hAnsi="Arial"/>
                <w:sz w:val="13"/>
                <w:szCs w:val="13"/>
                <w:color w:val="auto"/>
              </w:rPr>
              <w:t>5,257,997</w:t>
            </w:r>
          </w:p>
        </w:tc>
        <w:tc>
          <w:tcPr>
            <w:tcW w:w="1660" w:type="dxa"/>
            <w:vAlign w:val="bottom"/>
            <w:gridSpan w:val="2"/>
          </w:tcPr>
          <w:p>
            <w:pPr>
              <w:jc w:val="right"/>
              <w:ind w:right="488"/>
              <w:spacing w:after="0"/>
              <w:rPr>
                <w:sz w:val="20"/>
                <w:szCs w:val="20"/>
                <w:color w:val="auto"/>
              </w:rPr>
            </w:pPr>
            <w:r>
              <w:rPr>
                <w:rFonts w:ascii="Arial" w:cs="Arial" w:eastAsia="Arial" w:hAnsi="Arial"/>
                <w:sz w:val="13"/>
                <w:szCs w:val="13"/>
                <w:color w:val="auto"/>
              </w:rPr>
              <w:t>13.64</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356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(1,087,946)</w:t>
            </w: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7.73</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2620" w:type="dxa"/>
            <w:vAlign w:val="bottom"/>
            <w:gridSpan w:val="2"/>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(302,627)</w:t>
            </w:r>
          </w:p>
        </w:tc>
        <w:tc>
          <w:tcPr>
            <w:tcW w:w="1660" w:type="dxa"/>
            <w:vAlign w:val="bottom"/>
            <w:gridSpan w:val="2"/>
          </w:tcPr>
          <w:p>
            <w:pPr>
              <w:jc w:val="right"/>
              <w:ind w:right="488"/>
              <w:spacing w:after="0"/>
              <w:rPr>
                <w:sz w:val="20"/>
                <w:szCs w:val="20"/>
                <w:color w:val="auto"/>
              </w:rPr>
            </w:pPr>
            <w:r>
              <w:rPr>
                <w:rFonts w:ascii="Arial" w:cs="Arial" w:eastAsia="Arial" w:hAnsi="Arial"/>
                <w:sz w:val="13"/>
                <w:szCs w:val="13"/>
                <w:color w:val="auto"/>
              </w:rPr>
              <w:t>21.66</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2620" w:type="dxa"/>
            <w:vAlign w:val="bottom"/>
            <w:gridSpan w:val="2"/>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18,008,834</w:t>
            </w:r>
          </w:p>
        </w:tc>
        <w:tc>
          <w:tcPr>
            <w:tcW w:w="3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$14.57</w:t>
            </w:r>
          </w:p>
        </w:tc>
        <w:tc>
          <w:tcPr>
            <w:tcW w:w="15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9,904,089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Granted</w:t>
            </w:r>
          </w:p>
        </w:tc>
        <w:tc>
          <w:tcPr>
            <w:tcW w:w="3560" w:type="dxa"/>
            <w:vAlign w:val="bottom"/>
            <w:gridSpan w:val="4"/>
          </w:tcPr>
          <w:p>
            <w:pPr>
              <w:jc w:val="right"/>
              <w:ind w:right="340"/>
              <w:spacing w:after="0"/>
              <w:rPr>
                <w:sz w:val="20"/>
                <w:szCs w:val="20"/>
                <w:color w:val="auto"/>
              </w:rPr>
            </w:pPr>
            <w:r>
              <w:rPr>
                <w:rFonts w:ascii="Arial" w:cs="Arial" w:eastAsia="Arial" w:hAnsi="Arial"/>
                <w:sz w:val="13"/>
                <w:szCs w:val="13"/>
                <w:color w:val="auto"/>
              </w:rPr>
              <w:t>6,162,942</w:t>
            </w:r>
          </w:p>
        </w:tc>
        <w:tc>
          <w:tcPr>
            <w:tcW w:w="1660" w:type="dxa"/>
            <w:vAlign w:val="bottom"/>
            <w:gridSpan w:val="2"/>
          </w:tcPr>
          <w:p>
            <w:pPr>
              <w:jc w:val="right"/>
              <w:ind w:right="488"/>
              <w:spacing w:after="0"/>
              <w:rPr>
                <w:sz w:val="20"/>
                <w:szCs w:val="20"/>
                <w:color w:val="auto"/>
              </w:rPr>
            </w:pPr>
            <w:r>
              <w:rPr>
                <w:rFonts w:ascii="Arial" w:cs="Arial" w:eastAsia="Arial" w:hAnsi="Arial"/>
                <w:sz w:val="13"/>
                <w:szCs w:val="13"/>
                <w:color w:val="auto"/>
              </w:rPr>
              <w:t>7.09</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356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(775,092)</w:t>
            </w: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6.93</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2620" w:type="dxa"/>
            <w:vAlign w:val="bottom"/>
            <w:gridSpan w:val="2"/>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(177,401)</w:t>
            </w:r>
          </w:p>
        </w:tc>
        <w:tc>
          <w:tcPr>
            <w:tcW w:w="1660" w:type="dxa"/>
            <w:vAlign w:val="bottom"/>
            <w:gridSpan w:val="2"/>
          </w:tcPr>
          <w:p>
            <w:pPr>
              <w:jc w:val="right"/>
              <w:ind w:right="488"/>
              <w:spacing w:after="0"/>
              <w:rPr>
                <w:sz w:val="20"/>
                <w:szCs w:val="20"/>
                <w:color w:val="auto"/>
              </w:rPr>
            </w:pPr>
            <w:r>
              <w:rPr>
                <w:rFonts w:ascii="Arial" w:cs="Arial" w:eastAsia="Arial" w:hAnsi="Arial"/>
                <w:sz w:val="13"/>
                <w:szCs w:val="13"/>
                <w:color w:val="auto"/>
              </w:rPr>
              <w:t>17.70</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2008</w:t>
            </w:r>
          </w:p>
        </w:tc>
        <w:tc>
          <w:tcPr>
            <w:tcW w:w="2620" w:type="dxa"/>
            <w:vAlign w:val="bottom"/>
            <w:gridSpan w:val="2"/>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23,219,283</w:t>
            </w:r>
          </w:p>
        </w:tc>
        <w:tc>
          <w:tcPr>
            <w:tcW w:w="3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$12.82</w:t>
            </w:r>
          </w:p>
        </w:tc>
        <w:tc>
          <w:tcPr>
            <w:tcW w:w="15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11,971,263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Granted</w:t>
            </w:r>
          </w:p>
        </w:tc>
        <w:tc>
          <w:tcPr>
            <w:tcW w:w="3560" w:type="dxa"/>
            <w:vAlign w:val="bottom"/>
            <w:gridSpan w:val="4"/>
          </w:tcPr>
          <w:p>
            <w:pPr>
              <w:jc w:val="right"/>
              <w:ind w:right="340"/>
              <w:spacing w:after="0"/>
              <w:rPr>
                <w:sz w:val="20"/>
                <w:szCs w:val="20"/>
                <w:color w:val="auto"/>
              </w:rPr>
            </w:pPr>
            <w:r>
              <w:rPr>
                <w:rFonts w:ascii="Arial" w:cs="Arial" w:eastAsia="Arial" w:hAnsi="Arial"/>
                <w:sz w:val="13"/>
                <w:szCs w:val="13"/>
                <w:color w:val="auto"/>
              </w:rPr>
              <w:t>2,533,250</w:t>
            </w:r>
          </w:p>
        </w:tc>
        <w:tc>
          <w:tcPr>
            <w:tcW w:w="1660" w:type="dxa"/>
            <w:vAlign w:val="bottom"/>
            <w:gridSpan w:val="2"/>
          </w:tcPr>
          <w:p>
            <w:pPr>
              <w:jc w:val="right"/>
              <w:ind w:right="488"/>
              <w:spacing w:after="0"/>
              <w:rPr>
                <w:sz w:val="20"/>
                <w:szCs w:val="20"/>
                <w:color w:val="auto"/>
              </w:rPr>
            </w:pPr>
            <w:r>
              <w:rPr>
                <w:rFonts w:ascii="Arial" w:cs="Arial" w:eastAsia="Arial" w:hAnsi="Arial"/>
                <w:sz w:val="13"/>
                <w:szCs w:val="13"/>
                <w:color w:val="auto"/>
              </w:rPr>
              <w:t>15.30</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356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(2,118,631)</w:t>
            </w: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9.17</w:t>
            </w: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2620" w:type="dxa"/>
            <w:vAlign w:val="bottom"/>
            <w:gridSpan w:val="2"/>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(395,256)</w:t>
            </w:r>
          </w:p>
        </w:tc>
        <w:tc>
          <w:tcPr>
            <w:tcW w:w="1660" w:type="dxa"/>
            <w:vAlign w:val="bottom"/>
            <w:gridSpan w:val="2"/>
          </w:tcPr>
          <w:p>
            <w:pPr>
              <w:jc w:val="right"/>
              <w:ind w:right="488"/>
              <w:spacing w:after="0"/>
              <w:rPr>
                <w:sz w:val="20"/>
                <w:szCs w:val="20"/>
                <w:color w:val="auto"/>
              </w:rPr>
            </w:pPr>
            <w:r>
              <w:rPr>
                <w:rFonts w:ascii="Arial" w:cs="Arial" w:eastAsia="Arial" w:hAnsi="Arial"/>
                <w:sz w:val="13"/>
                <w:szCs w:val="13"/>
                <w:color w:val="auto"/>
              </w:rPr>
              <w:t>14.89</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2009</w:t>
            </w:r>
          </w:p>
        </w:tc>
        <w:tc>
          <w:tcPr>
            <w:tcW w:w="2620" w:type="dxa"/>
            <w:vAlign w:val="bottom"/>
            <w:gridSpan w:val="2"/>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23,238,646</w:t>
            </w:r>
          </w:p>
        </w:tc>
        <w:tc>
          <w:tcPr>
            <w:tcW w:w="3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$13.39</w:t>
            </w:r>
          </w:p>
        </w:tc>
        <w:tc>
          <w:tcPr>
            <w:tcW w:w="15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14,119,807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80" w:type="dxa"/>
            <w:vAlign w:val="bottom"/>
          </w:tcPr>
          <w:p>
            <w:pPr>
              <w:jc w:val="right"/>
              <w:ind w:right="334"/>
              <w:spacing w:after="0"/>
              <w:rPr>
                <w:sz w:val="20"/>
                <w:szCs w:val="20"/>
                <w:color w:val="auto"/>
              </w:rPr>
            </w:pPr>
            <w:r>
              <w:rPr>
                <w:rFonts w:ascii="Arial" w:cs="Arial" w:eastAsia="Arial" w:hAnsi="Arial"/>
                <w:sz w:val="13"/>
                <w:szCs w:val="13"/>
                <w:color w:val="auto"/>
              </w:rPr>
              <w:t>106</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Restricted stock transactions under the Omnibus Plan in 2007, 2008, and 2009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6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9"/>
                <w:szCs w:val="9"/>
                <w:color w:val="auto"/>
              </w:rPr>
            </w:pPr>
          </w:p>
        </w:tc>
        <w:tc>
          <w:tcPr>
            <w:tcW w:w="14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Grant Date</w:t>
            </w:r>
          </w:p>
        </w:tc>
        <w:tc>
          <w:tcPr>
            <w:tcW w:w="0" w:type="dxa"/>
            <w:vAlign w:val="bottom"/>
          </w:tcPr>
          <w:p>
            <w:pPr>
              <w:spacing w:after="0"/>
              <w:rPr>
                <w:sz w:val="1"/>
                <w:szCs w:val="1"/>
                <w:color w:val="auto"/>
              </w:rPr>
            </w:pPr>
          </w:p>
        </w:tc>
      </w:tr>
      <w:tr>
        <w:trPr>
          <w:trHeight w:val="125"/>
        </w:trPr>
        <w:tc>
          <w:tcPr>
            <w:tcW w:w="69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2,596,649</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$21.38</w:t>
            </w:r>
          </w:p>
        </w:tc>
        <w:tc>
          <w:tcPr>
            <w:tcW w:w="0" w:type="dxa"/>
            <w:vAlign w:val="bottom"/>
          </w:tcPr>
          <w:p>
            <w:pPr>
              <w:spacing w:after="0"/>
              <w:rPr>
                <w:sz w:val="1"/>
                <w:szCs w:val="1"/>
                <w:color w:val="auto"/>
              </w:rPr>
            </w:pPr>
          </w:p>
        </w:tc>
      </w:tr>
      <w:tr>
        <w:trPr>
          <w:trHeight w:val="157"/>
        </w:trPr>
        <w:tc>
          <w:tcPr>
            <w:tcW w:w="6940" w:type="dxa"/>
            <w:vAlign w:val="bottom"/>
          </w:tcPr>
          <w:p>
            <w:pPr>
              <w:ind w:left="140"/>
              <w:spacing w:after="0"/>
              <w:rPr>
                <w:sz w:val="20"/>
                <w:szCs w:val="20"/>
                <w:color w:val="auto"/>
              </w:rPr>
            </w:pPr>
            <w:r>
              <w:rPr>
                <w:rFonts w:ascii="Arial" w:cs="Arial" w:eastAsia="Arial" w:hAnsi="Arial"/>
                <w:sz w:val="13"/>
                <w:szCs w:val="13"/>
                <w:color w:val="auto"/>
              </w:rPr>
              <w:t>Granted</w:t>
            </w:r>
          </w:p>
        </w:tc>
        <w:tc>
          <w:tcPr>
            <w:tcW w:w="1320" w:type="dxa"/>
            <w:vAlign w:val="bottom"/>
            <w:gridSpan w:val="3"/>
          </w:tcPr>
          <w:p>
            <w:pPr>
              <w:jc w:val="right"/>
              <w:ind w:right="380"/>
              <w:spacing w:after="0"/>
              <w:rPr>
                <w:sz w:val="20"/>
                <w:szCs w:val="20"/>
                <w:color w:val="auto"/>
              </w:rPr>
            </w:pPr>
            <w:r>
              <w:rPr>
                <w:rFonts w:ascii="Arial" w:cs="Arial" w:eastAsia="Arial" w:hAnsi="Arial"/>
                <w:sz w:val="13"/>
                <w:szCs w:val="13"/>
                <w:color w:val="auto"/>
              </w:rPr>
              <w:t>510,503</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13.87</w:t>
            </w:r>
          </w:p>
        </w:tc>
        <w:tc>
          <w:tcPr>
            <w:tcW w:w="0" w:type="dxa"/>
            <w:vAlign w:val="bottom"/>
          </w:tcPr>
          <w:p>
            <w:pPr>
              <w:spacing w:after="0"/>
              <w:rPr>
                <w:sz w:val="1"/>
                <w:szCs w:val="1"/>
                <w:color w:val="auto"/>
              </w:rPr>
            </w:pPr>
          </w:p>
        </w:tc>
      </w:tr>
      <w:tr>
        <w:trPr>
          <w:trHeight w:val="157"/>
        </w:trPr>
        <w:tc>
          <w:tcPr>
            <w:tcW w:w="6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Cancelled</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(34,289)</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17.54</w:t>
            </w:r>
          </w:p>
        </w:tc>
        <w:tc>
          <w:tcPr>
            <w:tcW w:w="0" w:type="dxa"/>
            <w:vAlign w:val="bottom"/>
          </w:tcPr>
          <w:p>
            <w:pPr>
              <w:spacing w:after="0"/>
              <w:rPr>
                <w:sz w:val="1"/>
                <w:szCs w:val="1"/>
                <w:color w:val="auto"/>
              </w:rPr>
            </w:pPr>
          </w:p>
        </w:tc>
      </w:tr>
      <w:tr>
        <w:trPr>
          <w:trHeight w:val="157"/>
        </w:trPr>
        <w:tc>
          <w:tcPr>
            <w:tcW w:w="6940" w:type="dxa"/>
            <w:vAlign w:val="bottom"/>
          </w:tcPr>
          <w:p>
            <w:pPr>
              <w:ind w:left="140"/>
              <w:spacing w:after="0"/>
              <w:rPr>
                <w:sz w:val="20"/>
                <w:szCs w:val="20"/>
                <w:color w:val="auto"/>
              </w:rPr>
            </w:pPr>
            <w:r>
              <w:rPr>
                <w:rFonts w:ascii="Arial" w:cs="Arial" w:eastAsia="Arial" w:hAnsi="Arial"/>
                <w:sz w:val="13"/>
                <w:szCs w:val="13"/>
                <w:color w:val="auto"/>
              </w:rPr>
              <w:t>Vested</w:t>
            </w:r>
          </w:p>
        </w:tc>
        <w:tc>
          <w:tcPr>
            <w:tcW w:w="3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(996,811)</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20.07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2,076,052</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16.82</w:t>
            </w:r>
          </w:p>
        </w:tc>
        <w:tc>
          <w:tcPr>
            <w:tcW w:w="0" w:type="dxa"/>
            <w:vAlign w:val="bottom"/>
          </w:tcPr>
          <w:p>
            <w:pPr>
              <w:spacing w:after="0"/>
              <w:rPr>
                <w:sz w:val="1"/>
                <w:szCs w:val="1"/>
                <w:color w:val="auto"/>
              </w:rPr>
            </w:pPr>
          </w:p>
        </w:tc>
      </w:tr>
      <w:tr>
        <w:trPr>
          <w:trHeight w:val="157"/>
        </w:trPr>
        <w:tc>
          <w:tcPr>
            <w:tcW w:w="6940" w:type="dxa"/>
            <w:vAlign w:val="bottom"/>
          </w:tcPr>
          <w:p>
            <w:pPr>
              <w:ind w:left="140"/>
              <w:spacing w:after="0"/>
              <w:rPr>
                <w:sz w:val="20"/>
                <w:szCs w:val="20"/>
                <w:color w:val="auto"/>
              </w:rPr>
            </w:pPr>
            <w:r>
              <w:rPr>
                <w:rFonts w:ascii="Arial" w:cs="Arial" w:eastAsia="Arial" w:hAnsi="Arial"/>
                <w:sz w:val="13"/>
                <w:szCs w:val="13"/>
                <w:color w:val="auto"/>
              </w:rPr>
              <w:t>Granted</w:t>
            </w:r>
          </w:p>
        </w:tc>
        <w:tc>
          <w:tcPr>
            <w:tcW w:w="1320" w:type="dxa"/>
            <w:vAlign w:val="bottom"/>
            <w:gridSpan w:val="3"/>
          </w:tcPr>
          <w:p>
            <w:pPr>
              <w:jc w:val="right"/>
              <w:ind w:right="380"/>
              <w:spacing w:after="0"/>
              <w:rPr>
                <w:sz w:val="20"/>
                <w:szCs w:val="20"/>
                <w:color w:val="auto"/>
              </w:rPr>
            </w:pPr>
            <w:r>
              <w:rPr>
                <w:rFonts w:ascii="Arial" w:cs="Arial" w:eastAsia="Arial" w:hAnsi="Arial"/>
                <w:sz w:val="13"/>
                <w:szCs w:val="13"/>
                <w:color w:val="auto"/>
              </w:rPr>
              <w:t>1,370,358</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11.46</w:t>
            </w:r>
          </w:p>
        </w:tc>
        <w:tc>
          <w:tcPr>
            <w:tcW w:w="0" w:type="dxa"/>
            <w:vAlign w:val="bottom"/>
          </w:tcPr>
          <w:p>
            <w:pPr>
              <w:spacing w:after="0"/>
              <w:rPr>
                <w:sz w:val="1"/>
                <w:szCs w:val="1"/>
                <w:color w:val="auto"/>
              </w:rPr>
            </w:pPr>
          </w:p>
        </w:tc>
      </w:tr>
      <w:tr>
        <w:trPr>
          <w:trHeight w:val="157"/>
        </w:trPr>
        <w:tc>
          <w:tcPr>
            <w:tcW w:w="6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Cancelled</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(28,973)</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16.98</w:t>
            </w:r>
          </w:p>
        </w:tc>
        <w:tc>
          <w:tcPr>
            <w:tcW w:w="0" w:type="dxa"/>
            <w:vAlign w:val="bottom"/>
          </w:tcPr>
          <w:p>
            <w:pPr>
              <w:spacing w:after="0"/>
              <w:rPr>
                <w:sz w:val="1"/>
                <w:szCs w:val="1"/>
                <w:color w:val="auto"/>
              </w:rPr>
            </w:pPr>
          </w:p>
        </w:tc>
      </w:tr>
      <w:tr>
        <w:trPr>
          <w:trHeight w:val="157"/>
        </w:trPr>
        <w:tc>
          <w:tcPr>
            <w:tcW w:w="6940" w:type="dxa"/>
            <w:vAlign w:val="bottom"/>
          </w:tcPr>
          <w:p>
            <w:pPr>
              <w:ind w:left="140"/>
              <w:spacing w:after="0"/>
              <w:rPr>
                <w:sz w:val="20"/>
                <w:szCs w:val="20"/>
                <w:color w:val="auto"/>
              </w:rPr>
            </w:pPr>
            <w:r>
              <w:rPr>
                <w:rFonts w:ascii="Arial" w:cs="Arial" w:eastAsia="Arial" w:hAnsi="Arial"/>
                <w:sz w:val="13"/>
                <w:szCs w:val="13"/>
                <w:color w:val="auto"/>
              </w:rPr>
              <w:t>Vested</w:t>
            </w:r>
          </w:p>
        </w:tc>
        <w:tc>
          <w:tcPr>
            <w:tcW w:w="3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w w:val="90"/>
              </w:rPr>
              <w:t>(1,165,137)</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19.54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2008</w:t>
            </w: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2,252,300</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12.71</w:t>
            </w:r>
          </w:p>
        </w:tc>
        <w:tc>
          <w:tcPr>
            <w:tcW w:w="0" w:type="dxa"/>
            <w:vAlign w:val="bottom"/>
          </w:tcPr>
          <w:p>
            <w:pPr>
              <w:spacing w:after="0"/>
              <w:rPr>
                <w:sz w:val="1"/>
                <w:szCs w:val="1"/>
                <w:color w:val="auto"/>
              </w:rPr>
            </w:pPr>
          </w:p>
        </w:tc>
      </w:tr>
      <w:tr>
        <w:trPr>
          <w:trHeight w:val="157"/>
        </w:trPr>
        <w:tc>
          <w:tcPr>
            <w:tcW w:w="6940" w:type="dxa"/>
            <w:vAlign w:val="bottom"/>
          </w:tcPr>
          <w:p>
            <w:pPr>
              <w:ind w:left="140"/>
              <w:spacing w:after="0"/>
              <w:rPr>
                <w:sz w:val="20"/>
                <w:szCs w:val="20"/>
                <w:color w:val="auto"/>
              </w:rPr>
            </w:pPr>
            <w:r>
              <w:rPr>
                <w:rFonts w:ascii="Arial" w:cs="Arial" w:eastAsia="Arial" w:hAnsi="Arial"/>
                <w:sz w:val="13"/>
                <w:szCs w:val="13"/>
                <w:color w:val="auto"/>
              </w:rPr>
              <w:t>Granted</w:t>
            </w:r>
          </w:p>
        </w:tc>
        <w:tc>
          <w:tcPr>
            <w:tcW w:w="1320" w:type="dxa"/>
            <w:vAlign w:val="bottom"/>
            <w:gridSpan w:val="3"/>
          </w:tcPr>
          <w:p>
            <w:pPr>
              <w:jc w:val="right"/>
              <w:ind w:right="380"/>
              <w:spacing w:after="0"/>
              <w:rPr>
                <w:sz w:val="20"/>
                <w:szCs w:val="20"/>
                <w:color w:val="auto"/>
              </w:rPr>
            </w:pPr>
            <w:r>
              <w:rPr>
                <w:rFonts w:ascii="Arial" w:cs="Arial" w:eastAsia="Arial" w:hAnsi="Arial"/>
                <w:sz w:val="13"/>
                <w:szCs w:val="13"/>
                <w:color w:val="auto"/>
              </w:rPr>
              <w:t>1,044,000</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157"/>
        </w:trPr>
        <w:tc>
          <w:tcPr>
            <w:tcW w:w="6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Cancelled</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(23,833)</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17.61</w:t>
            </w:r>
          </w:p>
        </w:tc>
        <w:tc>
          <w:tcPr>
            <w:tcW w:w="0" w:type="dxa"/>
            <w:vAlign w:val="bottom"/>
          </w:tcPr>
          <w:p>
            <w:pPr>
              <w:spacing w:after="0"/>
              <w:rPr>
                <w:sz w:val="1"/>
                <w:szCs w:val="1"/>
                <w:color w:val="auto"/>
              </w:rPr>
            </w:pPr>
          </w:p>
        </w:tc>
      </w:tr>
      <w:tr>
        <w:trPr>
          <w:trHeight w:val="157"/>
        </w:trPr>
        <w:tc>
          <w:tcPr>
            <w:tcW w:w="6940" w:type="dxa"/>
            <w:vAlign w:val="bottom"/>
          </w:tcPr>
          <w:p>
            <w:pPr>
              <w:ind w:left="140"/>
              <w:spacing w:after="0"/>
              <w:rPr>
                <w:sz w:val="20"/>
                <w:szCs w:val="20"/>
                <w:color w:val="auto"/>
              </w:rPr>
            </w:pPr>
            <w:r>
              <w:rPr>
                <w:rFonts w:ascii="Arial" w:cs="Arial" w:eastAsia="Arial" w:hAnsi="Arial"/>
                <w:sz w:val="13"/>
                <w:szCs w:val="13"/>
                <w:color w:val="auto"/>
              </w:rPr>
              <w:t>Vested</w:t>
            </w:r>
          </w:p>
        </w:tc>
        <w:tc>
          <w:tcPr>
            <w:tcW w:w="3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w w:val="90"/>
              </w:rPr>
              <w:t>(1,303,927)</w:t>
            </w:r>
          </w:p>
        </w:tc>
        <w:tc>
          <w:tcPr>
            <w:tcW w:w="1720" w:type="dxa"/>
            <w:vAlign w:val="bottom"/>
            <w:gridSpan w:val="2"/>
          </w:tcPr>
          <w:p>
            <w:pPr>
              <w:jc w:val="right"/>
              <w:ind w:right="528"/>
              <w:spacing w:after="0"/>
              <w:rPr>
                <w:sz w:val="20"/>
                <w:szCs w:val="20"/>
                <w:color w:val="auto"/>
              </w:rPr>
            </w:pPr>
            <w:r>
              <w:rPr>
                <w:rFonts w:ascii="Arial" w:cs="Arial" w:eastAsia="Arial" w:hAnsi="Arial"/>
                <w:sz w:val="13"/>
                <w:szCs w:val="13"/>
                <w:color w:val="auto"/>
              </w:rPr>
              <w:t>17.32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2009</w:t>
            </w: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1,968,540</w:t>
            </w:r>
          </w:p>
        </w:tc>
        <w:tc>
          <w:tcPr>
            <w:tcW w:w="172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13.09</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related to stock options outstanding and exercisable as of December 31, 2009:</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88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gridSpan w:val="3"/>
          </w:tcPr>
          <w:p>
            <w:pPr>
              <w:ind w:left="1040"/>
              <w:spacing w:after="0"/>
              <w:rPr>
                <w:sz w:val="20"/>
                <w:szCs w:val="20"/>
                <w:color w:val="auto"/>
              </w:rPr>
            </w:pPr>
            <w:r>
              <w:rPr>
                <w:rFonts w:ascii="Arial" w:cs="Arial" w:eastAsia="Arial" w:hAnsi="Arial"/>
                <w:sz w:val="9"/>
                <w:szCs w:val="9"/>
                <w:b w:val="1"/>
                <w:bCs w:val="1"/>
                <w:color w:val="auto"/>
              </w:rPr>
              <w:t>Options Outstanding</w:t>
            </w:r>
          </w:p>
        </w:tc>
        <w:tc>
          <w:tcPr>
            <w:tcW w:w="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9"/>
                <w:szCs w:val="9"/>
                <w:b w:val="1"/>
                <w:bCs w:val="1"/>
                <w:color w:val="auto"/>
              </w:rPr>
              <w:t>Options Exercisable</w:t>
            </w: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gridSpan w:val="2"/>
          </w:tcPr>
          <w:p>
            <w:pPr>
              <w:jc w:val="center"/>
              <w:ind w:right="200"/>
              <w:spacing w:after="0" w:line="75" w:lineRule="exact"/>
              <w:rPr>
                <w:sz w:val="20"/>
                <w:szCs w:val="20"/>
                <w:color w:val="auto"/>
              </w:rPr>
            </w:pPr>
            <w:r>
              <w:rPr>
                <w:rFonts w:ascii="Arial" w:cs="Arial" w:eastAsia="Arial" w:hAnsi="Arial"/>
                <w:sz w:val="8"/>
                <w:szCs w:val="8"/>
                <w:b w:val="1"/>
                <w:bCs w:val="1"/>
                <w:color w:val="auto"/>
              </w:rPr>
              <w:t>Weighted</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w w:val="99"/>
              </w:rPr>
              <w:t>Weighted</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89"/>
              </w:rPr>
              <w:t>Average</w:t>
            </w:r>
          </w:p>
        </w:tc>
        <w:tc>
          <w:tcPr>
            <w:tcW w:w="60" w:type="dxa"/>
            <w:vAlign w:val="bottom"/>
          </w:tcPr>
          <w:p>
            <w:pPr>
              <w:spacing w:after="0"/>
              <w:rPr>
                <w:sz w:val="8"/>
                <w:szCs w:val="8"/>
                <w:color w:val="auto"/>
              </w:rPr>
            </w:pPr>
          </w:p>
        </w:tc>
        <w:tc>
          <w:tcPr>
            <w:tcW w:w="64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3"/>
              </w:rPr>
              <w:t>Weighted</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89"/>
              </w:rPr>
              <w:t>Average</w:t>
            </w:r>
          </w:p>
        </w:tc>
        <w:tc>
          <w:tcPr>
            <w:tcW w:w="60" w:type="dxa"/>
            <w:vAlign w:val="bottom"/>
          </w:tcPr>
          <w:p>
            <w:pPr>
              <w:spacing w:after="0"/>
              <w:rPr>
                <w:sz w:val="8"/>
                <w:szCs w:val="8"/>
                <w:color w:val="auto"/>
              </w:rPr>
            </w:pPr>
          </w:p>
        </w:tc>
        <w:tc>
          <w:tcPr>
            <w:tcW w:w="6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88"/>
              </w:rPr>
              <w:t>Weighted</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1"/>
              </w:rPr>
              <w:t>Remaining</w:t>
            </w:r>
          </w:p>
        </w:tc>
        <w:tc>
          <w:tcPr>
            <w:tcW w:w="60" w:type="dxa"/>
            <w:vAlign w:val="bottom"/>
          </w:tcPr>
          <w:p>
            <w:pPr>
              <w:spacing w:after="0"/>
              <w:rPr>
                <w:sz w:val="8"/>
                <w:szCs w:val="8"/>
                <w:color w:val="auto"/>
              </w:rPr>
            </w:pPr>
          </w:p>
        </w:tc>
        <w:tc>
          <w:tcPr>
            <w:tcW w:w="6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89"/>
              </w:rPr>
              <w:t>Average</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5"/>
              </w:rPr>
              <w:t>Remaining</w:t>
            </w:r>
          </w:p>
        </w:tc>
        <w:tc>
          <w:tcPr>
            <w:tcW w:w="60" w:type="dxa"/>
            <w:vAlign w:val="bottom"/>
          </w:tcPr>
          <w:p>
            <w:pPr>
              <w:spacing w:after="0"/>
              <w:rPr>
                <w:sz w:val="8"/>
                <w:szCs w:val="8"/>
                <w:color w:val="auto"/>
              </w:rPr>
            </w:pPr>
          </w:p>
        </w:tc>
        <w:tc>
          <w:tcPr>
            <w:tcW w:w="6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89"/>
              </w:rPr>
              <w:t>Average</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80" w:type="dxa"/>
            <w:vAlign w:val="bottom"/>
          </w:tcPr>
          <w:p>
            <w:pPr>
              <w:spacing w:after="0" w:line="98" w:lineRule="exact"/>
              <w:rPr>
                <w:sz w:val="20"/>
                <w:szCs w:val="20"/>
                <w:color w:val="auto"/>
              </w:rPr>
            </w:pPr>
            <w:r>
              <w:rPr>
                <w:rFonts w:ascii="Arial" w:cs="Arial" w:eastAsia="Arial" w:hAnsi="Arial"/>
                <w:sz w:val="9"/>
                <w:szCs w:val="9"/>
                <w:b w:val="1"/>
                <w:bCs w:val="1"/>
                <w:color w:val="auto"/>
              </w:rPr>
              <w:t>Range of</w:t>
            </w:r>
          </w:p>
        </w:tc>
        <w:tc>
          <w:tcPr>
            <w:tcW w:w="1640" w:type="dxa"/>
            <w:vAlign w:val="bottom"/>
          </w:tcPr>
          <w:p>
            <w:pPr>
              <w:spacing w:after="0"/>
              <w:rPr>
                <w:sz w:val="8"/>
                <w:szCs w:val="8"/>
                <w:color w:val="auto"/>
              </w:rPr>
            </w:pPr>
          </w:p>
        </w:tc>
        <w:tc>
          <w:tcPr>
            <w:tcW w:w="92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3"/>
              </w:rPr>
              <w:t>Number of</w:t>
            </w:r>
          </w:p>
        </w:tc>
        <w:tc>
          <w:tcPr>
            <w:tcW w:w="82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5"/>
              </w:rPr>
              <w:t>Contractual</w:t>
            </w:r>
          </w:p>
        </w:tc>
        <w:tc>
          <w:tcPr>
            <w:tcW w:w="60" w:type="dxa"/>
            <w:vAlign w:val="bottom"/>
          </w:tcPr>
          <w:p>
            <w:pPr>
              <w:spacing w:after="0"/>
              <w:rPr>
                <w:sz w:val="8"/>
                <w:szCs w:val="8"/>
                <w:color w:val="auto"/>
              </w:rPr>
            </w:pPr>
          </w:p>
        </w:tc>
        <w:tc>
          <w:tcPr>
            <w:tcW w:w="64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1"/>
              </w:rPr>
              <w:t>Exercise</w:t>
            </w: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Intrinsic</w:t>
            </w:r>
          </w:p>
        </w:tc>
        <w:tc>
          <w:tcPr>
            <w:tcW w:w="880" w:type="dxa"/>
            <w:vAlign w:val="bottom"/>
            <w:gridSpan w:val="2"/>
          </w:tcPr>
          <w:p>
            <w:pPr>
              <w:jc w:val="right"/>
              <w:ind w:right="320"/>
              <w:spacing w:after="0" w:line="98" w:lineRule="exact"/>
              <w:rPr>
                <w:sz w:val="20"/>
                <w:szCs w:val="20"/>
                <w:color w:val="auto"/>
              </w:rPr>
            </w:pPr>
            <w:r>
              <w:rPr>
                <w:rFonts w:ascii="Arial" w:cs="Arial" w:eastAsia="Arial" w:hAnsi="Arial"/>
                <w:sz w:val="9"/>
                <w:szCs w:val="9"/>
                <w:b w:val="1"/>
                <w:bCs w:val="1"/>
                <w:color w:val="auto"/>
              </w:rPr>
              <w:t>Number of</w:t>
            </w:r>
          </w:p>
        </w:tc>
        <w:tc>
          <w:tcPr>
            <w:tcW w:w="7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5"/>
              </w:rPr>
              <w:t>Contractual</w:t>
            </w:r>
          </w:p>
        </w:tc>
        <w:tc>
          <w:tcPr>
            <w:tcW w:w="60" w:type="dxa"/>
            <w:vAlign w:val="bottom"/>
          </w:tcPr>
          <w:p>
            <w:pPr>
              <w:spacing w:after="0"/>
              <w:rPr>
                <w:sz w:val="8"/>
                <w:szCs w:val="8"/>
                <w:color w:val="auto"/>
              </w:rPr>
            </w:pPr>
          </w:p>
        </w:tc>
        <w:tc>
          <w:tcPr>
            <w:tcW w:w="6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86"/>
              </w:rPr>
              <w:t>Exercise</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6"/>
              </w:rPr>
              <w:t>Intrinsic</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20"/>
                <w:szCs w:val="20"/>
                <w:color w:val="auto"/>
              </w:rPr>
            </w:pPr>
            <w:r>
              <w:rPr>
                <w:rFonts w:ascii="Arial" w:cs="Arial" w:eastAsia="Arial" w:hAnsi="Arial"/>
                <w:sz w:val="9"/>
                <w:szCs w:val="9"/>
                <w:b w:val="1"/>
                <w:bCs w:val="1"/>
                <w:u w:val="single" w:color="auto"/>
                <w:color w:val="auto"/>
              </w:rPr>
              <w:t>E</w:t>
            </w:r>
            <w:r>
              <w:rPr>
                <w:rFonts w:ascii="Arial" w:cs="Arial" w:eastAsia="Arial" w:hAnsi="Arial"/>
                <w:sz w:val="9"/>
                <w:szCs w:val="9"/>
                <w:b w:val="1"/>
                <w:bCs w:val="1"/>
                <w:color w:val="auto"/>
              </w:rPr>
              <w:t>xercise Prices</w:t>
            </w:r>
          </w:p>
        </w:tc>
        <w:tc>
          <w:tcPr>
            <w:tcW w:w="164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Options</w:t>
            </w:r>
          </w:p>
        </w:tc>
        <w:tc>
          <w:tcPr>
            <w:tcW w:w="8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Life</w:t>
            </w:r>
          </w:p>
        </w:tc>
        <w:tc>
          <w:tcPr>
            <w:tcW w:w="60" w:type="dxa"/>
            <w:vAlign w:val="bottom"/>
          </w:tcPr>
          <w:p>
            <w:pPr>
              <w:spacing w:after="0"/>
              <w:rPr>
                <w:sz w:val="10"/>
                <w:szCs w:val="10"/>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Price</w:t>
            </w:r>
          </w:p>
        </w:tc>
        <w:tc>
          <w:tcPr>
            <w:tcW w:w="8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Value</w:t>
            </w:r>
          </w:p>
        </w:tc>
        <w:tc>
          <w:tcPr>
            <w:tcW w:w="88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Options</w:t>
            </w:r>
          </w:p>
        </w:tc>
        <w:tc>
          <w:tcPr>
            <w:tcW w:w="7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Life</w:t>
            </w:r>
          </w:p>
        </w:tc>
        <w:tc>
          <w:tcPr>
            <w:tcW w:w="60" w:type="dxa"/>
            <w:vAlign w:val="bottom"/>
          </w:tcPr>
          <w:p>
            <w:pPr>
              <w:spacing w:after="0"/>
              <w:rPr>
                <w:sz w:val="10"/>
                <w:szCs w:val="10"/>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Price</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1"/>
              </w:rPr>
              <w:t>Value</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25"/>
              <w:spacing w:after="0"/>
              <w:rPr>
                <w:sz w:val="20"/>
                <w:szCs w:val="20"/>
                <w:color w:val="auto"/>
              </w:rPr>
            </w:pPr>
            <w:r>
              <w:rPr>
                <w:rFonts w:ascii="Arial" w:cs="Arial" w:eastAsia="Arial" w:hAnsi="Arial"/>
                <w:sz w:val="9"/>
                <w:szCs w:val="9"/>
                <w:b w:val="1"/>
                <w:bCs w:val="1"/>
                <w:color w:val="auto"/>
                <w:w w:val="94"/>
              </w:rPr>
              <w:t>(In millions)</w:t>
            </w: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25"/>
              <w:spacing w:after="0"/>
              <w:rPr>
                <w:sz w:val="20"/>
                <w:szCs w:val="20"/>
                <w:color w:val="auto"/>
              </w:rPr>
            </w:pPr>
            <w:r>
              <w:rPr>
                <w:rFonts w:ascii="Arial" w:cs="Arial" w:eastAsia="Arial" w:hAnsi="Arial"/>
                <w:sz w:val="9"/>
                <w:szCs w:val="9"/>
                <w:b w:val="1"/>
                <w:bCs w:val="1"/>
                <w:color w:val="auto"/>
                <w:w w:val="94"/>
              </w:rPr>
              <w:t>(In millions)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$0.00 — $7.09</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7,126,232</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3,108,297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4.94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20"/>
                <w:szCs w:val="20"/>
                <w:color w:val="auto"/>
              </w:rPr>
            </w:pPr>
            <w:r>
              <w:rPr>
                <w:rFonts w:ascii="Arial" w:cs="Arial" w:eastAsia="Arial" w:hAnsi="Arial"/>
                <w:sz w:val="12"/>
                <w:szCs w:val="12"/>
                <w:color w:val="auto"/>
              </w:rPr>
              <w:t>$7.10 — $13.64</w:t>
            </w:r>
          </w:p>
        </w:tc>
        <w:tc>
          <w:tcPr>
            <w:tcW w:w="2340" w:type="dxa"/>
            <w:vAlign w:val="bottom"/>
            <w:gridSpan w:val="2"/>
          </w:tcPr>
          <w:p>
            <w:pPr>
              <w:jc w:val="right"/>
              <w:spacing w:after="0"/>
              <w:rPr>
                <w:sz w:val="20"/>
                <w:szCs w:val="20"/>
                <w:color w:val="auto"/>
              </w:rPr>
            </w:pPr>
            <w:r>
              <w:rPr>
                <w:rFonts w:ascii="Arial" w:cs="Arial" w:eastAsia="Arial" w:hAnsi="Arial"/>
                <w:sz w:val="12"/>
                <w:szCs w:val="12"/>
                <w:color w:val="auto"/>
              </w:rPr>
              <w:t>7,051,369</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4.93</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13.10</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2.5</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4,493,715</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4.47</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12.79</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7"/>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$13.65 — $14.06</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1,033,250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14.06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20"/>
                <w:szCs w:val="20"/>
                <w:color w:val="auto"/>
              </w:rPr>
            </w:pPr>
            <w:r>
              <w:rPr>
                <w:rFonts w:ascii="Arial" w:cs="Arial" w:eastAsia="Arial" w:hAnsi="Arial"/>
                <w:sz w:val="12"/>
                <w:szCs w:val="12"/>
                <w:color w:val="auto"/>
              </w:rPr>
              <w:t>$14.07 — $16.16</w:t>
            </w:r>
          </w:p>
        </w:tc>
        <w:tc>
          <w:tcPr>
            <w:tcW w:w="2340" w:type="dxa"/>
            <w:vAlign w:val="bottom"/>
            <w:gridSpan w:val="2"/>
          </w:tcPr>
          <w:p>
            <w:pPr>
              <w:jc w:val="right"/>
              <w:spacing w:after="0"/>
              <w:rPr>
                <w:sz w:val="20"/>
                <w:szCs w:val="20"/>
                <w:color w:val="auto"/>
              </w:rPr>
            </w:pPr>
            <w:r>
              <w:rPr>
                <w:rFonts w:ascii="Arial" w:cs="Arial" w:eastAsia="Arial" w:hAnsi="Arial"/>
                <w:sz w:val="12"/>
                <w:szCs w:val="12"/>
                <w:color w:val="auto"/>
              </w:rPr>
              <w:t>1,500,000</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7.05</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16.16</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$16.17 — $20.60</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2,691,335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2,688,835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20"/>
                <w:szCs w:val="20"/>
                <w:color w:val="auto"/>
              </w:rPr>
            </w:pPr>
            <w:r>
              <w:rPr>
                <w:rFonts w:ascii="Arial" w:cs="Arial" w:eastAsia="Arial" w:hAnsi="Arial"/>
                <w:sz w:val="12"/>
                <w:szCs w:val="12"/>
                <w:color w:val="auto"/>
              </w:rPr>
              <w:t>$20.61 — $21.90</w:t>
            </w:r>
          </w:p>
        </w:tc>
        <w:tc>
          <w:tcPr>
            <w:tcW w:w="2340" w:type="dxa"/>
            <w:vAlign w:val="bottom"/>
            <w:gridSpan w:val="2"/>
          </w:tcPr>
          <w:p>
            <w:pPr>
              <w:jc w:val="right"/>
              <w:spacing w:after="0"/>
              <w:rPr>
                <w:sz w:val="20"/>
                <w:szCs w:val="20"/>
                <w:color w:val="auto"/>
              </w:rPr>
            </w:pPr>
            <w:r>
              <w:rPr>
                <w:rFonts w:ascii="Arial" w:cs="Arial" w:eastAsia="Arial" w:hAnsi="Arial"/>
                <w:sz w:val="12"/>
                <w:szCs w:val="12"/>
                <w:color w:val="auto"/>
              </w:rPr>
              <w:t>1,970,793</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5.81</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21.89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1,970,793</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5.81</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21.89</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$21.91 — $23.44</w:t>
            </w:r>
          </w:p>
        </w:tc>
        <w:tc>
          <w:tcPr>
            <w:tcW w:w="16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1,865,667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23.42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1,858,167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6.97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23.43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5.53</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13.39</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4.84</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14.78</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23,238,646</w:t>
            </w: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51.3</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14,119,807</w:t>
            </w:r>
          </w:p>
        </w:tc>
        <w:tc>
          <w:tcPr>
            <w:tcW w:w="78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32"/>
        </w:trPr>
        <w:tc>
          <w:tcPr>
            <w:tcW w:w="1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We account for stock-based compensation plans in accordance with the FASB standard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Net earnings reflects stock-based compensation expense amounts of $33.7 million, $32.7 million, and $29.9 million, for the years ended December 31, 2009, 2008, and 2007, respectively, which are included in personnel costs in the reported financial results of each period.</w:t>
      </w:r>
    </w:p>
    <w:p>
      <w:pPr>
        <w:spacing w:after="0" w:line="3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risk free interest rates used in the calculation of compensation cost are the rates that correspond to the weighted average expected life of an option. The volatility was estimated based on the historical volatility of FNF’s stock price over a term equal to the weighted average expected life of the options. For options granted in the years ended December 31, 2009, 2008, and 2007, we used risk free interest rates of 2.5%, 2.5%, and 3.8%, respectively, volatility factors for the expected market price of the common stock of 53%, 40%, and 29%, respectively, expected dividend yields of 3.9%, 4.0%, and 5.0%, respectively, and weighted average expected lives of 4.8 years, 5.0 years, and 4.4 years, respectively. The weighted average fair value of each</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option granted in the years ended December 31, 2009, 2008, and 2007, were $5.32, $1.87, and $2.36, respectively.</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At December 31, 2009, the total unrecognized compensation cost related to non-vested stock option grants and restricted stock grants is $48.1 million, which is expected to be recognized in pre-tax income over a weighted average period of 1.63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connection with the Chicago Title merger, we assumed Chicago Title’s noncontributory defined contribution plan and noncontributory defined benefit pension plan (the “Pension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w:t>
      </w:r>
    </w:p>
    <w:p>
      <w:pPr>
        <w:spacing w:after="0" w:line="8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sets forth the funded status of the Pension Plan and amounts reflected in the Consolidated Balance Sheets as of December 31, 2009, 2008 and 2007:</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w w:val="98"/>
              </w:rPr>
              <w:t>2009</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6"/>
              </w:rPr>
              <w:t>(Dollars in millions)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Net benefit obligation at beginning of year</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145.0</w:t>
            </w: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158.3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Effects of change in actuarial assumptions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loss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Gross benefits paid</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(11.6)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benefit obligation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149.6</w:t>
            </w:r>
          </w:p>
        </w:tc>
        <w:tc>
          <w:tcPr>
            <w:tcW w:w="0" w:type="dxa"/>
            <w:vAlign w:val="bottom"/>
          </w:tcPr>
          <w:p>
            <w:pPr>
              <w:spacing w:after="0"/>
              <w:rPr>
                <w:sz w:val="1"/>
                <w:szCs w:val="1"/>
                <w:color w:val="auto"/>
              </w:rPr>
            </w:pPr>
          </w:p>
        </w:tc>
      </w:tr>
      <w:tr>
        <w:trPr>
          <w:trHeight w:val="166"/>
        </w:trPr>
        <w:tc>
          <w:tcPr>
            <w:tcW w:w="7600" w:type="dxa"/>
            <w:vAlign w:val="bottom"/>
          </w:tcPr>
          <w:p>
            <w:pPr>
              <w:spacing w:after="0"/>
              <w:rPr>
                <w:sz w:val="20"/>
                <w:szCs w:val="20"/>
                <w:color w:val="auto"/>
              </w:rPr>
            </w:pPr>
            <w:r>
              <w:rPr>
                <w:rFonts w:ascii="Arial" w:cs="Arial" w:eastAsia="Arial" w:hAnsi="Arial"/>
                <w:sz w:val="13"/>
                <w:szCs w:val="13"/>
                <w:color w:val="auto"/>
              </w:rPr>
              <w:t>Change in Pension Plan Assets:</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of plan assets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127.0</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Actual return on plan assets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Employer contributions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Gross benefits paid</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(11.6)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Fair value of plan assets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142.5</w:t>
            </w:r>
          </w:p>
        </w:tc>
        <w:tc>
          <w:tcPr>
            <w:tcW w:w="0" w:type="dxa"/>
            <w:vAlign w:val="bottom"/>
          </w:tcPr>
          <w:p>
            <w:pPr>
              <w:spacing w:after="0"/>
              <w:rPr>
                <w:sz w:val="1"/>
                <w:szCs w:val="1"/>
                <w:color w:val="auto"/>
              </w:rPr>
            </w:pPr>
          </w:p>
        </w:tc>
      </w:tr>
      <w:tr>
        <w:trPr>
          <w:trHeight w:val="29"/>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Funded status at end of year</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(27.6)</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Unrecognized net actuarial loss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80"/>
              <w:spacing w:after="0"/>
              <w:rPr>
                <w:sz w:val="20"/>
                <w:szCs w:val="20"/>
                <w:color w:val="auto"/>
              </w:rPr>
            </w:pPr>
            <w:r>
              <w:rPr>
                <w:rFonts w:ascii="Arial" w:cs="Arial" w:eastAsia="Arial" w:hAnsi="Arial"/>
                <w:sz w:val="13"/>
                <w:szCs w:val="13"/>
                <w:color w:val="auto"/>
              </w:rPr>
              <w:t>Net amount recognized at end of year</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46.9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accumulated benefit obligation (ABO) is the same as the projected benefit obligation (PBO) due to the pension plan being frozen as of December 31, 2000.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FASB standard on employers’ accounting for defined benefit pension and other post retirement plans, the measurement date is December 31.</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pension liability included in accounts payable and accrued liabilities as of December 31, 2009 and 2008 is $27.6 million and $36.9 million, respectively.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net periodic expense included in the results of operations for 2009, 2008, and 2007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131"/>
        </w:trPr>
        <w:tc>
          <w:tcPr>
            <w:tcW w:w="7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(Dollars in millions)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Interest cost</w:t>
            </w:r>
          </w:p>
        </w:tc>
        <w:tc>
          <w:tcPr>
            <w:tcW w:w="8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8.8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8.9</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assets</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(9.9)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Amortization of actuarial loss</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6.7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8.5</w:t>
            </w:r>
          </w:p>
        </w:tc>
      </w:tr>
      <w:tr>
        <w:trPr>
          <w:trHeight w:val="20"/>
        </w:trPr>
        <w:tc>
          <w:tcPr>
            <w:tcW w:w="7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Total net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w:t>
            </w:r>
          </w:p>
        </w:tc>
      </w:tr>
      <w:tr>
        <w:trPr>
          <w:trHeight w:val="29"/>
        </w:trPr>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net gain or loss recognized in other comprehensive income is shown below, on both a before tax and net of tax basis. There is no impact in other comprehensive income related to a net transition asset or obligation or net prior service cost or credit.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Before Tax</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w w:val="99"/>
              </w:rPr>
              <w:t>Net of Tax</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0"/>
                <w:szCs w:val="10"/>
                <w:b w:val="1"/>
                <w:bCs w:val="1"/>
                <w:color w:val="auto"/>
              </w:rPr>
              <w:t>(Dollars in millions)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Year ended December 31, 2009:</w:t>
            </w:r>
          </w:p>
        </w:tc>
        <w:tc>
          <w:tcPr>
            <w:tcW w:w="4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Accumulated other comprehensive income at January 1</w:t>
            </w:r>
          </w:p>
        </w:tc>
        <w:tc>
          <w:tcPr>
            <w:tcW w:w="4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Amounts recognized in current fiscal year:</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Unrecognized amounts arising in current fiscal year:</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 at December 31</w:t>
            </w:r>
          </w:p>
        </w:tc>
        <w:tc>
          <w:tcPr>
            <w:tcW w:w="4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Amounts expected to be recognized in the following year:</w:t>
            </w:r>
          </w:p>
        </w:tc>
        <w:tc>
          <w:tcPr>
            <w:tcW w:w="4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000" w:type="dxa"/>
            <w:vAlign w:val="bottom"/>
            <w:vMerge w:val="continue"/>
          </w:tcPr>
          <w:p>
            <w:pPr>
              <w:spacing w:after="0"/>
              <w:rPr>
                <w:sz w:val="14"/>
                <w:szCs w:val="14"/>
                <w:color w:val="auto"/>
              </w:rPr>
            </w:pPr>
          </w:p>
        </w:tc>
        <w:tc>
          <w:tcPr>
            <w:tcW w:w="4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Year ended December 31, 2008:</w:t>
            </w:r>
          </w:p>
        </w:tc>
        <w:tc>
          <w:tcPr>
            <w:tcW w:w="4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Accumulated other comprehensive income at January 1</w:t>
            </w:r>
          </w:p>
        </w:tc>
        <w:tc>
          <w:tcPr>
            <w:tcW w:w="4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53.8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Amounts recognized in current fiscal year:</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Unrecognized amounts arising in current fiscal year:</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Net loss/gain</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36.1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 at December 31</w:t>
            </w:r>
          </w:p>
        </w:tc>
        <w:tc>
          <w:tcPr>
            <w:tcW w:w="4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Amounts expected to be recognized in the following year:</w:t>
            </w:r>
          </w:p>
        </w:tc>
        <w:tc>
          <w:tcPr>
            <w:tcW w:w="4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00" w:type="dxa"/>
            <w:vAlign w:val="bottom"/>
            <w:vMerge w:val="continue"/>
          </w:tcPr>
          <w:p>
            <w:pPr>
              <w:spacing w:after="0"/>
              <w:rPr>
                <w:sz w:val="14"/>
                <w:szCs w:val="14"/>
                <w:color w:val="auto"/>
              </w:rPr>
            </w:pPr>
          </w:p>
        </w:tc>
        <w:tc>
          <w:tcPr>
            <w:tcW w:w="4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100" w:type="dxa"/>
            <w:vAlign w:val="bottom"/>
          </w:tcPr>
          <w:p>
            <w:pPr>
              <w:jc w:val="right"/>
              <w:ind w:right="2934"/>
              <w:spacing w:after="0"/>
              <w:rPr>
                <w:sz w:val="20"/>
                <w:szCs w:val="20"/>
                <w:color w:val="auto"/>
              </w:rPr>
            </w:pPr>
            <w:r>
              <w:rPr>
                <w:rFonts w:ascii="Arial" w:cs="Arial" w:eastAsia="Arial" w:hAnsi="Arial"/>
                <w:sz w:val="13"/>
                <w:szCs w:val="13"/>
                <w:color w:val="auto"/>
              </w:rPr>
              <w:t>109</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Assumptions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Weighted-average assumptions used to determine benefit obligations at December 31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10"/>
                <w:szCs w:val="10"/>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2008</w:t>
            </w:r>
          </w:p>
        </w:tc>
      </w:tr>
      <w:tr>
        <w:trPr>
          <w:trHeight w:val="178"/>
        </w:trPr>
        <w:tc>
          <w:tcPr>
            <w:tcW w:w="7800" w:type="dxa"/>
            <w:vAlign w:val="bottom"/>
            <w:gridSpan w:val="2"/>
          </w:tcPr>
          <w:p>
            <w:pPr>
              <w:spacing w:after="0"/>
              <w:rPr>
                <w:sz w:val="20"/>
                <w:szCs w:val="20"/>
                <w:color w:val="auto"/>
              </w:rPr>
            </w:pPr>
            <w:r>
              <w:rPr>
                <w:rFonts w:ascii="Arial" w:cs="Arial" w:eastAsia="Arial" w:hAnsi="Arial"/>
                <w:sz w:val="13"/>
                <w:szCs w:val="13"/>
                <w:color w:val="auto"/>
              </w:rPr>
              <w:t>Discount rate</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3"/>
                <w:szCs w:val="13"/>
                <w:color w:val="auto"/>
                <w:w w:val="97"/>
              </w:rPr>
              <w:t>5.61%</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6.25%</w:t>
            </w:r>
          </w:p>
        </w:tc>
      </w:tr>
      <w:tr>
        <w:trPr>
          <w:trHeight w:val="165"/>
        </w:trPr>
        <w:tc>
          <w:tcPr>
            <w:tcW w:w="7800" w:type="dxa"/>
            <w:vAlign w:val="bottom"/>
            <w:gridSpan w:val="2"/>
          </w:tcPr>
          <w:p>
            <w:pPr>
              <w:spacing w:after="0"/>
              <w:rPr>
                <w:sz w:val="20"/>
                <w:szCs w:val="20"/>
                <w:color w:val="auto"/>
              </w:rPr>
            </w:pPr>
            <w:r>
              <w:rPr>
                <w:rFonts w:ascii="Arial" w:cs="Arial" w:eastAsia="Arial" w:hAnsi="Arial"/>
                <w:sz w:val="13"/>
                <w:szCs w:val="13"/>
                <w:color w:val="auto"/>
              </w:rPr>
              <w:t>Rate of compensation increase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N/A(a)</w:t>
            </w:r>
          </w:p>
        </w:tc>
        <w:tc>
          <w:tcPr>
            <w:tcW w:w="480" w:type="dxa"/>
            <w:vAlign w:val="bottom"/>
          </w:tcPr>
          <w:p>
            <w:pPr>
              <w:jc w:val="right"/>
              <w:spacing w:after="0"/>
              <w:rPr>
                <w:sz w:val="20"/>
                <w:szCs w:val="20"/>
                <w:color w:val="auto"/>
              </w:rPr>
            </w:pPr>
            <w:r>
              <w:rPr>
                <w:rFonts w:ascii="Arial" w:cs="Arial" w:eastAsia="Arial" w:hAnsi="Arial"/>
                <w:sz w:val="13"/>
                <w:szCs w:val="13"/>
                <w:color w:val="auto"/>
              </w:rPr>
              <w:t>N/A(a)</w:t>
            </w:r>
          </w:p>
        </w:tc>
      </w:tr>
      <w:tr>
        <w:trPr>
          <w:trHeight w:val="246"/>
        </w:trPr>
        <w:tc>
          <w:tcPr>
            <w:tcW w:w="7800" w:type="dxa"/>
            <w:vAlign w:val="bottom"/>
            <w:gridSpan w:val="2"/>
          </w:tcPr>
          <w:p>
            <w:pPr>
              <w:ind w:left="400"/>
              <w:spacing w:after="0"/>
              <w:rPr>
                <w:sz w:val="20"/>
                <w:szCs w:val="20"/>
                <w:color w:val="auto"/>
              </w:rPr>
            </w:pPr>
            <w:r>
              <w:rPr>
                <w:rFonts w:ascii="Arial" w:cs="Arial" w:eastAsia="Arial" w:hAnsi="Arial"/>
                <w:sz w:val="13"/>
                <w:szCs w:val="13"/>
                <w:color w:val="auto"/>
              </w:rPr>
              <w:t>Weighted-average assumptions used to determine net expense for years ended December 31 are as follows:</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8"/>
        </w:trPr>
        <w:tc>
          <w:tcPr>
            <w:tcW w:w="13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2009</w:t>
            </w:r>
          </w:p>
        </w:tc>
        <w:tc>
          <w:tcPr>
            <w:tcW w:w="360" w:type="dxa"/>
            <w:vAlign w:val="bottom"/>
          </w:tcPr>
          <w:p>
            <w:pPr>
              <w:spacing w:after="0"/>
              <w:rPr>
                <w:sz w:val="18"/>
                <w:szCs w:val="18"/>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8"/>
                <w:szCs w:val="18"/>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2007</w:t>
            </w:r>
          </w:p>
        </w:tc>
      </w:tr>
      <w:tr>
        <w:trPr>
          <w:trHeight w:val="29"/>
        </w:trPr>
        <w:tc>
          <w:tcPr>
            <w:tcW w:w="13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 rate</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Expected return on plan assets</w:t>
            </w: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3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Rate of compensation increase</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N/A(a)</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N/A(a)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N/A(a)</w:t>
            </w:r>
          </w:p>
        </w:tc>
      </w:tr>
      <w:tr>
        <w:trPr>
          <w:trHeight w:val="98"/>
        </w:trPr>
        <w:tc>
          <w:tcPr>
            <w:tcW w:w="130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r>
    </w:tbl>
    <w:p>
      <w:pPr>
        <w:spacing w:after="0" w:line="40" w:lineRule="exact"/>
        <w:rPr>
          <w:sz w:val="20"/>
          <w:szCs w:val="20"/>
          <w:color w:val="auto"/>
        </w:rPr>
      </w:pPr>
    </w:p>
    <w:p>
      <w:pPr>
        <w:ind w:left="1080" w:hanging="393"/>
        <w:spacing w:after="0"/>
        <w:tabs>
          <w:tab w:leader="none" w:pos="10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Rate of compensation increase is not applicable due to the pension being frozen at December 31, 2000.</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discount rate used was determined by discounting projections of future benefit payments using annual spot rates from the Citigroup Pension Discount Curve. The discounted cash flows were then used to determine the effective discount rate.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 Assets</w:t>
      </w:r>
    </w:p>
    <w:p>
      <w:pPr>
        <w:spacing w:after="0" w:line="96" w:lineRule="exact"/>
        <w:rPr>
          <w:sz w:val="20"/>
          <w:szCs w:val="20"/>
          <w:color w:val="auto"/>
        </w:rPr>
      </w:pPr>
    </w:p>
    <w:p>
      <w:pPr>
        <w:ind w:left="680" w:right="900" w:firstLine="399"/>
        <w:spacing w:after="0" w:line="285" w:lineRule="auto"/>
        <w:rPr>
          <w:sz w:val="20"/>
          <w:szCs w:val="20"/>
          <w:color w:val="auto"/>
        </w:rPr>
      </w:pPr>
      <w:r>
        <w:rPr>
          <w:rFonts w:ascii="Arial" w:cs="Arial" w:eastAsia="Arial" w:hAnsi="Arial"/>
          <w:sz w:val="12"/>
          <w:szCs w:val="12"/>
          <w:color w:val="auto"/>
        </w:rPr>
        <w:t>The expected long term rate of return on plan assets was 7.5% and 8.5% for the years ended December 31, 2009 and 2008, respectively, derived using the plan’s asset mix, historical returns by asset category, expectations for future capital market performance, and the fund’s past experience. Both the plan’s investment policy and the expected long-term rate of return assumption are reviewed periodically. Our strategy is to focus on a one to three-year investment horizon, targeting equity securities at 65% of total assets. The remainder of the portfolio is invested in fixed income securities and cash equivalents in a liability driven investment strategy that intends to match the duration of the fixed income investments to the duration of the plan’s liabilities. We do not hold any investments in our own equity securities within the pension plan assets.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our pension plan assets at December 31, 2009, by asset category is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Quoted Prices</w:t>
            </w:r>
          </w:p>
        </w:tc>
        <w:tc>
          <w:tcPr>
            <w:tcW w:w="280" w:type="dxa"/>
            <w:vAlign w:val="bottom"/>
          </w:tcPr>
          <w:p>
            <w:pPr>
              <w:spacing w:after="0"/>
              <w:rPr>
                <w:sz w:val="10"/>
                <w:szCs w:val="10"/>
                <w:color w:val="auto"/>
              </w:rPr>
            </w:pPr>
          </w:p>
        </w:tc>
        <w:tc>
          <w:tcPr>
            <w:tcW w:w="1640" w:type="dxa"/>
            <w:vAlign w:val="bottom"/>
            <w:gridSpan w:val="3"/>
          </w:tcPr>
          <w:p>
            <w:pPr>
              <w:jc w:val="center"/>
              <w:spacing w:after="0"/>
              <w:rPr>
                <w:sz w:val="20"/>
                <w:szCs w:val="20"/>
                <w:color w:val="auto"/>
              </w:rPr>
            </w:pPr>
            <w:r>
              <w:rPr>
                <w:rFonts w:ascii="Arial" w:cs="Arial" w:eastAsia="Arial" w:hAnsi="Arial"/>
                <w:sz w:val="10"/>
                <w:szCs w:val="10"/>
                <w:b w:val="1"/>
                <w:bCs w:val="1"/>
                <w:color w:val="auto"/>
                <w:w w:val="93"/>
              </w:rPr>
              <w:t>Significant</w:t>
            </w:r>
          </w:p>
        </w:tc>
        <w:tc>
          <w:tcPr>
            <w:tcW w:w="280" w:type="dxa"/>
            <w:vAlign w:val="bottom"/>
          </w:tcPr>
          <w:p>
            <w:pPr>
              <w:spacing w:after="0"/>
              <w:rPr>
                <w:sz w:val="10"/>
                <w:szCs w:val="10"/>
                <w:color w:val="auto"/>
              </w:rPr>
            </w:pPr>
          </w:p>
        </w:tc>
        <w:tc>
          <w:tcPr>
            <w:tcW w:w="17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3"/>
              </w:rPr>
              <w:t>Significant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280" w:type="dxa"/>
            <w:vAlign w:val="bottom"/>
          </w:tcPr>
          <w:p>
            <w:pPr>
              <w:spacing w:after="0"/>
              <w:rPr>
                <w:sz w:val="9"/>
                <w:szCs w:val="9"/>
                <w:color w:val="auto"/>
              </w:rPr>
            </w:pPr>
          </w:p>
        </w:tc>
        <w:tc>
          <w:tcPr>
            <w:tcW w:w="152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7"/>
              </w:rPr>
              <w:t>in Active Markets</w:t>
            </w:r>
          </w:p>
        </w:tc>
        <w:tc>
          <w:tcPr>
            <w:tcW w:w="280" w:type="dxa"/>
            <w:vAlign w:val="bottom"/>
          </w:tcPr>
          <w:p>
            <w:pPr>
              <w:spacing w:after="0"/>
              <w:rPr>
                <w:sz w:val="9"/>
                <w:szCs w:val="9"/>
                <w:color w:val="auto"/>
              </w:rPr>
            </w:pPr>
          </w:p>
        </w:tc>
        <w:tc>
          <w:tcPr>
            <w:tcW w:w="164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6"/>
              </w:rPr>
              <w:t>Observable Inputs</w:t>
            </w:r>
          </w:p>
        </w:tc>
        <w:tc>
          <w:tcPr>
            <w:tcW w:w="280" w:type="dxa"/>
            <w:vAlign w:val="bottom"/>
          </w:tcPr>
          <w:p>
            <w:pPr>
              <w:spacing w:after="0"/>
              <w:rPr>
                <w:sz w:val="9"/>
                <w:szCs w:val="9"/>
                <w:color w:val="auto"/>
              </w:rPr>
            </w:pPr>
          </w:p>
        </w:tc>
        <w:tc>
          <w:tcPr>
            <w:tcW w:w="170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4"/>
              </w:rPr>
              <w:t>Unobservable 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(Level 1)</w:t>
            </w:r>
          </w:p>
        </w:tc>
        <w:tc>
          <w:tcPr>
            <w:tcW w:w="280" w:type="dxa"/>
            <w:vAlign w:val="bottom"/>
          </w:tcPr>
          <w:p>
            <w:pPr>
              <w:spacing w:after="0"/>
              <w:rPr>
                <w:sz w:val="10"/>
                <w:szCs w:val="10"/>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(Level 2)</w:t>
            </w:r>
          </w:p>
        </w:tc>
        <w:tc>
          <w:tcPr>
            <w:tcW w:w="280" w:type="dxa"/>
            <w:vAlign w:val="bottom"/>
          </w:tcPr>
          <w:p>
            <w:pPr>
              <w:spacing w:after="0"/>
              <w:rPr>
                <w:sz w:val="10"/>
                <w:szCs w:val="1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69.4</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1920" w:type="dxa"/>
            <w:vAlign w:val="bottom"/>
            <w:gridSpan w:val="4"/>
            <w:shd w:val="clear" w:color="auto" w:fill="CCEEFF"/>
          </w:tcPr>
          <w:p>
            <w:pPr>
              <w:jc w:val="right"/>
              <w:ind w:right="660"/>
              <w:spacing w:after="0"/>
              <w:rPr>
                <w:sz w:val="20"/>
                <w:szCs w:val="20"/>
                <w:color w:val="auto"/>
              </w:rPr>
            </w:pPr>
            <w:r>
              <w:rPr>
                <w:rFonts w:ascii="Arial" w:cs="Arial" w:eastAsia="Arial" w:hAnsi="Arial"/>
                <w:sz w:val="13"/>
                <w:szCs w:val="13"/>
                <w:color w:val="auto"/>
              </w:rPr>
              <w:t>69.4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Fixed income securities</w:t>
            </w: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45.8</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1920" w:type="dxa"/>
            <w:vAlign w:val="bottom"/>
            <w:gridSpan w:val="4"/>
          </w:tcPr>
          <w:p>
            <w:pPr>
              <w:jc w:val="right"/>
              <w:ind w:right="660"/>
              <w:spacing w:after="0"/>
              <w:rPr>
                <w:sz w:val="20"/>
                <w:szCs w:val="20"/>
                <w:color w:val="auto"/>
              </w:rPr>
            </w:pPr>
            <w:r>
              <w:rPr>
                <w:rFonts w:ascii="Arial" w:cs="Arial" w:eastAsia="Arial" w:hAnsi="Arial"/>
                <w:sz w:val="13"/>
                <w:szCs w:val="13"/>
                <w:color w:val="auto"/>
              </w:rPr>
              <w:t>45.8</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Insurance annuities</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6.5</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1980" w:type="dxa"/>
            <w:vAlign w:val="bottom"/>
            <w:gridSpan w:val="4"/>
            <w:shd w:val="clear" w:color="auto" w:fill="CCEEFF"/>
          </w:tcPr>
          <w:p>
            <w:pPr>
              <w:jc w:val="right"/>
              <w:ind w:right="760"/>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Non-interest bearing cash</w:t>
            </w: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0.4</w:t>
            </w:r>
          </w:p>
        </w:tc>
        <w:tc>
          <w:tcPr>
            <w:tcW w:w="1800" w:type="dxa"/>
            <w:vAlign w:val="bottom"/>
            <w:gridSpan w:val="4"/>
          </w:tcPr>
          <w:p>
            <w:pPr>
              <w:jc w:val="right"/>
              <w:ind w:right="680"/>
              <w:spacing w:after="0"/>
              <w:rPr>
                <w:sz w:val="20"/>
                <w:szCs w:val="20"/>
                <w:color w:val="auto"/>
              </w:rPr>
            </w:pPr>
            <w:r>
              <w:rPr>
                <w:rFonts w:ascii="Arial" w:cs="Arial" w:eastAsia="Arial" w:hAnsi="Arial"/>
                <w:sz w:val="13"/>
                <w:szCs w:val="13"/>
                <w:color w:val="auto"/>
              </w:rPr>
              <w:t>0.4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1980" w:type="dxa"/>
            <w:vAlign w:val="bottom"/>
            <w:gridSpan w:val="4"/>
            <w:shd w:val="clear" w:color="auto" w:fill="CCEEFF"/>
          </w:tcPr>
          <w:p>
            <w:pPr>
              <w:jc w:val="right"/>
              <w:ind w:right="760"/>
              <w:spacing w:after="0"/>
              <w:rPr>
                <w:sz w:val="20"/>
                <w:szCs w:val="20"/>
                <w:color w:val="auto"/>
              </w:rPr>
            </w:pPr>
            <w:r>
              <w:rPr>
                <w:rFonts w:ascii="Arial" w:cs="Arial" w:eastAsia="Arial" w:hAnsi="Arial"/>
                <w:sz w:val="13"/>
                <w:szCs w:val="13"/>
                <w:color w:val="auto"/>
              </w:rPr>
              <w:t>2.</w:t>
            </w:r>
            <w:r>
              <w:rPr>
                <w:rFonts w:ascii="Arial" w:cs="Arial" w:eastAsia="Arial" w:hAnsi="Arial"/>
                <w:sz w:val="13"/>
                <w:szCs w:val="13"/>
                <w:u w:val="single" w:color="auto"/>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124.</w:t>
            </w:r>
            <w:r>
              <w:rPr>
                <w:rFonts w:ascii="Arial" w:cs="Arial" w:eastAsia="Arial" w:hAnsi="Arial"/>
                <w:sz w:val="13"/>
                <w:szCs w:val="13"/>
                <w:u w:val="single" w:color="auto"/>
                <w:color w:val="auto"/>
                <w:w w:val="85"/>
              </w:rPr>
              <w:t>6</w:t>
            </w:r>
          </w:p>
        </w:tc>
        <w:tc>
          <w:tcPr>
            <w:tcW w:w="1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840" w:type="dxa"/>
            <w:vAlign w:val="bottom"/>
            <w:gridSpan w:val="2"/>
          </w:tcPr>
          <w:p>
            <w:pPr>
              <w:jc w:val="right"/>
              <w:ind w:right="680"/>
              <w:spacing w:after="0"/>
              <w:rPr>
                <w:sz w:val="20"/>
                <w:szCs w:val="20"/>
                <w:color w:val="auto"/>
              </w:rPr>
            </w:pPr>
            <w:r>
              <w:rPr>
                <w:rFonts w:ascii="Arial" w:cs="Arial" w:eastAsia="Arial" w:hAnsi="Arial"/>
                <w:sz w:val="13"/>
                <w:szCs w:val="13"/>
                <w:color w:val="auto"/>
                <w:w w:val="77"/>
              </w:rPr>
              <w:t>0.</w:t>
            </w:r>
            <w:r>
              <w:rPr>
                <w:rFonts w:ascii="Arial" w:cs="Arial" w:eastAsia="Arial" w:hAnsi="Arial"/>
                <w:sz w:val="13"/>
                <w:szCs w:val="13"/>
                <w:u w:val="single" w:color="auto"/>
                <w:color w:val="auto"/>
                <w:w w:val="77"/>
              </w:rPr>
              <w:t>4</w:t>
            </w:r>
          </w:p>
        </w:tc>
        <w:tc>
          <w:tcPr>
            <w:tcW w:w="1920" w:type="dxa"/>
            <w:vAlign w:val="bottom"/>
            <w:gridSpan w:val="4"/>
          </w:tcPr>
          <w:p>
            <w:pPr>
              <w:jc w:val="right"/>
              <w:ind w:right="660"/>
              <w:spacing w:after="0"/>
              <w:rPr>
                <w:sz w:val="20"/>
                <w:szCs w:val="20"/>
                <w:color w:val="auto"/>
              </w:rPr>
            </w:pPr>
            <w:r>
              <w:rPr>
                <w:rFonts w:ascii="Arial" w:cs="Arial" w:eastAsia="Arial" w:hAnsi="Arial"/>
                <w:sz w:val="13"/>
                <w:szCs w:val="13"/>
                <w:color w:val="auto"/>
              </w:rPr>
              <w:t>115.</w:t>
            </w:r>
            <w:r>
              <w:rPr>
                <w:rFonts w:ascii="Arial" w:cs="Arial" w:eastAsia="Arial" w:hAnsi="Arial"/>
                <w:sz w:val="13"/>
                <w:szCs w:val="13"/>
                <w:u w:val="single" w:color="auto"/>
                <w:color w:val="auto"/>
              </w:rPr>
              <w:t>2</w:t>
            </w:r>
          </w:p>
        </w:tc>
        <w:tc>
          <w:tcPr>
            <w:tcW w:w="1980" w:type="dxa"/>
            <w:vAlign w:val="bottom"/>
            <w:gridSpan w:val="4"/>
          </w:tcPr>
          <w:p>
            <w:pPr>
              <w:jc w:val="right"/>
              <w:ind w:right="760"/>
              <w:spacing w:after="0"/>
              <w:rPr>
                <w:sz w:val="20"/>
                <w:szCs w:val="20"/>
                <w:color w:val="auto"/>
              </w:rPr>
            </w:pPr>
            <w:r>
              <w:rPr>
                <w:rFonts w:ascii="Arial" w:cs="Arial" w:eastAsia="Arial" w:hAnsi="Arial"/>
                <w:sz w:val="13"/>
                <w:szCs w:val="13"/>
                <w:color w:val="auto"/>
              </w:rPr>
              <w:t>9.</w:t>
            </w:r>
            <w:r>
              <w:rPr>
                <w:rFonts w:ascii="Arial" w:cs="Arial" w:eastAsia="Arial" w:hAnsi="Arial"/>
                <w:sz w:val="13"/>
                <w:szCs w:val="13"/>
                <w:u w:val="single" w:color="auto"/>
                <w:color w:val="auto"/>
              </w:rPr>
              <w:t>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3"/>
                <w:szCs w:val="13"/>
                <w:color w:val="auto"/>
              </w:rPr>
              <w:t>110</w:t>
            </w:r>
          </w:p>
        </w:tc>
        <w:tc>
          <w:tcPr>
            <w:tcW w:w="1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49"/>
        </w:trPr>
        <w:tc>
          <w:tcPr>
            <w:tcW w:w="1034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360" w:type="dxa"/>
            <w:vAlign w:val="bottom"/>
          </w:tcPr>
          <w:p>
            <w:pPr>
              <w:jc w:val="center"/>
              <w:spacing w:after="0"/>
              <w:rPr>
                <w:sz w:val="20"/>
                <w:szCs w:val="20"/>
                <w:color w:val="auto"/>
              </w:rPr>
            </w:pPr>
            <w:r>
              <w:rPr>
                <w:rFonts w:ascii="Arial" w:cs="Arial" w:eastAsia="Arial" w:hAnsi="Arial"/>
                <w:sz w:val="13"/>
                <w:szCs w:val="13"/>
                <w:b w:val="1"/>
                <w:bCs w:val="1"/>
                <w:color w:val="auto"/>
              </w:rPr>
              <w:t>FIDELITY NATIONAL FINANCIAL, INC.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360" w:type="dxa"/>
            <w:vAlign w:val="bottom"/>
          </w:tcPr>
          <w:p>
            <w:pPr>
              <w:jc w:val="center"/>
              <w:spacing w:after="0"/>
              <w:rPr>
                <w:sz w:val="20"/>
                <w:szCs w:val="20"/>
                <w:color w:val="auto"/>
              </w:rPr>
            </w:pPr>
            <w:r>
              <w:rPr>
                <w:rFonts w:ascii="Arial" w:cs="Arial" w:eastAsia="Arial" w:hAnsi="Arial"/>
                <w:sz w:val="13"/>
                <w:szCs w:val="13"/>
                <w:b w:val="1"/>
                <w:bCs w:val="1"/>
                <w:color w:val="auto"/>
                <w:w w:val="98"/>
              </w:rPr>
              <w:t>NOTES TO CONSOLIDATED FINANCIAL STATEMENTS — (continued)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tcPr>
          <w:p>
            <w:pPr>
              <w:ind w:left="100"/>
              <w:spacing w:after="0"/>
              <w:rPr>
                <w:sz w:val="20"/>
                <w:szCs w:val="20"/>
                <w:color w:val="auto"/>
              </w:rPr>
            </w:pPr>
            <w:r>
              <w:rPr>
                <w:rFonts w:ascii="Arial" w:cs="Arial" w:eastAsia="Arial" w:hAnsi="Arial"/>
                <w:sz w:val="13"/>
                <w:szCs w:val="13"/>
                <w:color w:val="auto"/>
              </w:rPr>
              <w:t>The change in the fair value of our pension plan assets which use significant unobservable inputs (Level 3) are as follows (in millions):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December 31, 2008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r>
      <w:tr>
        <w:trPr>
          <w:trHeight w:val="157"/>
        </w:trPr>
        <w:tc>
          <w:tcPr>
            <w:tcW w:w="680" w:type="dxa"/>
            <w:vAlign w:val="bottom"/>
          </w:tcPr>
          <w:p>
            <w:pPr>
              <w:spacing w:after="0"/>
              <w:rPr>
                <w:sz w:val="13"/>
                <w:szCs w:val="13"/>
                <w:color w:val="auto"/>
              </w:rPr>
            </w:pPr>
          </w:p>
        </w:tc>
        <w:tc>
          <w:tcPr>
            <w:tcW w:w="9660" w:type="dxa"/>
            <w:vAlign w:val="bottom"/>
            <w:gridSpan w:val="2"/>
          </w:tcPr>
          <w:p>
            <w:pPr>
              <w:spacing w:after="0"/>
              <w:rPr>
                <w:sz w:val="20"/>
                <w:szCs w:val="20"/>
                <w:color w:val="auto"/>
              </w:rPr>
            </w:pPr>
            <w:r>
              <w:rPr>
                <w:rFonts w:ascii="Arial" w:cs="Arial" w:eastAsia="Arial" w:hAnsi="Arial"/>
                <w:sz w:val="13"/>
                <w:szCs w:val="13"/>
                <w:color w:val="auto"/>
              </w:rPr>
              <w:t>Additions due to contributions or transfers during the period due to benefit payments, expenses, taxes, risk charges, and transfers out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(0.8)</w:t>
            </w:r>
          </w:p>
        </w:tc>
      </w:tr>
      <w:tr>
        <w:trPr>
          <w:trHeight w:val="157"/>
        </w:trPr>
        <w:tc>
          <w:tcPr>
            <w:tcW w:w="680" w:type="dxa"/>
            <w:vAlign w:val="bottom"/>
          </w:tcPr>
          <w:p>
            <w:pPr>
              <w:spacing w:after="0"/>
              <w:rPr>
                <w:sz w:val="13"/>
                <w:szCs w:val="13"/>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earnings for the period</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r>
      <w:tr>
        <w:trPr>
          <w:trHeight w:val="157"/>
        </w:trPr>
        <w:tc>
          <w:tcPr>
            <w:tcW w:w="680" w:type="dxa"/>
            <w:vAlign w:val="bottom"/>
          </w:tcPr>
          <w:p>
            <w:pPr>
              <w:spacing w:after="0"/>
              <w:rPr>
                <w:sz w:val="13"/>
                <w:szCs w:val="13"/>
                <w:color w:val="auto"/>
              </w:rPr>
            </w:pPr>
          </w:p>
        </w:tc>
        <w:tc>
          <w:tcPr>
            <w:tcW w:w="9660" w:type="dxa"/>
            <w:vAlign w:val="bottom"/>
            <w:gridSpan w:val="2"/>
          </w:tcPr>
          <w:p>
            <w:pPr>
              <w:spacing w:after="0"/>
              <w:rPr>
                <w:sz w:val="20"/>
                <w:szCs w:val="20"/>
                <w:color w:val="auto"/>
              </w:rPr>
            </w:pPr>
            <w:r>
              <w:rPr>
                <w:rFonts w:ascii="Arial" w:cs="Arial" w:eastAsia="Arial" w:hAnsi="Arial"/>
                <w:sz w:val="13"/>
                <w:szCs w:val="13"/>
                <w:color w:val="auto"/>
              </w:rPr>
              <w:t>Net purchases</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0.8</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December 31, 2009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 Cash Flows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Plan Contributions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funding policy is to contribute annually at least the minimum required contribution under the Employee Retirement Income Security Act (ERISA). Contributions are intended to provide not only for benefits accrued to date, but also for those expected to be earned in the future. In 2009, 2008 and 2007, we made contributions of $5.8 million, $3.8 million, and $17.1 million, respectively.</w:t>
      </w:r>
    </w:p>
    <w:p>
      <w:pPr>
        <w:spacing w:after="0" w:line="146"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9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Plan Benefit Payments</w:t>
            </w:r>
          </w:p>
        </w:tc>
        <w:tc>
          <w:tcPr>
            <w:tcW w:w="3060" w:type="dxa"/>
            <w:vAlign w:val="bottom"/>
          </w:tcPr>
          <w:p>
            <w:pPr>
              <w:spacing w:after="0"/>
              <w:rPr>
                <w:sz w:val="14"/>
                <w:szCs w:val="14"/>
                <w:color w:val="auto"/>
              </w:rPr>
            </w:pPr>
          </w:p>
        </w:tc>
      </w:tr>
      <w:tr>
        <w:trPr>
          <w:trHeight w:val="246"/>
        </w:trPr>
        <w:tc>
          <w:tcPr>
            <w:tcW w:w="6920" w:type="dxa"/>
            <w:vAlign w:val="bottom"/>
          </w:tcPr>
          <w:p>
            <w:pPr>
              <w:ind w:left="400"/>
              <w:spacing w:after="0"/>
              <w:rPr>
                <w:sz w:val="20"/>
                <w:szCs w:val="20"/>
                <w:color w:val="auto"/>
              </w:rPr>
            </w:pPr>
            <w:r>
              <w:rPr>
                <w:rFonts w:ascii="Arial" w:cs="Arial" w:eastAsia="Arial" w:hAnsi="Arial"/>
                <w:sz w:val="13"/>
                <w:szCs w:val="13"/>
                <w:color w:val="auto"/>
              </w:rPr>
              <w:t>A detail of actual and expected benefit payments is as follows (in millions):</w:t>
            </w:r>
          </w:p>
        </w:tc>
        <w:tc>
          <w:tcPr>
            <w:tcW w:w="3060" w:type="dxa"/>
            <w:vAlign w:val="bottom"/>
          </w:tcPr>
          <w:p>
            <w:pPr>
              <w:spacing w:after="0"/>
              <w:rPr>
                <w:sz w:val="21"/>
                <w:szCs w:val="21"/>
                <w:color w:val="auto"/>
              </w:rPr>
            </w:pPr>
          </w:p>
        </w:tc>
      </w:tr>
      <w:tr>
        <w:trPr>
          <w:trHeight w:val="100"/>
        </w:trPr>
        <w:tc>
          <w:tcPr>
            <w:tcW w:w="6920" w:type="dxa"/>
            <w:vAlign w:val="bottom"/>
          </w:tcPr>
          <w:p>
            <w:pPr>
              <w:spacing w:after="0"/>
              <w:rPr>
                <w:sz w:val="8"/>
                <w:szCs w:val="8"/>
                <w:color w:val="auto"/>
              </w:rPr>
            </w:pPr>
          </w:p>
        </w:tc>
        <w:tc>
          <w:tcPr>
            <w:tcW w:w="3060" w:type="dxa"/>
            <w:vAlign w:val="bottom"/>
          </w:tcPr>
          <w:p>
            <w:pPr>
              <w:spacing w:after="0"/>
              <w:rPr>
                <w:sz w:val="8"/>
                <w:szCs w:val="8"/>
                <w:color w:val="auto"/>
              </w:rPr>
            </w:pPr>
          </w:p>
        </w:tc>
      </w:tr>
      <w:tr>
        <w:trPr>
          <w:trHeight w:val="157"/>
        </w:trPr>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Actual Benefit Payments:</w:t>
            </w:r>
          </w:p>
        </w:tc>
        <w:tc>
          <w:tcPr>
            <w:tcW w:w="3060" w:type="dxa"/>
            <w:vAlign w:val="bottom"/>
            <w:shd w:val="clear" w:color="auto" w:fill="CCEEFF"/>
          </w:tcPr>
          <w:p>
            <w:pPr>
              <w:spacing w:after="0"/>
              <w:rPr>
                <w:sz w:val="13"/>
                <w:szCs w:val="13"/>
                <w:color w:val="auto"/>
              </w:rPr>
            </w:pPr>
          </w:p>
        </w:tc>
      </w:tr>
      <w:tr>
        <w:trPr>
          <w:trHeight w:val="157"/>
        </w:trPr>
        <w:tc>
          <w:tcPr>
            <w:tcW w:w="6920" w:type="dxa"/>
            <w:vAlign w:val="bottom"/>
          </w:tcPr>
          <w:p>
            <w:pPr>
              <w:spacing w:after="0"/>
              <w:rPr>
                <w:sz w:val="20"/>
                <w:szCs w:val="20"/>
                <w:color w:val="auto"/>
              </w:rPr>
            </w:pPr>
            <w:r>
              <w:rPr>
                <w:rFonts w:ascii="Arial" w:cs="Arial" w:eastAsia="Arial" w:hAnsi="Arial"/>
                <w:sz w:val="13"/>
                <w:szCs w:val="13"/>
                <w:color w:val="auto"/>
              </w:rPr>
              <w:t>2008</w:t>
            </w:r>
          </w:p>
        </w:tc>
        <w:tc>
          <w:tcPr>
            <w:tcW w:w="3060" w:type="dxa"/>
            <w:vAlign w:val="bottom"/>
          </w:tcPr>
          <w:p>
            <w:pPr>
              <w:jc w:val="right"/>
              <w:ind w:right="134"/>
              <w:spacing w:after="0"/>
              <w:rPr>
                <w:sz w:val="20"/>
                <w:szCs w:val="20"/>
                <w:color w:val="auto"/>
              </w:rPr>
            </w:pPr>
            <w:r>
              <w:rPr>
                <w:rFonts w:ascii="Arial" w:cs="Arial" w:eastAsia="Arial" w:hAnsi="Arial"/>
                <w:sz w:val="13"/>
                <w:szCs w:val="13"/>
                <w:color w:val="auto"/>
              </w:rPr>
              <w:t>$12.7</w:t>
            </w:r>
          </w:p>
        </w:tc>
      </w:tr>
      <w:tr>
        <w:trPr>
          <w:trHeight w:val="157"/>
        </w:trPr>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306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11.6</w:t>
            </w:r>
          </w:p>
        </w:tc>
      </w:tr>
      <w:tr>
        <w:trPr>
          <w:trHeight w:val="157"/>
        </w:trPr>
        <w:tc>
          <w:tcPr>
            <w:tcW w:w="6920" w:type="dxa"/>
            <w:vAlign w:val="bottom"/>
          </w:tcPr>
          <w:p>
            <w:pPr>
              <w:spacing w:after="0"/>
              <w:rPr>
                <w:sz w:val="20"/>
                <w:szCs w:val="20"/>
                <w:color w:val="auto"/>
              </w:rPr>
            </w:pPr>
            <w:r>
              <w:rPr>
                <w:rFonts w:ascii="Arial" w:cs="Arial" w:eastAsia="Arial" w:hAnsi="Arial"/>
                <w:sz w:val="13"/>
                <w:szCs w:val="13"/>
                <w:color w:val="auto"/>
              </w:rPr>
              <w:t>Expected Future Payments:</w:t>
            </w:r>
          </w:p>
        </w:tc>
        <w:tc>
          <w:tcPr>
            <w:tcW w:w="3060" w:type="dxa"/>
            <w:vAlign w:val="bottom"/>
          </w:tcPr>
          <w:p>
            <w:pPr>
              <w:spacing w:after="0"/>
              <w:rPr>
                <w:sz w:val="13"/>
                <w:szCs w:val="13"/>
                <w:color w:val="auto"/>
              </w:rPr>
            </w:pPr>
          </w:p>
        </w:tc>
      </w:tr>
      <w:tr>
        <w:trPr>
          <w:trHeight w:val="157"/>
        </w:trPr>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306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$11.8</w:t>
            </w:r>
          </w:p>
        </w:tc>
      </w:tr>
      <w:tr>
        <w:trPr>
          <w:trHeight w:val="157"/>
        </w:trPr>
        <w:tc>
          <w:tcPr>
            <w:tcW w:w="6920" w:type="dxa"/>
            <w:vAlign w:val="bottom"/>
          </w:tcPr>
          <w:p>
            <w:pPr>
              <w:spacing w:after="0"/>
              <w:rPr>
                <w:sz w:val="20"/>
                <w:szCs w:val="20"/>
                <w:color w:val="auto"/>
              </w:rPr>
            </w:pPr>
            <w:r>
              <w:rPr>
                <w:rFonts w:ascii="Arial" w:cs="Arial" w:eastAsia="Arial" w:hAnsi="Arial"/>
                <w:sz w:val="13"/>
                <w:szCs w:val="13"/>
                <w:color w:val="auto"/>
              </w:rPr>
              <w:t>2011</w:t>
            </w:r>
          </w:p>
        </w:tc>
        <w:tc>
          <w:tcPr>
            <w:tcW w:w="3060" w:type="dxa"/>
            <w:vAlign w:val="bottom"/>
          </w:tcPr>
          <w:p>
            <w:pPr>
              <w:jc w:val="right"/>
              <w:ind w:right="134"/>
              <w:spacing w:after="0"/>
              <w:rPr>
                <w:sz w:val="20"/>
                <w:szCs w:val="20"/>
                <w:color w:val="auto"/>
              </w:rPr>
            </w:pPr>
            <w:r>
              <w:rPr>
                <w:rFonts w:ascii="Arial" w:cs="Arial" w:eastAsia="Arial" w:hAnsi="Arial"/>
                <w:sz w:val="13"/>
                <w:szCs w:val="13"/>
                <w:color w:val="auto"/>
              </w:rPr>
              <w:t>11.4</w:t>
            </w:r>
          </w:p>
        </w:tc>
      </w:tr>
      <w:tr>
        <w:trPr>
          <w:trHeight w:val="157"/>
        </w:trPr>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306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11.5</w:t>
            </w:r>
          </w:p>
        </w:tc>
      </w:tr>
      <w:tr>
        <w:trPr>
          <w:trHeight w:val="157"/>
        </w:trPr>
        <w:tc>
          <w:tcPr>
            <w:tcW w:w="6920" w:type="dxa"/>
            <w:vAlign w:val="bottom"/>
          </w:tcPr>
          <w:p>
            <w:pPr>
              <w:spacing w:after="0"/>
              <w:rPr>
                <w:sz w:val="20"/>
                <w:szCs w:val="20"/>
                <w:color w:val="auto"/>
              </w:rPr>
            </w:pPr>
            <w:r>
              <w:rPr>
                <w:rFonts w:ascii="Arial" w:cs="Arial" w:eastAsia="Arial" w:hAnsi="Arial"/>
                <w:sz w:val="13"/>
                <w:szCs w:val="13"/>
                <w:color w:val="auto"/>
              </w:rPr>
              <w:t>2013</w:t>
            </w:r>
          </w:p>
        </w:tc>
        <w:tc>
          <w:tcPr>
            <w:tcW w:w="3060" w:type="dxa"/>
            <w:vAlign w:val="bottom"/>
          </w:tcPr>
          <w:p>
            <w:pPr>
              <w:jc w:val="right"/>
              <w:ind w:right="134"/>
              <w:spacing w:after="0"/>
              <w:rPr>
                <w:sz w:val="20"/>
                <w:szCs w:val="20"/>
                <w:color w:val="auto"/>
              </w:rPr>
            </w:pPr>
            <w:r>
              <w:rPr>
                <w:rFonts w:ascii="Arial" w:cs="Arial" w:eastAsia="Arial" w:hAnsi="Arial"/>
                <w:sz w:val="13"/>
                <w:szCs w:val="13"/>
                <w:color w:val="auto"/>
              </w:rPr>
              <w:t>11.5</w:t>
            </w:r>
          </w:p>
        </w:tc>
      </w:tr>
      <w:tr>
        <w:trPr>
          <w:trHeight w:val="157"/>
        </w:trPr>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306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11.6</w:t>
            </w:r>
          </w:p>
        </w:tc>
      </w:tr>
      <w:tr>
        <w:trPr>
          <w:trHeight w:val="165"/>
        </w:trPr>
        <w:tc>
          <w:tcPr>
            <w:tcW w:w="6920" w:type="dxa"/>
            <w:vAlign w:val="bottom"/>
          </w:tcPr>
          <w:p>
            <w:pPr>
              <w:spacing w:after="0"/>
              <w:rPr>
                <w:sz w:val="20"/>
                <w:szCs w:val="20"/>
                <w:color w:val="auto"/>
              </w:rPr>
            </w:pPr>
            <w:r>
              <w:rPr>
                <w:rFonts w:ascii="Arial" w:cs="Arial" w:eastAsia="Arial" w:hAnsi="Arial"/>
                <w:sz w:val="13"/>
                <w:szCs w:val="13"/>
                <w:color w:val="auto"/>
              </w:rPr>
              <w:t>2015-2019</w:t>
            </w:r>
          </w:p>
        </w:tc>
        <w:tc>
          <w:tcPr>
            <w:tcW w:w="3060" w:type="dxa"/>
            <w:vAlign w:val="bottom"/>
          </w:tcPr>
          <w:p>
            <w:pPr>
              <w:jc w:val="right"/>
              <w:ind w:right="134"/>
              <w:spacing w:after="0"/>
              <w:rPr>
                <w:sz w:val="20"/>
                <w:szCs w:val="20"/>
                <w:color w:val="auto"/>
              </w:rPr>
            </w:pPr>
            <w:r>
              <w:rPr>
                <w:rFonts w:ascii="Arial" w:cs="Arial" w:eastAsia="Arial" w:hAnsi="Arial"/>
                <w:sz w:val="13"/>
                <w:szCs w:val="13"/>
                <w:color w:val="auto"/>
              </w:rPr>
              <w:t>56.0</w:t>
            </w: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Postretirement and Other Nonqualified Employee Benefit Plans</w:t>
      </w:r>
    </w:p>
    <w:p>
      <w:pPr>
        <w:spacing w:after="0" w:line="96"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We assumed certain health care and life insurance benefits for retired Chicago Title employees in connection with the Chicago Title merger. Beginning on January 1, 2001, these benefits were offered to all employees who met specific eligibility requirements. Additionally, in connection with the acquisition of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$35.9 million, $22.6 million, and $17.3 million at December 31, 2009, 2008, and 2007, respectively. The costs included in the results of operations relating to these plans were $1.7 million, $1.5 million, and $1.5 million for the years ending December 31, 2009, 2008, and 2007, respectively.</w:t>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O.</w:t>
      </w:r>
      <w:r>
        <w:rPr>
          <w:sz w:val="20"/>
          <w:szCs w:val="20"/>
          <w:color w:val="auto"/>
        </w:rPr>
        <w:tab/>
      </w:r>
      <w:r>
        <w:rPr>
          <w:rFonts w:ascii="Arial" w:cs="Arial" w:eastAsia="Arial" w:hAnsi="Arial"/>
          <w:sz w:val="12"/>
          <w:szCs w:val="12"/>
          <w:b w:val="1"/>
          <w:bCs w:val="1"/>
          <w:color w:val="auto"/>
        </w:rPr>
        <w:t>Supplementary Cash Flow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supplemental cash flow information is provided with respect to interest and tax payments, as well as certain non-cash investing and financing activities.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9"/>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2009</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(Dollars in millions)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Cash paid (received) during the year:</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51.3</w:t>
            </w:r>
          </w:p>
        </w:tc>
        <w:tc>
          <w:tcPr>
            <w:tcW w:w="140" w:type="dxa"/>
            <w:vAlign w:val="bottom"/>
          </w:tcPr>
          <w:p>
            <w:pPr>
              <w:spacing w:after="0"/>
              <w:rPr>
                <w:sz w:val="13"/>
                <w:szCs w:val="13"/>
                <w:color w:val="auto"/>
              </w:rPr>
            </w:pPr>
          </w:p>
        </w:tc>
        <w:tc>
          <w:tcPr>
            <w:tcW w:w="4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 in connection with acquisitions: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Fair value of assets acquired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77.4</w:t>
            </w:r>
          </w:p>
        </w:tc>
        <w:tc>
          <w:tcPr>
            <w:tcW w:w="140" w:type="dxa"/>
            <w:vAlign w:val="bottom"/>
          </w:tcPr>
          <w:p>
            <w:pPr>
              <w:spacing w:after="0"/>
              <w:rPr>
                <w:sz w:val="13"/>
                <w:szCs w:val="13"/>
                <w:color w:val="auto"/>
              </w:rPr>
            </w:pPr>
          </w:p>
        </w:tc>
        <w:tc>
          <w:tcPr>
            <w:tcW w:w="4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1,645.4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416.4</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Total purchase price</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14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Liabilities assumed</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29.5</w:t>
            </w:r>
          </w:p>
        </w:tc>
        <w:tc>
          <w:tcPr>
            <w:tcW w:w="140" w:type="dxa"/>
            <w:vAlign w:val="bottom"/>
          </w:tcPr>
          <w:p>
            <w:pPr>
              <w:spacing w:after="0"/>
              <w:rPr>
                <w:sz w:val="13"/>
                <w:szCs w:val="13"/>
                <w:color w:val="auto"/>
              </w:rPr>
            </w:pPr>
          </w:p>
        </w:tc>
        <w:tc>
          <w:tcPr>
            <w:tcW w:w="4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1,402.</w:t>
            </w:r>
            <w:r>
              <w:rPr>
                <w:rFonts w:ascii="Arial" w:cs="Arial" w:eastAsia="Arial" w:hAnsi="Arial"/>
                <w:sz w:val="13"/>
                <w:szCs w:val="13"/>
                <w:u w:val="single" w:color="auto"/>
                <w:color w:val="auto"/>
              </w:rPr>
              <w:t>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170.6</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P.</w:t>
      </w:r>
      <w:r>
        <w:rPr>
          <w:sz w:val="20"/>
          <w:szCs w:val="20"/>
          <w:color w:val="auto"/>
        </w:rPr>
        <w:tab/>
      </w:r>
      <w:r>
        <w:rPr>
          <w:rFonts w:ascii="Arial" w:cs="Arial" w:eastAsia="Arial" w:hAnsi="Arial"/>
          <w:sz w:val="11"/>
          <w:szCs w:val="11"/>
          <w:b w:val="1"/>
          <w:bCs w:val="1"/>
          <w:color w:val="auto"/>
        </w:rPr>
        <w:t>Financial Instruments with Off-Balance Sheet Risk and Concentration of Risk</w:t>
      </w:r>
    </w:p>
    <w:p>
      <w:pPr>
        <w:spacing w:after="0" w:line="61"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In the normal course of business we and certain of our subsidiaries enter into off-balance sheet credit arrangements associated with certain aspects of the title insurance business and other activities.</w:t>
      </w:r>
    </w:p>
    <w:p>
      <w:pPr>
        <w:spacing w:after="0" w:line="2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generate a significant amount of title insurance premiums in California, Texas, Florida, and New York. Title insurance premiums as a percentage of the total title insurance premiums written from those four states are detailed as follows:</w:t>
      </w:r>
    </w:p>
    <w:p>
      <w:pPr>
        <w:spacing w:after="0" w:line="2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60" w:type="dxa"/>
            <w:vAlign w:val="bottom"/>
          </w:tcPr>
          <w:p>
            <w:pPr>
              <w:spacing w:after="0"/>
              <w:rPr>
                <w:sz w:val="10"/>
                <w:szCs w:val="10"/>
                <w:color w:val="auto"/>
              </w:rPr>
            </w:pPr>
          </w:p>
        </w:tc>
        <w:tc>
          <w:tcPr>
            <w:tcW w:w="440" w:type="dxa"/>
            <w:vAlign w:val="bottom"/>
          </w:tcPr>
          <w:p>
            <w:pPr>
              <w:jc w:val="right"/>
              <w:ind w:right="57"/>
              <w:spacing w:after="0"/>
              <w:rPr>
                <w:sz w:val="20"/>
                <w:szCs w:val="20"/>
                <w:color w:val="auto"/>
              </w:rPr>
            </w:pPr>
            <w:r>
              <w:rPr>
                <w:rFonts w:ascii="Arial" w:cs="Arial" w:eastAsia="Arial" w:hAnsi="Arial"/>
                <w:sz w:val="10"/>
                <w:szCs w:val="10"/>
                <w:b w:val="1"/>
                <w:bCs w:val="1"/>
                <w:color w:val="auto"/>
              </w:rPr>
              <w:t>2009</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2008</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2007</w:t>
            </w:r>
          </w:p>
        </w:tc>
      </w:tr>
      <w:tr>
        <w:trPr>
          <w:trHeight w:val="29"/>
        </w:trPr>
        <w:tc>
          <w:tcPr>
            <w:tcW w:w="80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r>
      <w:tr>
        <w:trPr>
          <w:trHeight w:val="157"/>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California</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16.5%</w:t>
            </w:r>
          </w:p>
        </w:tc>
      </w:tr>
      <w:tr>
        <w:trPr>
          <w:trHeight w:val="157"/>
        </w:trPr>
        <w:tc>
          <w:tcPr>
            <w:tcW w:w="8060" w:type="dxa"/>
            <w:vAlign w:val="bottom"/>
          </w:tcPr>
          <w:p>
            <w:pPr>
              <w:spacing w:after="0"/>
              <w:rPr>
                <w:sz w:val="20"/>
                <w:szCs w:val="20"/>
                <w:color w:val="auto"/>
              </w:rPr>
            </w:pPr>
            <w:r>
              <w:rPr>
                <w:rFonts w:ascii="Arial" w:cs="Arial" w:eastAsia="Arial" w:hAnsi="Arial"/>
                <w:sz w:val="13"/>
                <w:szCs w:val="13"/>
                <w:color w:val="auto"/>
              </w:rPr>
              <w:t>Texas</w:t>
            </w:r>
          </w:p>
        </w:tc>
        <w:tc>
          <w:tcPr>
            <w:tcW w:w="440" w:type="dxa"/>
            <w:vAlign w:val="bottom"/>
          </w:tcPr>
          <w:p>
            <w:pPr>
              <w:jc w:val="right"/>
              <w:spacing w:after="0"/>
              <w:rPr>
                <w:sz w:val="20"/>
                <w:szCs w:val="20"/>
                <w:color w:val="auto"/>
              </w:rPr>
            </w:pPr>
            <w:r>
              <w:rPr>
                <w:rFonts w:ascii="Arial" w:cs="Arial" w:eastAsia="Arial" w:hAnsi="Arial"/>
                <w:sz w:val="13"/>
                <w:szCs w:val="13"/>
                <w:color w:val="auto"/>
              </w:rPr>
              <w:t>10.3%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12.6%</w:t>
            </w:r>
          </w:p>
        </w:tc>
      </w:tr>
      <w:tr>
        <w:trPr>
          <w:trHeight w:val="157"/>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Florida</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w:t>
            </w:r>
          </w:p>
        </w:tc>
      </w:tr>
      <w:tr>
        <w:trPr>
          <w:trHeight w:val="165"/>
        </w:trPr>
        <w:tc>
          <w:tcPr>
            <w:tcW w:w="8060" w:type="dxa"/>
            <w:vAlign w:val="bottom"/>
          </w:tcPr>
          <w:p>
            <w:pPr>
              <w:spacing w:after="0"/>
              <w:rPr>
                <w:sz w:val="20"/>
                <w:szCs w:val="20"/>
                <w:color w:val="auto"/>
              </w:rPr>
            </w:pPr>
            <w:r>
              <w:rPr>
                <w:rFonts w:ascii="Arial" w:cs="Arial" w:eastAsia="Arial" w:hAnsi="Arial"/>
                <w:sz w:val="13"/>
                <w:szCs w:val="13"/>
                <w:color w:val="auto"/>
              </w:rPr>
              <w:t>New York</w:t>
            </w:r>
          </w:p>
        </w:tc>
        <w:tc>
          <w:tcPr>
            <w:tcW w:w="440" w:type="dxa"/>
            <w:vAlign w:val="bottom"/>
          </w:tcPr>
          <w:p>
            <w:pPr>
              <w:jc w:val="right"/>
              <w:spacing w:after="0"/>
              <w:rPr>
                <w:sz w:val="20"/>
                <w:szCs w:val="20"/>
                <w:color w:val="auto"/>
              </w:rPr>
            </w:pPr>
            <w:r>
              <w:rPr>
                <w:rFonts w:ascii="Arial" w:cs="Arial" w:eastAsia="Arial" w:hAnsi="Arial"/>
                <w:sz w:val="13"/>
                <w:szCs w:val="13"/>
                <w:color w:val="auto"/>
              </w:rPr>
              <w:t>6.9%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8.0%</w:t>
            </w:r>
          </w:p>
        </w:tc>
      </w:tr>
    </w:tbl>
    <w:p>
      <w:pPr>
        <w:spacing w:after="0" w:line="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Financial instruments that potentially subject us to concentrations of credit risk consist primarily of cash equivalents, short-term investments, and trade receivables.</w:t>
      </w:r>
    </w:p>
    <w:p>
      <w:pPr>
        <w:spacing w:after="0" w:line="57" w:lineRule="exact"/>
        <w:rPr>
          <w:sz w:val="20"/>
          <w:szCs w:val="20"/>
          <w:color w:val="auto"/>
        </w:rPr>
      </w:pPr>
    </w:p>
    <w:p>
      <w:pPr>
        <w:ind w:left="680" w:right="500" w:firstLine="399"/>
        <w:spacing w:after="0" w:line="316" w:lineRule="auto"/>
        <w:rPr>
          <w:sz w:val="20"/>
          <w:szCs w:val="20"/>
          <w:color w:val="auto"/>
        </w:rPr>
      </w:pPr>
      <w:r>
        <w:rPr>
          <w:rFonts w:ascii="Arial" w:cs="Arial" w:eastAsia="Arial" w:hAnsi="Arial"/>
          <w:sz w:val="12"/>
          <w:szCs w:val="12"/>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ind w:left="680" w:right="80" w:firstLine="399"/>
        <w:spacing w:after="0" w:line="276" w:lineRule="auto"/>
        <w:rPr>
          <w:sz w:val="20"/>
          <w:szCs w:val="20"/>
          <w:color w:val="auto"/>
        </w:rPr>
      </w:pPr>
      <w:r>
        <w:rPr>
          <w:rFonts w:ascii="Arial" w:cs="Arial" w:eastAsia="Arial" w:hAnsi="Arial"/>
          <w:sz w:val="13"/>
          <w:szCs w:val="13"/>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Q.</w:t>
      </w:r>
      <w:r>
        <w:rPr>
          <w:sz w:val="20"/>
          <w:szCs w:val="20"/>
          <w:color w:val="auto"/>
        </w:rPr>
        <w:tab/>
      </w:r>
      <w:r>
        <w:rPr>
          <w:rFonts w:ascii="Arial" w:cs="Arial" w:eastAsia="Arial" w:hAnsi="Arial"/>
          <w:sz w:val="11"/>
          <w:szCs w:val="11"/>
          <w:b w:val="1"/>
          <w:bCs w:val="1"/>
          <w:color w:val="auto"/>
        </w:rPr>
        <w:t>Segment Information</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is shown in the following table.</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and for the year ended December 31, 2009:</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ind w:left="100"/>
              <w:spacing w:after="0"/>
              <w:rPr>
                <w:sz w:val="20"/>
                <w:szCs w:val="20"/>
                <w:color w:val="auto"/>
              </w:rPr>
            </w:pPr>
            <w:r>
              <w:rPr>
                <w:rFonts w:ascii="Arial" w:cs="Arial" w:eastAsia="Arial" w:hAnsi="Arial"/>
                <w:sz w:val="10"/>
                <w:szCs w:val="10"/>
                <w:b w:val="1"/>
                <w:bCs w:val="1"/>
                <w:color w:val="auto"/>
              </w:rPr>
              <w:t>Fidelity National</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0"/>
              </w:rPr>
              <w:t>Specialty</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Corporate</w:t>
            </w:r>
          </w:p>
        </w:tc>
        <w:tc>
          <w:tcPr>
            <w:tcW w:w="14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Title Group</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3"/>
              </w:rPr>
              <w:t>Insurance</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and Other</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Title premiums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3,927.6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Other revenues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1,300.6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366.0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52.3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1,718.9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5,228.2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5,646.5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Interest and investment income, including realized gains and losses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165.4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181.9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5,393.6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5,828.4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3"/>
                <w:szCs w:val="13"/>
                <w:color w:val="auto"/>
              </w:rPr>
              <w:t>Earnings (loss) from continuing operations, before income taxes and equity in loss of</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unconsolidated affiliates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370.0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(68.7)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344.9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w w:val="96"/>
              </w:rPr>
              <w:t>Earnings (loss) from continuing operations, before equity in earnings of unconsolidated affiliates</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29.1</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(46.3)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238.1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Equity in (loss) earnings of unconsolidated affiliates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Earnings (loss) from continuing operations</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259.1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(61.8)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6,325.4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1,152.8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Goodwill</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1,401.2</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25.3</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1,455.2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5300" w:type="dxa"/>
            <w:vAlign w:val="bottom"/>
          </w:tcPr>
          <w:p>
            <w:pPr>
              <w:ind w:left="4900"/>
              <w:spacing w:after="0"/>
              <w:rPr>
                <w:sz w:val="20"/>
                <w:szCs w:val="20"/>
                <w:color w:val="auto"/>
              </w:rPr>
            </w:pPr>
            <w:r>
              <w:rPr>
                <w:rFonts w:ascii="Arial" w:cs="Arial" w:eastAsia="Arial" w:hAnsi="Arial"/>
                <w:sz w:val="13"/>
                <w:szCs w:val="13"/>
                <w:color w:val="auto"/>
              </w:rPr>
              <w:t>113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and for the year ended December 31, 2008: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8"/>
              </w:rPr>
              <w:t>Fidelity National</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0"/>
              </w:rPr>
              <w:t>Specialty</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Corporate</w:t>
            </w:r>
          </w:p>
        </w:tc>
        <w:tc>
          <w:tcPr>
            <w:tcW w:w="14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116"/>
              <w:spacing w:after="0"/>
              <w:rPr>
                <w:sz w:val="20"/>
                <w:szCs w:val="20"/>
                <w:color w:val="auto"/>
              </w:rPr>
            </w:pPr>
            <w:r>
              <w:rPr>
                <w:rFonts w:ascii="Arial" w:cs="Arial" w:eastAsia="Arial" w:hAnsi="Arial"/>
                <w:sz w:val="10"/>
                <w:szCs w:val="10"/>
                <w:b w:val="1"/>
                <w:bCs w:val="1"/>
                <w:color w:val="auto"/>
                <w:w w:val="97"/>
              </w:rPr>
              <w:t>Title Group</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3"/>
              </w:rPr>
              <w:t>Insurance</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and Other</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Title premiums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2,695.0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Other revenues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1,034.3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373.4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Interest and investment income, including realized gains and losses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87.3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3"/>
                <w:szCs w:val="13"/>
                <w:color w:val="auto"/>
                <w:w w:val="95"/>
              </w:rPr>
              <w:t>Loss (earnings) from continuing operations, before income taxes and equity in earnings (loss) of</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unconsolidated affiliates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360"/>
              <w:spacing w:after="0"/>
              <w:rPr>
                <w:sz w:val="20"/>
                <w:szCs w:val="20"/>
                <w:color w:val="auto"/>
              </w:rPr>
            </w:pPr>
            <w:r>
              <w:rPr>
                <w:rFonts w:ascii="Arial" w:cs="Arial" w:eastAsia="Arial" w:hAnsi="Arial"/>
                <w:sz w:val="13"/>
                <w:szCs w:val="13"/>
                <w:color w:val="auto"/>
              </w:rPr>
              <w:t>(231.0)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(83.7)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(279.7)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 expense</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5300" w:type="dxa"/>
            <w:vAlign w:val="bottom"/>
          </w:tcPr>
          <w:p>
            <w:pPr>
              <w:spacing w:after="0" w:line="148" w:lineRule="exact"/>
              <w:rPr>
                <w:sz w:val="20"/>
                <w:szCs w:val="20"/>
                <w:color w:val="auto"/>
              </w:rPr>
            </w:pPr>
            <w:r>
              <w:rPr>
                <w:rFonts w:ascii="Arial" w:cs="Arial" w:eastAsia="Arial" w:hAnsi="Arial"/>
                <w:sz w:val="13"/>
                <w:szCs w:val="13"/>
                <w:color w:val="auto"/>
                <w:w w:val="98"/>
              </w:rPr>
              <w:t>(Loss) earnings from continuing operations, before equity in earnings (loss) of unconsolidated</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affiliates</w:t>
            </w:r>
          </w:p>
        </w:tc>
        <w:tc>
          <w:tcPr>
            <w:tcW w:w="18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(50.3)</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Equity in earnings (loss) of unconsolidated affiliates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(Loss) earnings from continuing operations</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360"/>
              <w:spacing w:after="0"/>
              <w:rPr>
                <w:sz w:val="20"/>
                <w:szCs w:val="20"/>
                <w:color w:val="auto"/>
              </w:rPr>
            </w:pPr>
            <w:r>
              <w:rPr>
                <w:rFonts w:ascii="Arial" w:cs="Arial" w:eastAsia="Arial" w:hAnsi="Arial"/>
                <w:sz w:val="13"/>
                <w:szCs w:val="13"/>
                <w:color w:val="auto"/>
              </w:rPr>
              <w:t>(131.7)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(64.8)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6,766.2</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1,179.4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8,368.2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Goodwill</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1,484.3</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68.7</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1,581.7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5300" w:type="dxa"/>
            <w:vAlign w:val="bottom"/>
          </w:tcPr>
          <w:p>
            <w:pPr>
              <w:ind w:left="400"/>
              <w:spacing w:after="0"/>
              <w:rPr>
                <w:sz w:val="20"/>
                <w:szCs w:val="20"/>
                <w:color w:val="auto"/>
              </w:rPr>
            </w:pPr>
            <w:r>
              <w:rPr>
                <w:rFonts w:ascii="Arial" w:cs="Arial" w:eastAsia="Arial" w:hAnsi="Arial"/>
                <w:sz w:val="13"/>
                <w:szCs w:val="13"/>
                <w:color w:val="auto"/>
              </w:rPr>
              <w:t>As of and for the year ended December 31, 2007:</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8"/>
              </w:rPr>
              <w:t>Fidelity National</w:t>
            </w:r>
          </w:p>
        </w:tc>
        <w:tc>
          <w:tcPr>
            <w:tcW w:w="100" w:type="dxa"/>
            <w:vAlign w:val="bottom"/>
          </w:tcPr>
          <w:p>
            <w:pPr>
              <w:spacing w:after="0"/>
              <w:rPr>
                <w:sz w:val="13"/>
                <w:szCs w:val="13"/>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0"/>
              </w:rPr>
              <w:t>Specialty</w:t>
            </w:r>
          </w:p>
        </w:tc>
        <w:tc>
          <w:tcPr>
            <w:tcW w:w="8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Corporate</w:t>
            </w:r>
          </w:p>
        </w:tc>
        <w:tc>
          <w:tcPr>
            <w:tcW w:w="140" w:type="dxa"/>
            <w:vAlign w:val="bottom"/>
          </w:tcPr>
          <w:p>
            <w:pPr>
              <w:spacing w:after="0"/>
              <w:rPr>
                <w:sz w:val="13"/>
                <w:szCs w:val="13"/>
                <w:color w:val="auto"/>
              </w:rPr>
            </w:pP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116"/>
              <w:spacing w:after="0"/>
              <w:rPr>
                <w:sz w:val="20"/>
                <w:szCs w:val="20"/>
                <w:color w:val="auto"/>
              </w:rPr>
            </w:pPr>
            <w:r>
              <w:rPr>
                <w:rFonts w:ascii="Arial" w:cs="Arial" w:eastAsia="Arial" w:hAnsi="Arial"/>
                <w:sz w:val="10"/>
                <w:szCs w:val="10"/>
                <w:b w:val="1"/>
                <w:bCs w:val="1"/>
                <w:color w:val="auto"/>
                <w:w w:val="97"/>
              </w:rPr>
              <w:t>Title Group</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3"/>
              </w:rPr>
              <w:t>Insurance</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and Other</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Title premiums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Other revenues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1,034.5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386.4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1,462.4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Interest and investment income, including realized gains and losses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5,005.0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120.2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3"/>
                <w:szCs w:val="13"/>
                <w:color w:val="auto"/>
              </w:rPr>
              <w:t>Earnings (loss) from continuing operations, before income taxes and equity in loss of</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unconsolidated affiliates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183.5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(51.2)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185.3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w w:val="96"/>
              </w:rPr>
              <w:t>Earnings (loss) from continuing operations, before equity in earnings of unconsolidated affiliates</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(33.0)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Equity in earnings of unconsolidated affiliates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3"/>
                <w:szCs w:val="13"/>
                <w:color w:val="auto"/>
              </w:rPr>
              <w:t>Earnings (loss) from continuing operations</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136.7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33.8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(34.7)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5,953.6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1,172.8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7,587.9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Goodwill</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1,246.3</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69.6</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1,344.6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5300" w:type="dxa"/>
            <w:vAlign w:val="bottom"/>
          </w:tcPr>
          <w:p>
            <w:pPr>
              <w:ind w:left="4900"/>
              <w:spacing w:after="0"/>
              <w:rPr>
                <w:sz w:val="20"/>
                <w:szCs w:val="20"/>
                <w:color w:val="auto"/>
              </w:rPr>
            </w:pPr>
            <w:r>
              <w:rPr>
                <w:rFonts w:ascii="Arial" w:cs="Arial" w:eastAsia="Arial" w:hAnsi="Arial"/>
                <w:sz w:val="13"/>
                <w:szCs w:val="13"/>
                <w:color w:val="auto"/>
              </w:rPr>
              <w:t>114</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activities of the reportable segments include the following: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Fidelity National Title Group</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Specialty Insurance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segment consists of certain subsidiaries that issue flood, home warranty, homeowners’, automobile, and other personal lines insurance policies.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and Other</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The corporate and other segment consists of the operations of the parent holding company, certain other unallocated corporate overhead expenses, other smaller operations, and our share in the operations of certain equity method investments, including Sedgwick, Ceridian and Remy. During the year ended December 31, 2008, we recorded a $4.0 million impairment charge to an intangible asset in the corporate and other segment.</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R.</w:t>
      </w:r>
      <w:r>
        <w:rPr>
          <w:sz w:val="20"/>
          <w:szCs w:val="20"/>
          <w:color w:val="auto"/>
        </w:rPr>
        <w:tab/>
      </w:r>
      <w:r>
        <w:rPr>
          <w:rFonts w:ascii="Arial" w:cs="Arial" w:eastAsia="Arial" w:hAnsi="Arial"/>
          <w:sz w:val="11"/>
          <w:szCs w:val="11"/>
          <w:b w:val="1"/>
          <w:bCs w:val="1"/>
          <w:color w:val="auto"/>
        </w:rPr>
        <w:t>Recent Accounting Pronouncements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January 2010, the FASB updated ASC Topic 820, to require additional disclosures about fair value measurements regarding transfers between fair value categories as well as purchases, sales, issuances and settlements related to fair value measurements of financial instruments with non-observable inputs. This update is effective for interim and annual periods beginning after December 15, 2009 except for disclosures about purchases, sales, issuances and settlements of financial instruments with non-observable inputs, which are effective for years beginning after December 15, 2010. The additional disclosures required by this update will be included in the note on fair value measurements upon adoption. We do not expect this update to have a material impact on our financial condition or results of operations.</w:t>
      </w:r>
    </w:p>
    <w:p>
      <w:pPr>
        <w:spacing w:after="0" w:line="71"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August 2009, the FASB updated ASC Topic 820, clarifying the methodology used to determine the fair value of a liability. This update is effective for annual reporting periods beginning after August 2009, and for interim periods during the first annual reporting period. We do not expect this update to have a material impact on our financial condition or results of operations.</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June 2009, the FASB changed the hierarchy of U.S. generally accepted accounting principles (“GAAP”) such that the newly released FASB Accounting Standards Codification (“Codification”) will replace other sources of authoritative GAAP with the exception of rules and interpretive releases of the Securities and Exchange Commission, which will continue to be authoritative. The new codification is effective for financial statements issued for interim and annual periods ending after September 15, 2009 and is not intended to significantly change GAAP. We have adopted the new hierarchy and references to old GAAP authoritative literature have been removed or translated into the new codification references.</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June 2009, the FASB updated ASC Topic 810, changing the methodology used to determine whether or not an entity is a primary beneficiary with respect to a variable interest entity and introducing a requirement to reassess on an ongoing basis whether an entity is the primary beneficiary of a variable interest entity. This update is effective for annual reporting periods beginning after November 15, 2009, and for interim periods during the first annual reporting period. We do not expect this update to have a material impact on our financial condition or results of operations.</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In May 2009, the FASB updated ASC Topic 855, setting (1) the period after the balance sheet date during which management should evaluate events or transactions for potential recognition or disclosure in the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financial statements, (2) the circumstances under which an entity should recognize in its financial statements events or transactions occurring after the balance sheet date, and (3) the related disclosures that an entity should make. This update is effective for interim or annual periods ending after June 15, 2009. We have implemented this update with no impact to our financial condition or results of operations in the periods presented. We have concluded that there were no material subsequent events, other than those disclosed elsewhere in these footnotes, through the date that the financial statements were issued.</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April 2009, the FASB issued an update to ASC Topic 320 regarding the recognition and presentation of other-than-temporary impairments. This update modifies the requirements for recognizing other-than-temporary impairment related to debt securities classified as available-for-sale and held-to-maturity and changes the impairment model for such securities. It also modifies the presentation of other-than-temporary impairment losses and expands and increases the frequency of related disclosures for debt and equity securities. This update is effective for interim and annual periods ending after June 15, 2009. We have implemented this update with no material impact on our financial position or results of operations. The additional disclosures required by this update are set forth in note D.</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April 2009, the FASB issued an update to ASC Topic 820 addressing the determination of fair value when the volume and level of activity for an asset or liability have significantly decreased and identification of transactions that are not orderly. This update is effective for interim and annual reporting periods ending after June 15, 2009. We have implemented this update with no material impact on our financial position or results of operations.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April 2009, the FASB issued an update to ASC Topic 825 to require summarized disclosures about fair value of financial instruments for interim reporting periods of publicly traded companies. This update is effective for interim reporting periods ending after June 15, 2009. We have adopted this update by including additional disclosures in the note on fair value in our interim consolidated financial statements.</w:t>
      </w:r>
    </w:p>
    <w:p>
      <w:pPr>
        <w:spacing w:after="0" w:line="67"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In December 2008, the FASB issued an update to ASC Topic 715, requiring additional disclosures about plan assets, including investment strategies, major categories of plan assets, concentrations of risks within plan assets, inputs and valuation techniques used to measure fair value of plan assets, and the effect of fair value measurements using significant unobservable inputs on changes in plan assets for the period. This update is effective for fiscal years ending after December 15, 2009. We have implemented this update by including additional disclosures in note N.</w:t>
      </w:r>
    </w:p>
    <w:p>
      <w:pPr>
        <w:spacing w:after="0" w:line="7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In November 2008, the FASB updated ASC Topic 323 to clarify the accounting for certain transactions and impairment considerations involving equity method investments. This update was effective for fiscal years beginning after December 15, 2008. We have adopted this update with no material effects on our financial condition or results of operations.</w:t>
      </w:r>
    </w:p>
    <w:p>
      <w:pPr>
        <w:spacing w:after="0" w:line="35"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In October 2008, the FASB issued an update to Topic 820 to clarify the application of the previous standard on fair value measurements as it applies in an inactive market. This update was effective immediately upon issuance and applies to financial statements that were not yet issued at that time. We have adopted this standard with no material effect on our financial position or results of operations.</w:t>
      </w:r>
    </w:p>
    <w:p>
      <w:pPr>
        <w:spacing w:after="0" w:line="67"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color w:val="auto"/>
        </w:rPr>
        <w:t>In June 2008, the FASB issued an update to ASC Topic 260, requiring unvested share-based payment awards that contain nonforfeitable rights to dividends or dividend equivalents to be treated as participating securities, which means that they would be included in the earnings allocation in computing earnings per share under a two-class method described in ASC Topic</w:t>
      </w:r>
    </w:p>
    <w:p>
      <w:pPr>
        <w:spacing w:after="0" w:line="1" w:lineRule="exact"/>
        <w:rPr>
          <w:sz w:val="20"/>
          <w:szCs w:val="20"/>
          <w:color w:val="auto"/>
        </w:rPr>
      </w:pPr>
    </w:p>
    <w:p>
      <w:pPr>
        <w:ind w:left="680" w:right="80" w:firstLine="7"/>
        <w:spacing w:after="0" w:line="264" w:lineRule="auto"/>
        <w:tabs>
          <w:tab w:leader="none" w:pos="942"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This update is effective for interim and annual periods beginning after December 15, 2008. We have adopted this update with no material effects on our financial condition or results of operations.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April 2008, the FASB issued an update to ASC Topic 350 which amends the factors that should be considered in developing renewal or extension assumptions used to determine the useful life of a recognized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intangible asset. This update applies to intangible assets that are acquired individually or with a group of other assets acquired in business combinations and asset acquisitions and requires expanded disclosure related to the determination of intangible asset useful lives. This update is effective for fiscal years beginning after December 15, 2008. We have adopted this update with no material effects on our financial condition or results of operations.</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December 2007, the FASB issued an update to ASC Topic 810, requiring noncontrolling interests (formerly known as minority interests) to be presented as a component of equity on the balance sheet. This update also requires that the amount of net income attributable to the parent and to the noncontrolling interests be clearly identified and presented on the face of the consolidated statement of income. This update eliminates the need to apply purchase accounting when a parent company acquires a noncontrolling ownership interest in a subsidiary and requires that, upon deconsolidation of a subsidiary, a parent company recognize a gain or loss in net income after which any retained noncontrolling interest will be reported at fair value. This update requires expanded disclosures in the consolidated financial statements that identify and distinguish between the interests of the parent’s owners and the interest of the noncontrolling owners of subsidiaries. This update is effective for periods beginning on or after December 15, 2008 and will be applied prospectively except for the presentation and disclosure requirements, which will be applied retrospectively for all periods presented. We have implemented this update effective January 1, 2009, with no material effect on our financial position or results of operations except for the changes in presentation as noted above.</w:t>
      </w:r>
    </w:p>
    <w:p>
      <w:pPr>
        <w:spacing w:after="0" w:line="59"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In December 2007, the FASB issued an update to ASC Topic 805, requiring an acquirer in a business combination to recognize the assets acquired, the liabilities assumed, and any noncontrolling interest in the acquiree at their fair values at the acquisition date, with limited exceptions. The costs of the acquisition and any related restructuring costs will be recognized separately. Assets and liabilities arising from contingencies in a business combination are to be recognized at their fair value at the acquisition date and adjusted prospectively as new information becomes available. When the fair value of assets acquired exceeds the fair value of consideration transferred plus any noncontrolling interest in the acquiree, the excess will be recognized as a gain. Under this guidance, all business combinations are accounted for by applying the acquisition method, including combinations among mutual entities and combinations by contract alone. This update was effective for periods beginning on or after December 15, 2008. We have adopted this update and have applied it to business combinations occurring subsequent to December 31, 2008.</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There were no changes in our internal control over financial reporting that occurred during the quarter ended December 31, 2009 that have materially affected, or are reasonably likely to materially affect, our internal control over financial reporting.</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such term is defined in Exchange Act Rule 13a-15(f). Under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supervision and with the participation of our management, including our principal executive officer and principal financial officer, we conducted an evaluation of the effectiveness of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internal control over financial reporting. Management has adopted the framework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Treadway Commission (COSO). Based on our evaluation under this framework, our management concluded that our internal control over financial reporting was effective as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2009. The effectiveness of our internal control over financial reporting as of December 31, 2009 has been audited by KPMG LLP, an independent registered public accounting</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firm, as stated in their report which is included herein.</w:t>
      </w:r>
    </w:p>
    <w:p>
      <w:pPr>
        <w:spacing w:after="0" w:line="16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Effective as of February 4, 2010, the Company entered into amendments (the “Amendments”) to the employment agreements (the “Employment Agreements”) with each of William P. Foley, II, Alan L. Stinson, Raymond R. Quirk, Anthony J. Park, and Brent B. Bickett. Each of the Amendments amends the respective Employment Agreement to provide that, if any payments or benefits to be paid to the officer pursuant to the terms of the Employment Agreement would be subject to the excise tax imposed by Section 4999 of the Internal Revenue Code, then the officer may elect for such payments to be reduced to one dollar less than the amount that would constitute a “parachute payment” under Section 280G of the Internal Revenue Code (the “Scaled Back Amount”). If the officer does not elect to have such payments reduced to the Scaled Back Amount, the officer is responsible for payment of any excise tax resulting from such payments and shall not be entitled to a gross-up payment under the Employment Agreement.</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 Amendment to Mr. Foley’s Employment Agreement also (i) reduces his annual incentive bonus target from 250% of his annual base salary to 200% of his annual base salary, and (ii) eliminates the obligation of the Company to make severance payments to Mr. Foley in the event he terminates his employment following a change in control without good reason.</w:t>
      </w:r>
    </w:p>
    <w:p>
      <w:pPr>
        <w:spacing w:after="0" w:line="3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Amendment to Mr. Stinson’s Employment Agreement also (i) reduces his annual base salary from $648,000 per year to $600,000 per year, and (ii) reduces his incentive bonus target from 150% of his annual base salary to 125% of his annual base salary.</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foregoing description of the Amendments is qualified in its entirety by reference to the Amendments, copies of which are filed as exhibits hereto and incorporated herein by reference.</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Items 10-14.</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Within 120 days after the close of our fiscal year, we intend to file with the Securities and Exchange Commission a definitive proxy statement pursuant to Regulation 14A of the Securities Exchange Act of 1934 as amended, which will include the matters required by these items.</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 and Reports on Form 8-K</w:t>
      </w:r>
    </w:p>
    <w:p>
      <w:pPr>
        <w:spacing w:after="0" w:line="100"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 xml:space="preserve">(a) (1) </w:t>
      </w:r>
      <w:r>
        <w:rPr>
          <w:rFonts w:ascii="Arial" w:cs="Arial" w:eastAsia="Arial" w:hAnsi="Arial"/>
          <w:sz w:val="13"/>
          <w:szCs w:val="13"/>
          <w:i w:val="1"/>
          <w:iCs w:val="1"/>
          <w:color w:val="auto"/>
        </w:rPr>
        <w:t>Financial Statements.</w:t>
      </w:r>
      <w:r>
        <w:rPr>
          <w:rFonts w:ascii="Arial" w:cs="Arial" w:eastAsia="Arial" w:hAnsi="Arial"/>
          <w:sz w:val="13"/>
          <w:szCs w:val="13"/>
          <w:color w:val="auto"/>
        </w:rPr>
        <w:t xml:space="preserve"> The following is a list of the Consolidated Financial Statements of Fidelity National Financial, Inc. and its subsidiaries included in Item 8 of Part II:</w:t>
      </w:r>
    </w:p>
    <w:p>
      <w:pPr>
        <w:spacing w:after="0" w:line="172"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6340" w:type="dxa"/>
            <w:vAlign w:val="bottom"/>
            <w:tcBorders>
              <w:bottom w:val="single" w:sz="8" w:color="0000EE"/>
            </w:tcBorders>
            <w:gridSpan w:val="8"/>
          </w:tcPr>
          <w:p>
            <w:pPr>
              <w:spacing w:after="0"/>
              <w:rPr>
                <w:rFonts w:ascii="Arial" w:cs="Arial" w:eastAsia="Arial" w:hAnsi="Arial"/>
                <w:sz w:val="13"/>
                <w:szCs w:val="13"/>
                <w:color w:val="0000EE"/>
                <w:w w:val="92"/>
              </w:rPr>
            </w:pPr>
            <w:hyperlink w:anchor="page69">
              <w:r>
                <w:rPr>
                  <w:rFonts w:ascii="Arial" w:cs="Arial" w:eastAsia="Arial" w:hAnsi="Arial"/>
                  <w:sz w:val="13"/>
                  <w:szCs w:val="13"/>
                  <w:color w:val="0000EE"/>
                  <w:w w:val="92"/>
                </w:rPr>
                <w:t>Report of Independent Registered Public Accounting Firm on Effectiveness of Internal Control over Financial Reporting</w:t>
              </w:r>
            </w:hyperlink>
          </w:p>
        </w:tc>
        <w:tc>
          <w:tcPr>
            <w:tcW w:w="17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37"/>
        </w:trPr>
        <w:tc>
          <w:tcPr>
            <w:tcW w:w="4380" w:type="dxa"/>
            <w:vAlign w:val="bottom"/>
            <w:tcBorders>
              <w:bottom w:val="single" w:sz="8" w:color="0000EE"/>
            </w:tcBorders>
            <w:gridSpan w:val="3"/>
          </w:tcPr>
          <w:p>
            <w:pPr>
              <w:spacing w:after="0" w:line="138" w:lineRule="exact"/>
              <w:rPr>
                <w:rFonts w:ascii="Arial" w:cs="Arial" w:eastAsia="Arial" w:hAnsi="Arial"/>
                <w:sz w:val="13"/>
                <w:szCs w:val="13"/>
                <w:color w:val="0000EE"/>
                <w:w w:val="91"/>
              </w:rPr>
            </w:pPr>
            <w:hyperlink w:anchor="page70">
              <w:r>
                <w:rPr>
                  <w:rFonts w:ascii="Arial" w:cs="Arial" w:eastAsia="Arial" w:hAnsi="Arial"/>
                  <w:sz w:val="13"/>
                  <w:szCs w:val="13"/>
                  <w:color w:val="0000EE"/>
                  <w:w w:val="91"/>
                </w:rPr>
                <w:t>Report of Independent Registered Public Accounting Firm on Financial Statements</w:t>
              </w:r>
            </w:hyperlink>
          </w:p>
        </w:tc>
        <w:tc>
          <w:tcPr>
            <w:tcW w:w="3700" w:type="dxa"/>
            <w:vAlign w:val="bottom"/>
            <w:gridSpan w:val="6"/>
          </w:tcPr>
          <w:p>
            <w:pPr>
              <w:spacing w:after="0"/>
              <w:rPr>
                <w:sz w:val="11"/>
                <w:szCs w:val="11"/>
                <w:color w:val="auto"/>
              </w:rPr>
            </w:pPr>
          </w:p>
        </w:tc>
        <w:tc>
          <w:tcPr>
            <w:tcW w:w="1860" w:type="dxa"/>
            <w:vAlign w:val="bottom"/>
          </w:tcPr>
          <w:p>
            <w:pPr>
              <w:jc w:val="right"/>
              <w:spacing w:after="0" w:line="138" w:lineRule="exact"/>
              <w:rPr>
                <w:sz w:val="20"/>
                <w:szCs w:val="20"/>
                <w:color w:val="auto"/>
              </w:rPr>
            </w:pPr>
            <w:r>
              <w:rPr>
                <w:rFonts w:ascii="Arial" w:cs="Arial" w:eastAsia="Arial" w:hAnsi="Arial"/>
                <w:sz w:val="13"/>
                <w:szCs w:val="13"/>
                <w:color w:val="auto"/>
              </w:rPr>
              <w:t>67</w:t>
            </w:r>
          </w:p>
        </w:tc>
      </w:tr>
      <w:tr>
        <w:trPr>
          <w:trHeight w:val="137"/>
        </w:trPr>
        <w:tc>
          <w:tcPr>
            <w:tcW w:w="340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71">
              <w:r>
                <w:rPr>
                  <w:rFonts w:ascii="Arial" w:cs="Arial" w:eastAsia="Arial" w:hAnsi="Arial"/>
                  <w:sz w:val="13"/>
                  <w:szCs w:val="13"/>
                  <w:color w:val="0000EE"/>
                  <w:w w:val="89"/>
                </w:rPr>
                <w:t>Consolidated Balance Sheets as of December 31, 2009 and 2008</w:t>
              </w:r>
            </w:hyperlink>
          </w:p>
        </w:tc>
        <w:tc>
          <w:tcPr>
            <w:tcW w:w="4680" w:type="dxa"/>
            <w:vAlign w:val="bottom"/>
            <w:gridSpan w:val="7"/>
          </w:tcPr>
          <w:p>
            <w:pPr>
              <w:spacing w:after="0"/>
              <w:rPr>
                <w:sz w:val="11"/>
                <w:szCs w:val="11"/>
                <w:color w:val="auto"/>
              </w:rPr>
            </w:pPr>
          </w:p>
        </w:tc>
        <w:tc>
          <w:tcPr>
            <w:tcW w:w="1860" w:type="dxa"/>
            <w:vAlign w:val="bottom"/>
          </w:tcPr>
          <w:p>
            <w:pPr>
              <w:jc w:val="right"/>
              <w:spacing w:after="0" w:line="138" w:lineRule="exact"/>
              <w:rPr>
                <w:sz w:val="20"/>
                <w:szCs w:val="20"/>
                <w:color w:val="auto"/>
              </w:rPr>
            </w:pPr>
            <w:r>
              <w:rPr>
                <w:rFonts w:ascii="Arial" w:cs="Arial" w:eastAsia="Arial" w:hAnsi="Arial"/>
                <w:sz w:val="13"/>
                <w:szCs w:val="13"/>
                <w:color w:val="auto"/>
              </w:rPr>
              <w:t>68</w:t>
            </w:r>
          </w:p>
        </w:tc>
      </w:tr>
      <w:tr>
        <w:trPr>
          <w:trHeight w:val="137"/>
        </w:trPr>
        <w:tc>
          <w:tcPr>
            <w:tcW w:w="50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72">
              <w:r>
                <w:rPr>
                  <w:rFonts w:ascii="Arial" w:cs="Arial" w:eastAsia="Arial" w:hAnsi="Arial"/>
                  <w:sz w:val="13"/>
                  <w:szCs w:val="13"/>
                  <w:color w:val="0000EE"/>
                  <w:w w:val="89"/>
                </w:rPr>
                <w:t>Consolidated Statements of Operations for the years ended December 31, 2009, 2008 and 2007</w:t>
              </w:r>
            </w:hyperlink>
          </w:p>
        </w:tc>
        <w:tc>
          <w:tcPr>
            <w:tcW w:w="3080" w:type="dxa"/>
            <w:vAlign w:val="bottom"/>
            <w:gridSpan w:val="4"/>
          </w:tcPr>
          <w:p>
            <w:pPr>
              <w:spacing w:after="0"/>
              <w:rPr>
                <w:sz w:val="11"/>
                <w:szCs w:val="11"/>
                <w:color w:val="auto"/>
              </w:rPr>
            </w:pPr>
          </w:p>
        </w:tc>
        <w:tc>
          <w:tcPr>
            <w:tcW w:w="1860" w:type="dxa"/>
            <w:vAlign w:val="bottom"/>
          </w:tcPr>
          <w:p>
            <w:pPr>
              <w:jc w:val="right"/>
              <w:spacing w:after="0" w:line="138" w:lineRule="exact"/>
              <w:rPr>
                <w:sz w:val="20"/>
                <w:szCs w:val="20"/>
                <w:color w:val="auto"/>
              </w:rPr>
            </w:pPr>
            <w:r>
              <w:rPr>
                <w:rFonts w:ascii="Arial" w:cs="Arial" w:eastAsia="Arial" w:hAnsi="Arial"/>
                <w:sz w:val="13"/>
                <w:szCs w:val="13"/>
                <w:color w:val="auto"/>
              </w:rPr>
              <w:t>69</w:t>
            </w:r>
          </w:p>
        </w:tc>
      </w:tr>
      <w:tr>
        <w:trPr>
          <w:trHeight w:val="137"/>
        </w:trPr>
        <w:tc>
          <w:tcPr>
            <w:tcW w:w="8080" w:type="dxa"/>
            <w:vAlign w:val="bottom"/>
            <w:gridSpan w:val="9"/>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Consolidated Statements of Comprehensive Earnings for the years ended December 31, 2009, 2008 and 2007</w:t>
              </w:r>
            </w:hyperlink>
          </w:p>
        </w:tc>
        <w:tc>
          <w:tcPr>
            <w:tcW w:w="1860" w:type="dxa"/>
            <w:vAlign w:val="bottom"/>
          </w:tcPr>
          <w:p>
            <w:pPr>
              <w:jc w:val="right"/>
              <w:spacing w:after="0" w:line="138" w:lineRule="exact"/>
              <w:rPr>
                <w:sz w:val="20"/>
                <w:szCs w:val="20"/>
                <w:color w:val="auto"/>
              </w:rPr>
            </w:pPr>
            <w:r>
              <w:rPr>
                <w:rFonts w:ascii="Arial" w:cs="Arial" w:eastAsia="Arial" w:hAnsi="Arial"/>
                <w:sz w:val="13"/>
                <w:szCs w:val="13"/>
                <w:color w:val="auto"/>
              </w:rPr>
              <w:t>70</w:t>
            </w:r>
          </w:p>
        </w:tc>
      </w:tr>
      <w:tr>
        <w:trPr>
          <w:trHeight w:val="137"/>
        </w:trPr>
        <w:tc>
          <w:tcPr>
            <w:tcW w:w="478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90"/>
              </w:rPr>
            </w:pPr>
            <w:hyperlink w:anchor="page74">
              <w:r>
                <w:rPr>
                  <w:rFonts w:ascii="Arial" w:cs="Arial" w:eastAsia="Arial" w:hAnsi="Arial"/>
                  <w:sz w:val="13"/>
                  <w:szCs w:val="13"/>
                  <w:color w:val="0000EE"/>
                  <w:w w:val="90"/>
                </w:rPr>
                <w:t>Consolidated Statements of Equity for the years ended December 31, 2009, 2008 and 2007</w:t>
              </w:r>
            </w:hyperlink>
          </w:p>
        </w:tc>
        <w:tc>
          <w:tcPr>
            <w:tcW w:w="960" w:type="dxa"/>
            <w:vAlign w:val="bottom"/>
            <w:tcBorders>
              <w:top w:val="single" w:sz="8" w:color="0000EE"/>
            </w:tcBorders>
            <w:gridSpan w:val="3"/>
          </w:tcPr>
          <w:p>
            <w:pPr>
              <w:spacing w:after="0"/>
              <w:rPr>
                <w:sz w:val="11"/>
                <w:szCs w:val="11"/>
                <w:color w:val="auto"/>
              </w:rPr>
            </w:pPr>
          </w:p>
        </w:tc>
        <w:tc>
          <w:tcPr>
            <w:tcW w:w="2340" w:type="dxa"/>
            <w:vAlign w:val="bottom"/>
            <w:gridSpan w:val="2"/>
          </w:tcPr>
          <w:p>
            <w:pPr>
              <w:spacing w:after="0"/>
              <w:rPr>
                <w:sz w:val="11"/>
                <w:szCs w:val="11"/>
                <w:color w:val="auto"/>
              </w:rPr>
            </w:pPr>
          </w:p>
        </w:tc>
        <w:tc>
          <w:tcPr>
            <w:tcW w:w="1860" w:type="dxa"/>
            <w:vAlign w:val="bottom"/>
          </w:tcPr>
          <w:p>
            <w:pPr>
              <w:jc w:val="right"/>
              <w:spacing w:after="0" w:line="138" w:lineRule="exact"/>
              <w:rPr>
                <w:sz w:val="20"/>
                <w:szCs w:val="20"/>
                <w:color w:val="auto"/>
              </w:rPr>
            </w:pPr>
            <w:r>
              <w:rPr>
                <w:rFonts w:ascii="Arial" w:cs="Arial" w:eastAsia="Arial" w:hAnsi="Arial"/>
                <w:sz w:val="13"/>
                <w:szCs w:val="13"/>
                <w:color w:val="auto"/>
              </w:rPr>
              <w:t>71</w:t>
            </w:r>
          </w:p>
        </w:tc>
      </w:tr>
      <w:tr>
        <w:trPr>
          <w:trHeight w:val="137"/>
        </w:trPr>
        <w:tc>
          <w:tcPr>
            <w:tcW w:w="504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75">
              <w:r>
                <w:rPr>
                  <w:rFonts w:ascii="Arial" w:cs="Arial" w:eastAsia="Arial" w:hAnsi="Arial"/>
                  <w:sz w:val="13"/>
                  <w:szCs w:val="13"/>
                  <w:color w:val="0000EE"/>
                  <w:w w:val="89"/>
                </w:rPr>
                <w:t>Consolidated Statements of Cash Flows for the years ended December 31, 2009, 2008 and 2007</w:t>
              </w:r>
            </w:hyperlink>
          </w:p>
        </w:tc>
        <w:tc>
          <w:tcPr>
            <w:tcW w:w="3040" w:type="dxa"/>
            <w:vAlign w:val="bottom"/>
            <w:gridSpan w:val="3"/>
          </w:tcPr>
          <w:p>
            <w:pPr>
              <w:spacing w:after="0"/>
              <w:rPr>
                <w:sz w:val="11"/>
                <w:szCs w:val="11"/>
                <w:color w:val="auto"/>
              </w:rPr>
            </w:pPr>
          </w:p>
        </w:tc>
        <w:tc>
          <w:tcPr>
            <w:tcW w:w="1860" w:type="dxa"/>
            <w:vAlign w:val="bottom"/>
          </w:tcPr>
          <w:p>
            <w:pPr>
              <w:jc w:val="right"/>
              <w:spacing w:after="0" w:line="138" w:lineRule="exact"/>
              <w:rPr>
                <w:sz w:val="20"/>
                <w:szCs w:val="20"/>
                <w:color w:val="auto"/>
              </w:rPr>
            </w:pPr>
            <w:r>
              <w:rPr>
                <w:rFonts w:ascii="Arial" w:cs="Arial" w:eastAsia="Arial" w:hAnsi="Arial"/>
                <w:sz w:val="13"/>
                <w:szCs w:val="13"/>
                <w:color w:val="auto"/>
              </w:rPr>
              <w:t>72</w:t>
            </w:r>
          </w:p>
        </w:tc>
      </w:tr>
      <w:tr>
        <w:trPr>
          <w:trHeight w:val="137"/>
        </w:trPr>
        <w:tc>
          <w:tcPr>
            <w:tcW w:w="8080" w:type="dxa"/>
            <w:vAlign w:val="bottom"/>
            <w:gridSpan w:val="9"/>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Notes to Consolidated Financial Statements</w:t>
              </w:r>
            </w:hyperlink>
          </w:p>
        </w:tc>
        <w:tc>
          <w:tcPr>
            <w:tcW w:w="1860" w:type="dxa"/>
            <w:vAlign w:val="bottom"/>
          </w:tcPr>
          <w:p>
            <w:pPr>
              <w:jc w:val="right"/>
              <w:spacing w:after="0" w:line="138" w:lineRule="exact"/>
              <w:rPr>
                <w:sz w:val="20"/>
                <w:szCs w:val="20"/>
                <w:color w:val="auto"/>
              </w:rPr>
            </w:pPr>
            <w:r>
              <w:rPr>
                <w:rFonts w:ascii="Arial" w:cs="Arial" w:eastAsia="Arial" w:hAnsi="Arial"/>
                <w:sz w:val="13"/>
                <w:szCs w:val="13"/>
                <w:color w:val="auto"/>
              </w:rPr>
              <w:t>73</w:t>
            </w:r>
          </w:p>
        </w:tc>
      </w:tr>
      <w:tr>
        <w:trPr>
          <w:trHeight w:val="20"/>
        </w:trPr>
        <w:tc>
          <w:tcPr>
            <w:tcW w:w="23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820" w:type="dxa"/>
            <w:vAlign w:val="bottom"/>
          </w:tcPr>
          <w:p>
            <w:pPr>
              <w:ind w:left="400"/>
              <w:spacing w:after="0"/>
              <w:rPr>
                <w:sz w:val="20"/>
                <w:szCs w:val="20"/>
                <w:color w:val="auto"/>
              </w:rPr>
            </w:pPr>
            <w:r>
              <w:rPr>
                <w:rFonts w:ascii="Arial" w:cs="Arial" w:eastAsia="Arial" w:hAnsi="Arial"/>
                <w:sz w:val="13"/>
                <w:szCs w:val="13"/>
                <w:color w:val="auto"/>
              </w:rPr>
              <w:t xml:space="preserve">(a) (2) </w:t>
            </w:r>
            <w:r>
              <w:rPr>
                <w:rFonts w:ascii="Arial" w:cs="Arial" w:eastAsia="Arial" w:hAnsi="Arial"/>
                <w:sz w:val="13"/>
                <w:szCs w:val="13"/>
                <w:i w:val="1"/>
                <w:iCs w:val="1"/>
                <w:color w:val="auto"/>
              </w:rPr>
              <w:t>Financial Statement Schedules.</w:t>
            </w:r>
            <w:r>
              <w:rPr>
                <w:rFonts w:ascii="Arial" w:cs="Arial" w:eastAsia="Arial" w:hAnsi="Arial"/>
                <w:sz w:val="13"/>
                <w:szCs w:val="13"/>
                <w:color w:val="auto"/>
              </w:rPr>
              <w:t xml:space="preserve">  The following is a list of financial statement schedules filed as part of this annual report on Form 10-K:</w:t>
            </w:r>
          </w:p>
        </w:tc>
        <w:tc>
          <w:tcPr>
            <w:tcW w:w="1060" w:type="dxa"/>
            <w:vAlign w:val="bottom"/>
          </w:tcPr>
          <w:p>
            <w:pPr>
              <w:spacing w:after="0"/>
              <w:rPr>
                <w:sz w:val="14"/>
                <w:szCs w:val="14"/>
                <w:color w:val="auto"/>
              </w:rPr>
            </w:pPr>
          </w:p>
        </w:tc>
      </w:tr>
      <w:tr>
        <w:trPr>
          <w:trHeight w:val="248"/>
        </w:trPr>
        <w:tc>
          <w:tcPr>
            <w:tcW w:w="8820" w:type="dxa"/>
            <w:vAlign w:val="bottom"/>
          </w:tcPr>
          <w:p>
            <w:pPr>
              <w:spacing w:after="0"/>
              <w:rPr>
                <w:sz w:val="20"/>
                <w:szCs w:val="20"/>
                <w:color w:val="auto"/>
              </w:rPr>
            </w:pPr>
            <w:r>
              <w:rPr>
                <w:rFonts w:ascii="Arial" w:cs="Arial" w:eastAsia="Arial" w:hAnsi="Arial"/>
                <w:sz w:val="13"/>
                <w:szCs w:val="13"/>
                <w:i w:val="1"/>
                <w:iCs w:val="1"/>
                <w:color w:val="auto"/>
              </w:rPr>
              <w:t xml:space="preserve">Schedule II: </w:t>
            </w:r>
            <w:r>
              <w:rPr>
                <w:rFonts w:ascii="Arial" w:cs="Arial" w:eastAsia="Arial" w:hAnsi="Arial"/>
                <w:sz w:val="13"/>
                <w:szCs w:val="13"/>
                <w:color w:val="auto"/>
              </w:rPr>
              <w:t>Fidelity National Financial, Inc. (Parent Company Financial Statements)</w:t>
            </w:r>
          </w:p>
        </w:tc>
        <w:tc>
          <w:tcPr>
            <w:tcW w:w="106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165"/>
        </w:trPr>
        <w:tc>
          <w:tcPr>
            <w:tcW w:w="8820" w:type="dxa"/>
            <w:vAlign w:val="bottom"/>
          </w:tcPr>
          <w:p>
            <w:pPr>
              <w:spacing w:after="0"/>
              <w:rPr>
                <w:sz w:val="20"/>
                <w:szCs w:val="20"/>
                <w:color w:val="auto"/>
              </w:rPr>
            </w:pPr>
            <w:r>
              <w:rPr>
                <w:rFonts w:ascii="Arial" w:cs="Arial" w:eastAsia="Arial" w:hAnsi="Arial"/>
                <w:sz w:val="13"/>
                <w:szCs w:val="13"/>
                <w:i w:val="1"/>
                <w:iCs w:val="1"/>
                <w:color w:val="auto"/>
              </w:rPr>
              <w:t xml:space="preserve">Schedule V: </w:t>
            </w:r>
            <w:r>
              <w:rPr>
                <w:rFonts w:ascii="Arial" w:cs="Arial" w:eastAsia="Arial" w:hAnsi="Arial"/>
                <w:sz w:val="13"/>
                <w:szCs w:val="13"/>
                <w:color w:val="auto"/>
              </w:rPr>
              <w:t>Valuation and Qualifying Accounts</w:t>
            </w:r>
          </w:p>
        </w:tc>
        <w:tc>
          <w:tcPr>
            <w:tcW w:w="1060" w:type="dxa"/>
            <w:vAlign w:val="bottom"/>
          </w:tcPr>
          <w:p>
            <w:pPr>
              <w:jc w:val="right"/>
              <w:spacing w:after="0"/>
              <w:rPr>
                <w:sz w:val="20"/>
                <w:szCs w:val="20"/>
                <w:color w:val="auto"/>
              </w:rPr>
            </w:pPr>
            <w:r>
              <w:rPr>
                <w:rFonts w:ascii="Arial" w:cs="Arial" w:eastAsia="Arial" w:hAnsi="Arial"/>
                <w:sz w:val="13"/>
                <w:szCs w:val="13"/>
                <w:color w:val="auto"/>
              </w:rPr>
              <w:t>129</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other schedules are omitted because they are not applicable or not required, or because the required information is included in the Consolidated Financial Statements or notes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thereto.</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(3) The following exhibits are incorporated by reference or are set forth on pages to this Form 10-K:</w:t>
      </w:r>
    </w:p>
    <w:p>
      <w:pPr>
        <w:spacing w:after="0" w:line="91"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0</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00" w:right="400" w:hanging="556"/>
        <w:spacing w:after="0" w:line="280"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Securities Exchange and Distribution Agreement between Old FNF and the Registrant, dated as of June 25, 2006, as amended and restated as of September 18, 2006 (incorporated by reference to Annex A to the Registrant’s Schedule 14C filed on September 19, 2006 (the “Information Statement”))</w:t>
      </w: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Form of Amended and Restated Certificate of Incorporation of the Registrant (incorporated by reference to Annex C to the Information Statement)</w:t>
      </w:r>
    </w:p>
    <w:p>
      <w:pPr>
        <w:spacing w:after="0" w:line="8" w:lineRule="exact"/>
        <w:rPr>
          <w:sz w:val="20"/>
          <w:szCs w:val="20"/>
          <w:color w:val="auto"/>
        </w:rPr>
      </w:pPr>
    </w:p>
    <w:p>
      <w:pPr>
        <w:ind w:left="1600" w:right="360" w:hanging="556"/>
        <w:spacing w:after="0" w:line="252" w:lineRule="auto"/>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the Registrant, as adopted on September 26, 2005 (incorporated by reference to Exhibit 3.2 to the Registrant’s Quarterly Report on Form 10-Q for the quarter ended September 30, 2005)</w:t>
      </w:r>
    </w:p>
    <w:p>
      <w:pPr>
        <w:spacing w:after="0" w:line="1" w:lineRule="exact"/>
        <w:rPr>
          <w:sz w:val="20"/>
          <w:szCs w:val="20"/>
          <w:color w:val="auto"/>
        </w:rPr>
      </w:pPr>
    </w:p>
    <w:p>
      <w:pPr>
        <w:ind w:left="1600" w:right="300" w:hanging="556"/>
        <w:spacing w:after="0" w:line="264" w:lineRule="auto"/>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Indenture between the Registrant and The Bank of New York Trust Company, N.A., dated December 8, 2005, relating to the 7.30% and 5.25% notes referred to below (incorporated by reference to Exhibit 4.1 to the Registrant’s Annual Report on Form 10-K for the year ended December 31, 2005)</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0</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00" w:hanging="556"/>
        <w:spacing w:after="0" w:line="258" w:lineRule="auto"/>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First Supplemental Indenture between the Registrant and the Bank of New York Trust Company, N.A., dated as of January 6, 2006 (incorporated by reference to Exhibit 4.1 to the Registrant’s Current Report on Form 8-K filed on January 24, 2006)</w:t>
      </w:r>
    </w:p>
    <w:p>
      <w:pPr>
        <w:spacing w:after="0" w:line="1" w:lineRule="exact"/>
        <w:rPr>
          <w:sz w:val="20"/>
          <w:szCs w:val="20"/>
          <w:color w:val="auto"/>
        </w:rPr>
      </w:pPr>
    </w:p>
    <w:p>
      <w:pPr>
        <w:ind w:left="1600" w:right="160" w:hanging="556"/>
        <w:spacing w:after="0" w:line="252" w:lineRule="auto"/>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Form of Subordinated Indenture between the Registrant and the Bank of New York Trust Company, N.A. (incorporated by reference to Exhibit 4.2(A) to the Registrant’s Registration Statement on Form S-3 filed on November 14, 2007)</w:t>
      </w:r>
    </w:p>
    <w:p>
      <w:pPr>
        <w:spacing w:after="0" w:line="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1"/>
          <w:szCs w:val="11"/>
          <w:color w:val="auto"/>
        </w:rPr>
        <w:t>Form of 7.30% note due August 15, 2011 (incorporated by reference to Exhibit 4.6 to the Registrant’s Registration Statement on Form S-4 filed on October 28, 2005)</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1"/>
          <w:szCs w:val="11"/>
          <w:color w:val="auto"/>
        </w:rPr>
        <w:t>Form of 5.25% note due March 15, 2013 (incorporated by reference to Exhibit 4.7 to the Registrant’s Registration Statement on Form S-4 filed on October 28, 2005)</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color w:val="auto"/>
        </w:rPr>
        <w:t>Form of 2.36% Subordinated Promissory Note due 2013 (incorporated by reference to Exhibit 99.2 to the Registrant’s Current Report on Form 8-K filed on December 24,</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2008)</w:t>
      </w:r>
    </w:p>
    <w:p>
      <w:pPr>
        <w:spacing w:after="0" w:line="8" w:lineRule="exact"/>
        <w:rPr>
          <w:sz w:val="20"/>
          <w:szCs w:val="20"/>
          <w:color w:val="auto"/>
        </w:rPr>
      </w:pPr>
    </w:p>
    <w:p>
      <w:pPr>
        <w:ind w:left="1600" w:right="580" w:hanging="556"/>
        <w:spacing w:after="0" w:line="252" w:lineRule="auto"/>
        <w:tabs>
          <w:tab w:leader="none" w:pos="158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Form of the Registrant’s Common Stock Certificate (incorporated by reference to Exhibit 4.5 to the Registrant’s Annual Report on Form 10-K for the year ended December 31, 2006 (the “2006 Annual Report”))</w:t>
      </w:r>
    </w:p>
    <w:p>
      <w:pPr>
        <w:spacing w:after="0" w:line="1" w:lineRule="exact"/>
        <w:rPr>
          <w:sz w:val="20"/>
          <w:szCs w:val="20"/>
          <w:color w:val="auto"/>
        </w:rPr>
      </w:pPr>
    </w:p>
    <w:p>
      <w:pPr>
        <w:ind w:left="1600" w:right="380" w:hanging="622"/>
        <w:spacing w:after="0" w:line="252" w:lineRule="auto"/>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Credit Agreement among the Registrant, Bank of America, N.A., and certain agents and other lenders party thereto, dated as of September 12, 2006 (incorporated by reference to Exhibit 10.1 to the Registrant’s Current Report on Form 8-K filed on October 30, 2006)</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Stock Purchase Agreement, dated as of November 25, 2008, as amended and restated as of December 12, 2008, as further amended and restated as of December 21, 2008, among Fidelity National Title Insurance Company, Chicago Title Insurance Company, and LandAmerica Financial Group, Inc. (incorporated by reference to Exhibit 10.1 to the Registrant’s Current Report on Form 8-K filed on December 24, 2008.)</w:t>
      </w:r>
    </w:p>
    <w:p>
      <w:pPr>
        <w:spacing w:after="0" w:line="1" w:lineRule="exact"/>
        <w:rPr>
          <w:sz w:val="20"/>
          <w:szCs w:val="20"/>
          <w:color w:val="auto"/>
        </w:rPr>
      </w:pPr>
    </w:p>
    <w:p>
      <w:pPr>
        <w:ind w:left="1600" w:right="220" w:hanging="622"/>
        <w:spacing w:after="0" w:line="252"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Amended and Restated Fidelity National Financial, Inc. 2005 Omnibus Incentive Plan, effective as of September 26, 2005 (incorporated by reference to Annex A to the Registrant’s Schedule 14A filed on April 15, 2008).(1)</w:t>
      </w:r>
    </w:p>
    <w:p>
      <w:pPr>
        <w:spacing w:after="0" w:line="1" w:lineRule="exact"/>
        <w:rPr>
          <w:sz w:val="20"/>
          <w:szCs w:val="20"/>
          <w:color w:val="auto"/>
        </w:rPr>
      </w:pPr>
    </w:p>
    <w:p>
      <w:pPr>
        <w:ind w:left="1600" w:right="380" w:hanging="622"/>
        <w:spacing w:after="0" w:line="252"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Fidelity National Title Group, Inc. Employee Stock Purchase Plan, effective as of September 26, 2005 (incorporated by reference to Exhibit 10.50 to the Registrant’s Quarterly Report on Form 10-Q for the quarter ended September 30, 2005).(1)</w:t>
      </w:r>
    </w:p>
    <w:p>
      <w:pPr>
        <w:spacing w:after="0" w:line="1" w:lineRule="exact"/>
        <w:rPr>
          <w:sz w:val="20"/>
          <w:szCs w:val="20"/>
          <w:color w:val="auto"/>
        </w:rPr>
      </w:pPr>
    </w:p>
    <w:p>
      <w:pPr>
        <w:ind w:left="1600" w:right="120" w:hanging="622"/>
        <w:spacing w:after="0" w:line="273"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Form of Notice of Restricted Stock Grant and Restricted Stock Award Agreement under Amended and Restated Fidelity National Financial, Inc. 2005 Omnibus Incentive Plan (incorporated by reference to Exhibit 10.5 to the Registrant’s Annual Report on Form 10-K for the year ended December 31, 2008).(1)</w:t>
      </w:r>
    </w:p>
    <w:p>
      <w:pPr>
        <w:spacing w:after="0" w:line="1" w:lineRule="exact"/>
        <w:rPr>
          <w:sz w:val="20"/>
          <w:szCs w:val="20"/>
          <w:color w:val="auto"/>
        </w:rPr>
      </w:pPr>
    </w:p>
    <w:p>
      <w:pPr>
        <w:ind w:left="1600" w:right="120" w:hanging="622"/>
        <w:spacing w:after="0" w:line="252"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Form of Notice of Restricted Stock Grant and Restricted Stock Award Agreement under Amended and Restated Fidelity National Financial, Inc. 2005 Omnibus Incentive Plan for November 2009 awards.(1)</w:t>
      </w:r>
    </w:p>
    <w:p>
      <w:pPr>
        <w:spacing w:after="0" w:line="1"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Form of Notice of Stock Option Grant and Stock Option Award Agreement under Amended and Restated Fidelity National Financial, Inc. 2005 Omnibus Incentive Plan (incorporated by reference to Exhibit 10.6 to the Registrant’s Annual Report on Form 10-K for the year ended December 31, 2008).(1)</w:t>
      </w:r>
    </w:p>
    <w:p>
      <w:pPr>
        <w:spacing w:after="0" w:line="1" w:lineRule="exact"/>
        <w:rPr>
          <w:sz w:val="20"/>
          <w:szCs w:val="20"/>
          <w:color w:val="auto"/>
        </w:rPr>
      </w:pPr>
    </w:p>
    <w:p>
      <w:pPr>
        <w:ind w:left="1600" w:right="240" w:hanging="622"/>
        <w:spacing w:after="0" w:line="252" w:lineRule="auto"/>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Fidelity Sedgwick Holdings, Inc. 2006 Stock Incentive Plan (the “FSH Plan”), effective as of January 31, 2006 (incorporated by reference to Exhibit 99.3 to Old FNF’s Current Report on Form 8-K filed on February 6, 2006).(1)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Form of Stock Option Agreement under the FSH Plan (incorporated by reference to Exhibit 99.4 to Old FNF’s Current Report on Form 8-K filed on February 6, 2006).(1)</w:t>
      </w:r>
    </w:p>
    <w:p>
      <w:pPr>
        <w:spacing w:after="0" w:line="8" w:lineRule="exact"/>
        <w:rPr>
          <w:sz w:val="20"/>
          <w:szCs w:val="20"/>
          <w:color w:val="auto"/>
        </w:rPr>
      </w:pPr>
    </w:p>
    <w:p>
      <w:pPr>
        <w:ind w:left="1600" w:right="440" w:hanging="622"/>
        <w:spacing w:after="0" w:line="252" w:lineRule="auto"/>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Tax Disaffiliation Agreement by and among Old FNF, the Registrant and FIS, dated as of October 23, 2006 (incorporated by reference to Exhibit 99.1 to Old FNF’s Form 8-K, filed on October 27, 2006)</w:t>
      </w:r>
    </w:p>
    <w:p>
      <w:pPr>
        <w:spacing w:after="0" w:line="1" w:lineRule="exact"/>
        <w:rPr>
          <w:sz w:val="20"/>
          <w:szCs w:val="20"/>
          <w:color w:val="auto"/>
        </w:rPr>
      </w:pPr>
    </w:p>
    <w:p>
      <w:pPr>
        <w:ind w:left="1600" w:right="180" w:hanging="622"/>
        <w:spacing w:after="0" w:line="264" w:lineRule="auto"/>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Cross-Indemnity Agreement by and between the Registrant and FIS, dated as of October 23, 2006 (incorporated by reference to Exhibit 99.2 to FIS’s Form 8-K, filed on October 27, 2006)</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00" w:right="680" w:hanging="622"/>
        <w:spacing w:after="0" w:line="258"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Amended and Restated Employment Agreement between the Registrant and Anthony J. Park, effective as of October 10, 2008(1) (incorporated by reference to Exhibit 10.11 to Registrant’s Annual Report on Form 10-K for the year ended December 31, 2008)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Anthony J. Park, effective as of October 10, 2008(1)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Amended and Restated Employment Agreement between the Registrant and Brent B. Bickett, effective as of July 2, 2008(1).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Brent B. Bickett, effective as of July 2, 2008(1)</w:t>
      </w:r>
    </w:p>
    <w:p>
      <w:pPr>
        <w:spacing w:after="0" w:line="8" w:lineRule="exact"/>
        <w:rPr>
          <w:sz w:val="20"/>
          <w:szCs w:val="20"/>
          <w:color w:val="auto"/>
        </w:rPr>
      </w:pPr>
    </w:p>
    <w:p>
      <w:pPr>
        <w:ind w:left="1600" w:right="20" w:hanging="622"/>
        <w:spacing w:after="0" w:line="252"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Amended and Restated Employment Agreement between the Registrant and William P. Foley, II, effective as of July 2, 2008(1) (incorporated by reference to Exhibit 10.14 to Registrant’s Annual Report on Form 10-K for the year ended December 31, 2008).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William P. Foley, II, effective as of July 2, 2008(1).</w:t>
      </w:r>
    </w:p>
    <w:p>
      <w:pPr>
        <w:spacing w:after="0" w:line="8" w:lineRule="exact"/>
        <w:rPr>
          <w:sz w:val="20"/>
          <w:szCs w:val="20"/>
          <w:color w:val="auto"/>
        </w:rPr>
      </w:pPr>
    </w:p>
    <w:p>
      <w:pPr>
        <w:ind w:left="1600" w:right="40" w:hanging="622"/>
        <w:spacing w:after="0" w:line="252"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Amended and Restated Employment Agreement between the Registrant and Alan L. Stinson, effective as of January 1, 2009(1) (incorporated by reference to Exhibit 10.15 to Registrant’s Annual Report on Form 10-K for the year ended December 31, 2008).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Alan L. Stinson, effective as of January 1, 2009(1).</w:t>
      </w:r>
    </w:p>
    <w:p>
      <w:pPr>
        <w:spacing w:after="0" w:line="8" w:lineRule="exact"/>
        <w:rPr>
          <w:sz w:val="20"/>
          <w:szCs w:val="20"/>
          <w:color w:val="auto"/>
        </w:rPr>
      </w:pPr>
    </w:p>
    <w:p>
      <w:pPr>
        <w:ind w:left="1600" w:right="520" w:hanging="622"/>
        <w:spacing w:after="0" w:line="252" w:lineRule="auto"/>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Amended and Restated Employment Agreement between the Registrant and Raymond R. Quirk, effective as of October 10, 2008(1) (incorporated by reference to Exhibit 10.16 to Registrant’s Annual Report on Form 10-K for the year ended December 31, 2008)</w:t>
      </w:r>
    </w:p>
    <w:p>
      <w:pPr>
        <w:spacing w:after="0" w:line="1" w:lineRule="exact"/>
        <w:rPr>
          <w:sz w:val="20"/>
          <w:szCs w:val="20"/>
          <w:color w:val="auto"/>
        </w:rPr>
      </w:pPr>
    </w:p>
    <w:p>
      <w:pPr>
        <w:ind w:left="1600" w:right="300" w:hanging="622"/>
        <w:spacing w:after="0" w:line="252" w:lineRule="auto"/>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Amendment effective February 4, 2010 to Amended and Restated Employment Agreement between the Registrant and Raymond R. Quirk, effective as of October 10, 2008(1)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1"/>
          <w:szCs w:val="11"/>
          <w:color w:val="auto"/>
        </w:rPr>
        <w:t>Amended and Restated Employment Agreement between the Registrant and Michael L. Gravelle, effective as of January 1, 2010(1)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1"/>
          <w:szCs w:val="11"/>
          <w:color w:val="auto"/>
        </w:rPr>
        <w:t>Amended and Restated Employment Agreement between the Registrant and Peter T. Sadowski, effective as of July 23, 2008(1).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Peter T. Sadowski, effective as of July 23, 2008</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2"/>
          <w:szCs w:val="12"/>
          <w:color w:val="auto"/>
        </w:rPr>
        <w:t>Fidelity National Title Group, Inc. Annual Incentive Plan (incorporated by reference to Annex E to the Information Statement).(1)</w:t>
      </w:r>
    </w:p>
    <w:p>
      <w:pPr>
        <w:spacing w:after="0" w:line="8" w:lineRule="exact"/>
        <w:rPr>
          <w:sz w:val="20"/>
          <w:szCs w:val="20"/>
          <w:color w:val="auto"/>
        </w:rPr>
      </w:pPr>
    </w:p>
    <w:p>
      <w:pPr>
        <w:ind w:left="1600" w:right="420" w:hanging="622"/>
        <w:spacing w:after="0" w:line="252" w:lineRule="auto"/>
        <w:tabs>
          <w:tab w:leader="none" w:pos="158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Fidelity National Financial, Inc. Deferred Compensation Plan, as amended and restated, effective January 1, 2009 (incorporated by reference to Exhibit 10.18 to the Registrant’s Annual Report on Form 10-K for the year ended December 31, 2008).(1)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Subsidiaries of the Registrant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KPMG LLP,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 pursuant to Section 302 of the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 pursuant to Section 302 of the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Certification by Chief Executive Officer of Periodic Financial Reports pursuant to Section 906 of the Sarbanes-Oxley Act of 2002, 18 U.S.C. Section 1350</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Certification by Chief Financial Officer of Periodic Financial Reports pursuant to 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5580" w:right="2440" w:hanging="4839"/>
        <w:spacing w:after="0" w:line="482" w:lineRule="auto"/>
        <w:tabs>
          <w:tab w:leader="none" w:pos="993"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management or compensatory plan or arrangement required to be filed as an exhibit to this report pursuant to Item 15(c) of Form 10-K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61"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1920" w:type="dxa"/>
            <w:vAlign w:val="bottom"/>
            <w:gridSpan w:val="2"/>
          </w:tcPr>
          <w:p>
            <w:pPr>
              <w:spacing w:after="0"/>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IDELITY</w:t>
            </w:r>
            <w:r>
              <w:rPr>
                <w:rFonts w:ascii="Arial" w:cs="Arial" w:eastAsia="Arial" w:hAnsi="Arial"/>
                <w:sz w:val="13"/>
                <w:szCs w:val="13"/>
                <w:color w:val="auto"/>
              </w:rPr>
              <w:t xml:space="preserve"> N</w:t>
            </w:r>
            <w:r>
              <w:rPr>
                <w:rFonts w:ascii="Arial" w:cs="Arial" w:eastAsia="Arial" w:hAnsi="Arial"/>
                <w:sz w:val="8"/>
                <w:szCs w:val="8"/>
                <w:color w:val="auto"/>
              </w:rPr>
              <w:t>ATIONAL</w:t>
            </w:r>
            <w:r>
              <w:rPr>
                <w:rFonts w:ascii="Arial" w:cs="Arial" w:eastAsia="Arial" w:hAnsi="Arial"/>
                <w:sz w:val="13"/>
                <w:szCs w:val="13"/>
                <w:color w:val="auto"/>
              </w:rPr>
              <w:t xml:space="preserve"> F</w:t>
            </w:r>
            <w:r>
              <w:rPr>
                <w:rFonts w:ascii="Arial" w:cs="Arial" w:eastAsia="Arial" w:hAnsi="Arial"/>
                <w:sz w:val="8"/>
                <w:szCs w:val="8"/>
                <w:color w:val="auto"/>
              </w:rPr>
              <w:t>INANCIAL</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tc>
        <w:tc>
          <w:tcPr>
            <w:tcW w:w="4040" w:type="dxa"/>
            <w:vAlign w:val="bottom"/>
          </w:tcPr>
          <w:p>
            <w:pPr>
              <w:spacing w:after="0"/>
              <w:rPr>
                <w:sz w:val="14"/>
                <w:szCs w:val="14"/>
                <w:color w:val="auto"/>
              </w:rPr>
            </w:pPr>
          </w:p>
        </w:tc>
      </w:tr>
      <w:tr>
        <w:trPr>
          <w:trHeight w:val="802"/>
        </w:trPr>
        <w:tc>
          <w:tcPr>
            <w:tcW w:w="1920" w:type="dxa"/>
            <w:vAlign w:val="bottom"/>
            <w:gridSpan w:val="2"/>
          </w:tcPr>
          <w:p>
            <w:pPr>
              <w:spacing w:after="0"/>
              <w:rPr>
                <w:sz w:val="20"/>
                <w:szCs w:val="20"/>
                <w:color w:val="auto"/>
              </w:rPr>
            </w:pPr>
            <w:r>
              <w:rPr>
                <w:rFonts w:ascii="Arial" w:cs="Arial" w:eastAsia="Arial" w:hAnsi="Arial"/>
                <w:sz w:val="13"/>
                <w:szCs w:val="13"/>
                <w:color w:val="auto"/>
              </w:rPr>
              <w:t>By:</w:t>
            </w:r>
          </w:p>
        </w:tc>
        <w:tc>
          <w:tcPr>
            <w:tcW w:w="4040" w:type="dxa"/>
            <w:vAlign w:val="bottom"/>
          </w:tcPr>
          <w:p>
            <w:pPr>
              <w:jc w:val="center"/>
              <w:ind w:right="2334"/>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LAN</w:t>
            </w:r>
            <w:r>
              <w:rPr>
                <w:rFonts w:ascii="Arial" w:cs="Arial" w:eastAsia="Arial" w:hAnsi="Arial"/>
                <w:sz w:val="13"/>
                <w:szCs w:val="13"/>
                <w:color w:val="auto"/>
              </w:rPr>
              <w:t xml:space="preserve"> L. S</w:t>
            </w:r>
            <w:r>
              <w:rPr>
                <w:rFonts w:ascii="Arial" w:cs="Arial" w:eastAsia="Arial" w:hAnsi="Arial"/>
                <w:sz w:val="8"/>
                <w:szCs w:val="8"/>
                <w:color w:val="auto"/>
              </w:rPr>
              <w:t>TINSON</w:t>
            </w:r>
          </w:p>
        </w:tc>
      </w:tr>
      <w:tr>
        <w:trPr>
          <w:trHeight w:val="144"/>
        </w:trPr>
        <w:tc>
          <w:tcPr>
            <w:tcW w:w="4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4040" w:type="dxa"/>
            <w:vAlign w:val="bottom"/>
            <w:tcBorders>
              <w:top w:val="single" w:sz="8" w:color="auto"/>
            </w:tcBorders>
          </w:tcPr>
          <w:p>
            <w:pPr>
              <w:jc w:val="center"/>
              <w:ind w:right="2334"/>
              <w:spacing w:after="0" w:line="144" w:lineRule="exact"/>
              <w:rPr>
                <w:sz w:val="20"/>
                <w:szCs w:val="20"/>
                <w:color w:val="auto"/>
              </w:rPr>
            </w:pPr>
            <w:r>
              <w:rPr>
                <w:rFonts w:ascii="Arial" w:cs="Arial" w:eastAsia="Arial" w:hAnsi="Arial"/>
                <w:sz w:val="13"/>
                <w:szCs w:val="13"/>
                <w:color w:val="auto"/>
                <w:w w:val="96"/>
              </w:rPr>
              <w:t>Alan L. Stinson</w:t>
            </w:r>
          </w:p>
        </w:tc>
      </w:tr>
      <w:tr>
        <w:trPr>
          <w:trHeight w:val="165"/>
        </w:trPr>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40" w:type="dxa"/>
            <w:vAlign w:val="bottom"/>
          </w:tcPr>
          <w:p>
            <w:pPr>
              <w:jc w:val="center"/>
              <w:ind w:right="2334"/>
              <w:spacing w:after="0"/>
              <w:rPr>
                <w:sz w:val="20"/>
                <w:szCs w:val="20"/>
                <w:color w:val="auto"/>
              </w:rPr>
            </w:pPr>
            <w:r>
              <w:rPr>
                <w:rFonts w:ascii="Arial" w:cs="Arial" w:eastAsia="Arial" w:hAnsi="Arial"/>
                <w:sz w:val="13"/>
                <w:szCs w:val="13"/>
                <w:i w:val="1"/>
                <w:iCs w:val="1"/>
                <w:color w:val="auto"/>
                <w:w w:val="93"/>
              </w:rPr>
              <w:t>Chief Executive Officer</w:t>
            </w:r>
          </w:p>
        </w:tc>
      </w:tr>
    </w:tbl>
    <w:p>
      <w:pPr>
        <w:spacing w:after="0" w:line="3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March 1, 2010</w:t>
      </w:r>
    </w:p>
    <w:p>
      <w:pPr>
        <w:spacing w:after="0" w:line="57"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80"/>
        <w:spacing w:after="0"/>
        <w:tabs>
          <w:tab w:leader="none" w:pos="7100" w:val="left"/>
          <w:tab w:leader="none" w:pos="100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12700</wp:posOffset>
            </wp:positionV>
            <wp:extent cx="63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LAN</w:t>
            </w:r>
            <w:r>
              <w:rPr>
                <w:rFonts w:ascii="Arial" w:cs="Arial" w:eastAsia="Arial" w:hAnsi="Arial"/>
                <w:sz w:val="13"/>
                <w:szCs w:val="13"/>
                <w:color w:val="auto"/>
              </w:rPr>
              <w:t xml:space="preserve"> L. S</w:t>
            </w:r>
            <w:r>
              <w:rPr>
                <w:rFonts w:ascii="Arial" w:cs="Arial" w:eastAsia="Arial" w:hAnsi="Arial"/>
                <w:sz w:val="8"/>
                <w:szCs w:val="8"/>
                <w:color w:val="auto"/>
              </w:rPr>
              <w:t>TINSON</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3"/>
              </w:rPr>
              <w:t>Chief Executive Officer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6"/>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Alan L. Stinson</w:t>
            </w:r>
          </w:p>
        </w:tc>
        <w:tc>
          <w:tcPr>
            <w:tcW w:w="4100" w:type="dxa"/>
            <w:vAlign w:val="bottom"/>
          </w:tcPr>
          <w:p>
            <w:pPr>
              <w:jc w:val="center"/>
              <w:ind w:left="314"/>
              <w:spacing w:after="0" w:line="145" w:lineRule="exact"/>
              <w:rPr>
                <w:sz w:val="20"/>
                <w:szCs w:val="20"/>
                <w:color w:val="auto"/>
              </w:rPr>
            </w:pPr>
            <w:r>
              <w:rPr>
                <w:rFonts w:ascii="Arial" w:cs="Arial" w:eastAsia="Arial" w:hAnsi="Arial"/>
                <w:sz w:val="13"/>
                <w:szCs w:val="13"/>
                <w:color w:val="auto"/>
                <w:w w:val="94"/>
              </w:rPr>
              <w:t>(Principal Executive Officer)</w:t>
            </w: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NTHONY</w:t>
            </w:r>
            <w:r>
              <w:rPr>
                <w:rFonts w:ascii="Arial" w:cs="Arial" w:eastAsia="Arial" w:hAnsi="Arial"/>
                <w:sz w:val="13"/>
                <w:szCs w:val="13"/>
                <w:color w:val="auto"/>
              </w:rPr>
              <w:t xml:space="preserve"> J. P</w:t>
            </w:r>
            <w:r>
              <w:rPr>
                <w:rFonts w:ascii="Arial" w:cs="Arial" w:eastAsia="Arial" w:hAnsi="Arial"/>
                <w:sz w:val="8"/>
                <w:szCs w:val="8"/>
                <w:color w:val="auto"/>
              </w:rPr>
              <w:t>ARK</w:t>
            </w:r>
          </w:p>
        </w:tc>
        <w:tc>
          <w:tcPr>
            <w:tcW w:w="4100" w:type="dxa"/>
            <w:vAlign w:val="bottom"/>
          </w:tcPr>
          <w:p>
            <w:pPr>
              <w:jc w:val="center"/>
              <w:ind w:left="334"/>
              <w:spacing w:after="0"/>
              <w:rPr>
                <w:sz w:val="20"/>
                <w:szCs w:val="20"/>
                <w:color w:val="auto"/>
              </w:rPr>
            </w:pPr>
            <w:r>
              <w:rPr>
                <w:rFonts w:ascii="Arial" w:cs="Arial" w:eastAsia="Arial" w:hAnsi="Arial"/>
                <w:sz w:val="13"/>
                <w:szCs w:val="13"/>
                <w:color w:val="auto"/>
                <w:w w:val="95"/>
              </w:rPr>
              <w:t>Chief Financial Officer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30"/>
        </w:trPr>
        <w:tc>
          <w:tcPr>
            <w:tcW w:w="680" w:type="dxa"/>
            <w:vAlign w:val="bottom"/>
          </w:tcPr>
          <w:p>
            <w:pPr>
              <w:spacing w:after="0"/>
              <w:rPr>
                <w:sz w:val="11"/>
                <w:szCs w:val="11"/>
                <w:color w:val="auto"/>
              </w:rPr>
            </w:pPr>
          </w:p>
        </w:tc>
        <w:tc>
          <w:tcPr>
            <w:tcW w:w="4220" w:type="dxa"/>
            <w:vAlign w:val="bottom"/>
          </w:tcPr>
          <w:p>
            <w:pPr>
              <w:jc w:val="center"/>
              <w:spacing w:after="0" w:line="130" w:lineRule="exact"/>
              <w:rPr>
                <w:sz w:val="20"/>
                <w:szCs w:val="20"/>
                <w:color w:val="auto"/>
              </w:rPr>
            </w:pPr>
            <w:r>
              <w:rPr>
                <w:rFonts w:ascii="Arial" w:cs="Arial" w:eastAsia="Arial" w:hAnsi="Arial"/>
                <w:sz w:val="13"/>
                <w:szCs w:val="13"/>
                <w:color w:val="auto"/>
                <w:w w:val="93"/>
              </w:rPr>
              <w:t>Anthony J. Park</w:t>
            </w:r>
          </w:p>
        </w:tc>
        <w:tc>
          <w:tcPr>
            <w:tcW w:w="4100" w:type="dxa"/>
            <w:vAlign w:val="bottom"/>
          </w:tcPr>
          <w:p>
            <w:pPr>
              <w:jc w:val="center"/>
              <w:ind w:left="334"/>
              <w:spacing w:after="0" w:line="130" w:lineRule="exact"/>
              <w:rPr>
                <w:sz w:val="20"/>
                <w:szCs w:val="20"/>
                <w:color w:val="auto"/>
              </w:rPr>
            </w:pPr>
            <w:r>
              <w:rPr>
                <w:rFonts w:ascii="Arial" w:cs="Arial" w:eastAsia="Arial" w:hAnsi="Arial"/>
                <w:sz w:val="13"/>
                <w:szCs w:val="13"/>
                <w:color w:val="auto"/>
                <w:w w:val="93"/>
              </w:rPr>
              <w:t>(Principal Financial and</w:t>
            </w:r>
          </w:p>
        </w:tc>
        <w:tc>
          <w:tcPr>
            <w:tcW w:w="246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7"/>
              </w:rPr>
              <w:t>Accounting Officer)</w:t>
            </w:r>
          </w:p>
        </w:tc>
        <w:tc>
          <w:tcPr>
            <w:tcW w:w="24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ILLIAM</w:t>
            </w:r>
            <w:r>
              <w:rPr>
                <w:rFonts w:ascii="Arial" w:cs="Arial" w:eastAsia="Arial" w:hAnsi="Arial"/>
                <w:sz w:val="13"/>
                <w:szCs w:val="13"/>
                <w:color w:val="auto"/>
              </w:rPr>
              <w:t xml:space="preserve"> P. F</w:t>
            </w:r>
            <w:r>
              <w:rPr>
                <w:rFonts w:ascii="Arial" w:cs="Arial" w:eastAsia="Arial" w:hAnsi="Arial"/>
                <w:sz w:val="8"/>
                <w:szCs w:val="8"/>
                <w:color w:val="auto"/>
              </w:rPr>
              <w:t>OLEY</w:t>
            </w:r>
            <w:r>
              <w:rPr>
                <w:rFonts w:ascii="Arial" w:cs="Arial" w:eastAsia="Arial" w:hAnsi="Arial"/>
                <w:sz w:val="13"/>
                <w:szCs w:val="13"/>
                <w:color w:val="auto"/>
              </w:rPr>
              <w:t>, II</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2"/>
              </w:rPr>
              <w:t>Director and Executive Chairman of the Board</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4"/>
              </w:rPr>
              <w:t>William P. Foley, II</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OUGLAS</w:t>
            </w:r>
            <w:r>
              <w:rPr>
                <w:rFonts w:ascii="Arial" w:cs="Arial" w:eastAsia="Arial" w:hAnsi="Arial"/>
                <w:sz w:val="13"/>
                <w:szCs w:val="13"/>
                <w:color w:val="auto"/>
              </w:rPr>
              <w:t xml:space="preserve"> K. A</w:t>
            </w:r>
            <w:r>
              <w:rPr>
                <w:rFonts w:ascii="Arial" w:cs="Arial" w:eastAsia="Arial" w:hAnsi="Arial"/>
                <w:sz w:val="8"/>
                <w:szCs w:val="8"/>
                <w:color w:val="auto"/>
              </w:rPr>
              <w:t>MMERMAN</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Douglas K. Ammerman</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ILLIE</w:t>
            </w:r>
            <w:r>
              <w:rPr>
                <w:rFonts w:ascii="Arial" w:cs="Arial" w:eastAsia="Arial" w:hAnsi="Arial"/>
                <w:sz w:val="13"/>
                <w:szCs w:val="13"/>
                <w:color w:val="auto"/>
              </w:rPr>
              <w:t xml:space="preserve"> D. D</w:t>
            </w:r>
            <w:r>
              <w:rPr>
                <w:rFonts w:ascii="Arial" w:cs="Arial" w:eastAsia="Arial" w:hAnsi="Arial"/>
                <w:sz w:val="8"/>
                <w:szCs w:val="8"/>
                <w:color w:val="auto"/>
              </w:rPr>
              <w:t>AVIS</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7"/>
              </w:rPr>
              <w:t>Willie D. Davis</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M. H</w:t>
            </w:r>
            <w:r>
              <w:rPr>
                <w:rFonts w:ascii="Arial" w:cs="Arial" w:eastAsia="Arial" w:hAnsi="Arial"/>
                <w:sz w:val="8"/>
                <w:szCs w:val="8"/>
                <w:color w:val="auto"/>
              </w:rPr>
              <w:t>AGERTY</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Thomas M. Hagerty</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ANIEL</w:t>
            </w:r>
            <w:r>
              <w:rPr>
                <w:rFonts w:ascii="Arial" w:cs="Arial" w:eastAsia="Arial" w:hAnsi="Arial"/>
                <w:sz w:val="13"/>
                <w:szCs w:val="13"/>
                <w:color w:val="auto"/>
              </w:rPr>
              <w:t xml:space="preserve"> D. (R</w:t>
            </w:r>
            <w:r>
              <w:rPr>
                <w:rFonts w:ascii="Arial" w:cs="Arial" w:eastAsia="Arial" w:hAnsi="Arial"/>
                <w:sz w:val="8"/>
                <w:szCs w:val="8"/>
                <w:color w:val="auto"/>
              </w:rPr>
              <w:t>ON</w:t>
            </w:r>
            <w:r>
              <w:rPr>
                <w:rFonts w:ascii="Arial" w:cs="Arial" w:eastAsia="Arial" w:hAnsi="Arial"/>
                <w:sz w:val="13"/>
                <w:szCs w:val="13"/>
                <w:color w:val="auto"/>
              </w:rPr>
              <w:t>) L</w:t>
            </w:r>
            <w:r>
              <w:rPr>
                <w:rFonts w:ascii="Arial" w:cs="Arial" w:eastAsia="Arial" w:hAnsi="Arial"/>
                <w:sz w:val="8"/>
                <w:szCs w:val="8"/>
                <w:color w:val="auto"/>
              </w:rPr>
              <w:t>ANE</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Daniel D. (Ron) Lane</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ENERAL</w:t>
            </w:r>
            <w:r>
              <w:rPr>
                <w:rFonts w:ascii="Arial" w:cs="Arial" w:eastAsia="Arial" w:hAnsi="Arial"/>
                <w:sz w:val="13"/>
                <w:szCs w:val="13"/>
                <w:color w:val="auto"/>
              </w:rPr>
              <w:t xml:space="preserve"> W</w:t>
            </w:r>
            <w:r>
              <w:rPr>
                <w:rFonts w:ascii="Arial" w:cs="Arial" w:eastAsia="Arial" w:hAnsi="Arial"/>
                <w:sz w:val="8"/>
                <w:szCs w:val="8"/>
                <w:color w:val="auto"/>
              </w:rPr>
              <w:t>ILLIAM</w:t>
            </w:r>
            <w:r>
              <w:rPr>
                <w:rFonts w:ascii="Arial" w:cs="Arial" w:eastAsia="Arial" w:hAnsi="Arial"/>
                <w:sz w:val="13"/>
                <w:szCs w:val="13"/>
                <w:color w:val="auto"/>
              </w:rPr>
              <w:t xml:space="preserve"> L</w:t>
            </w:r>
            <w:r>
              <w:rPr>
                <w:rFonts w:ascii="Arial" w:cs="Arial" w:eastAsia="Arial" w:hAnsi="Arial"/>
                <w:sz w:val="8"/>
                <w:szCs w:val="8"/>
                <w:color w:val="auto"/>
              </w:rPr>
              <w:t>YON</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5"/>
              </w:rPr>
              <w:t>General William Lyon</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N. M</w:t>
            </w:r>
            <w:r>
              <w:rPr>
                <w:rFonts w:ascii="Arial" w:cs="Arial" w:eastAsia="Arial" w:hAnsi="Arial"/>
                <w:sz w:val="8"/>
                <w:szCs w:val="8"/>
                <w:color w:val="auto"/>
              </w:rPr>
              <w:t>ASSEY</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2"/>
              </w:rPr>
              <w:t>Richard N. Massey</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P</w:t>
            </w:r>
            <w:r>
              <w:rPr>
                <w:rFonts w:ascii="Arial" w:cs="Arial" w:eastAsia="Arial" w:hAnsi="Arial"/>
                <w:sz w:val="8"/>
                <w:szCs w:val="8"/>
                <w:color w:val="auto"/>
                <w:w w:val="97"/>
              </w:rPr>
              <w:t>ETER</w:t>
            </w:r>
            <w:r>
              <w:rPr>
                <w:rFonts w:ascii="Arial" w:cs="Arial" w:eastAsia="Arial" w:hAnsi="Arial"/>
                <w:sz w:val="13"/>
                <w:szCs w:val="13"/>
                <w:color w:val="auto"/>
                <w:w w:val="97"/>
              </w:rPr>
              <w:t xml:space="preserve"> O. S</w:t>
            </w:r>
            <w:r>
              <w:rPr>
                <w:rFonts w:ascii="Arial" w:cs="Arial" w:eastAsia="Arial" w:hAnsi="Arial"/>
                <w:sz w:val="8"/>
                <w:szCs w:val="8"/>
                <w:color w:val="auto"/>
                <w:w w:val="97"/>
              </w:rPr>
              <w:t>HEA</w:t>
            </w:r>
            <w:r>
              <w:rPr>
                <w:rFonts w:ascii="Arial" w:cs="Arial" w:eastAsia="Arial" w:hAnsi="Arial"/>
                <w:sz w:val="13"/>
                <w:szCs w:val="13"/>
                <w:color w:val="auto"/>
                <w:w w:val="97"/>
              </w:rPr>
              <w:t>, J</w:t>
            </w:r>
            <w:r>
              <w:rPr>
                <w:rFonts w:ascii="Arial" w:cs="Arial" w:eastAsia="Arial" w:hAnsi="Arial"/>
                <w:sz w:val="8"/>
                <w:szCs w:val="8"/>
                <w:color w:val="auto"/>
                <w:w w:val="97"/>
              </w:rPr>
              <w:t>R</w:t>
            </w:r>
            <w:r>
              <w:rPr>
                <w:rFonts w:ascii="Arial" w:cs="Arial" w:eastAsia="Arial" w:hAnsi="Arial"/>
                <w:sz w:val="13"/>
                <w:szCs w:val="13"/>
                <w:color w:val="auto"/>
                <w:w w:val="97"/>
              </w:rPr>
              <w:t>.</w:t>
            </w:r>
          </w:p>
        </w:tc>
        <w:tc>
          <w:tcPr>
            <w:tcW w:w="4100" w:type="dxa"/>
            <w:vAlign w:val="bottom"/>
          </w:tcPr>
          <w:p>
            <w:pPr>
              <w:jc w:val="center"/>
              <w:ind w:left="314"/>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640"/>
              <w:spacing w:after="0"/>
              <w:rPr>
                <w:sz w:val="20"/>
                <w:szCs w:val="20"/>
                <w:color w:val="auto"/>
              </w:rPr>
            </w:pPr>
            <w:r>
              <w:rPr>
                <w:rFonts w:ascii="Arial" w:cs="Arial" w:eastAsia="Arial" w:hAnsi="Arial"/>
                <w:sz w:val="13"/>
                <w:szCs w:val="13"/>
                <w:color w:val="auto"/>
              </w:rPr>
              <w:t>March 1, 2010</w:t>
            </w:r>
          </w:p>
        </w:tc>
      </w:tr>
      <w:tr>
        <w:trPr>
          <w:trHeight w:val="155"/>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6"/>
              </w:rPr>
              <w:t>Peter O. Shea, Jr.</w:t>
            </w:r>
          </w:p>
        </w:tc>
        <w:tc>
          <w:tcPr>
            <w:tcW w:w="410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00" w:type="dxa"/>
            <w:vAlign w:val="bottom"/>
          </w:tcPr>
          <w:p>
            <w:pPr>
              <w:jc w:val="right"/>
              <w:ind w:right="3154"/>
              <w:spacing w:after="0"/>
              <w:rPr>
                <w:sz w:val="20"/>
                <w:szCs w:val="20"/>
                <w:color w:val="auto"/>
              </w:rPr>
            </w:pPr>
            <w:r>
              <w:rPr>
                <w:rFonts w:ascii="Arial" w:cs="Arial" w:eastAsia="Arial" w:hAnsi="Arial"/>
                <w:sz w:val="13"/>
                <w:szCs w:val="13"/>
                <w:color w:val="auto"/>
              </w:rPr>
              <w:t>122</w:t>
            </w:r>
          </w:p>
        </w:tc>
        <w:tc>
          <w:tcPr>
            <w:tcW w:w="24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80"/>
        <w:spacing w:after="0"/>
        <w:tabs>
          <w:tab w:leader="none" w:pos="7100" w:val="left"/>
          <w:tab w:leader="none" w:pos="100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12700</wp:posOffset>
            </wp:positionV>
            <wp:extent cx="63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ARY</w:t>
            </w:r>
            <w:r>
              <w:rPr>
                <w:rFonts w:ascii="Arial" w:cs="Arial" w:eastAsia="Arial" w:hAnsi="Arial"/>
                <w:sz w:val="13"/>
                <w:szCs w:val="13"/>
                <w:color w:val="auto"/>
              </w:rPr>
              <w:t xml:space="preserve"> H. T</w:t>
            </w:r>
            <w:r>
              <w:rPr>
                <w:rFonts w:ascii="Arial" w:cs="Arial" w:eastAsia="Arial" w:hAnsi="Arial"/>
                <w:sz w:val="8"/>
                <w:szCs w:val="8"/>
                <w:color w:val="auto"/>
              </w:rPr>
              <w:t>HOMPSON</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960" w:type="dxa"/>
            <w:vAlign w:val="bottom"/>
          </w:tcPr>
          <w:p>
            <w:pPr>
              <w:ind w:left="1140"/>
              <w:spacing w:after="0"/>
              <w:rPr>
                <w:sz w:val="20"/>
                <w:szCs w:val="20"/>
                <w:color w:val="auto"/>
              </w:rPr>
            </w:pPr>
            <w:r>
              <w:rPr>
                <w:rFonts w:ascii="Arial" w:cs="Arial" w:eastAsia="Arial" w:hAnsi="Arial"/>
                <w:sz w:val="13"/>
                <w:szCs w:val="13"/>
                <w:color w:val="auto"/>
              </w:rPr>
              <w:t>March 1, 2010</w:t>
            </w: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Cary H. Thompson</w:t>
            </w:r>
          </w:p>
        </w:tc>
        <w:tc>
          <w:tcPr>
            <w:tcW w:w="36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F</w:t>
            </w:r>
            <w:r>
              <w:rPr>
                <w:rFonts w:ascii="Arial" w:cs="Arial" w:eastAsia="Arial" w:hAnsi="Arial"/>
                <w:sz w:val="8"/>
                <w:szCs w:val="8"/>
                <w:color w:val="auto"/>
              </w:rPr>
              <w:t>RANK</w:t>
            </w:r>
            <w:r>
              <w:rPr>
                <w:rFonts w:ascii="Arial" w:cs="Arial" w:eastAsia="Arial" w:hAnsi="Arial"/>
                <w:sz w:val="13"/>
                <w:szCs w:val="13"/>
                <w:color w:val="auto"/>
              </w:rPr>
              <w:t xml:space="preserve"> P. W</w:t>
            </w:r>
            <w:r>
              <w:rPr>
                <w:rFonts w:ascii="Arial" w:cs="Arial" w:eastAsia="Arial" w:hAnsi="Arial"/>
                <w:sz w:val="8"/>
                <w:szCs w:val="8"/>
                <w:color w:val="auto"/>
              </w:rPr>
              <w:t>ILLEY</w:t>
            </w:r>
          </w:p>
        </w:tc>
        <w:tc>
          <w:tcPr>
            <w:tcW w:w="360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960" w:type="dxa"/>
            <w:vAlign w:val="bottom"/>
          </w:tcPr>
          <w:p>
            <w:pPr>
              <w:ind w:left="1140"/>
              <w:spacing w:after="0"/>
              <w:rPr>
                <w:sz w:val="20"/>
                <w:szCs w:val="20"/>
                <w:color w:val="auto"/>
              </w:rPr>
            </w:pPr>
            <w:r>
              <w:rPr>
                <w:rFonts w:ascii="Arial" w:cs="Arial" w:eastAsia="Arial" w:hAnsi="Arial"/>
                <w:sz w:val="13"/>
                <w:szCs w:val="13"/>
                <w:color w:val="auto"/>
              </w:rPr>
              <w:t>March 1, 2010</w:t>
            </w:r>
          </w:p>
        </w:tc>
      </w:tr>
      <w:tr>
        <w:trPr>
          <w:trHeight w:val="160"/>
        </w:trPr>
        <w:tc>
          <w:tcPr>
            <w:tcW w:w="68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Frank P. Willey</w:t>
            </w:r>
          </w:p>
        </w:tc>
        <w:tc>
          <w:tcPr>
            <w:tcW w:w="36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0" w:type="dxa"/>
            <w:vAlign w:val="bottom"/>
          </w:tcPr>
          <w:p>
            <w:pPr>
              <w:jc w:val="right"/>
              <w:ind w:right="2654"/>
              <w:spacing w:after="0"/>
              <w:rPr>
                <w:sz w:val="20"/>
                <w:szCs w:val="20"/>
                <w:color w:val="auto"/>
              </w:rPr>
            </w:pPr>
            <w:r>
              <w:rPr>
                <w:rFonts w:ascii="Arial" w:cs="Arial" w:eastAsia="Arial" w:hAnsi="Arial"/>
                <w:sz w:val="13"/>
                <w:szCs w:val="13"/>
                <w:color w:val="auto"/>
              </w:rPr>
              <w:t>123</w:t>
            </w:r>
          </w:p>
        </w:tc>
        <w:tc>
          <w:tcPr>
            <w:tcW w:w="29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Under date of March 1, 2010, we reported on the Consolidated Balance Sheets of Fidelity National Financial, Inc. and subsidiaries as of December 31, 2009 and 2008, and the related Consolidated Statements of Operations, Comprehensive Earnings, Equity and Cash Flows for each of the years in the three-year period ended December 31, 2009, as contained in the Annual Report on Form 10-K for the year 2009.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our opinion, such financial statement schedules, when considered in relation to the basic Consolidated Financial Statements taken as a whole, present fairly, in all material respects, the information set forth therein.</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 2010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Certified Public Accountants</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3"/>
                <w:szCs w:val="13"/>
                <w:b w:val="1"/>
                <w:bCs w:val="1"/>
                <w:color w:val="auto"/>
              </w:rPr>
              <w:t>SCHEDULE II</w:t>
            </w:r>
          </w:p>
        </w:tc>
        <w:tc>
          <w:tcPr>
            <w:tcW w:w="0" w:type="dxa"/>
            <w:vAlign w:val="bottom"/>
          </w:tcPr>
          <w:p>
            <w:pPr>
              <w:spacing w:after="0"/>
              <w:rPr>
                <w:sz w:val="1"/>
                <w:szCs w:val="1"/>
                <w:color w:val="auto"/>
              </w:rPr>
            </w:pPr>
          </w:p>
        </w:tc>
      </w:tr>
      <w:tr>
        <w:trPr>
          <w:trHeight w:val="234"/>
        </w:trPr>
        <w:tc>
          <w:tcPr>
            <w:tcW w:w="8300" w:type="dxa"/>
            <w:vAlign w:val="bottom"/>
          </w:tcPr>
          <w:p>
            <w:pPr>
              <w:jc w:val="center"/>
              <w:ind w:left="1634"/>
              <w:spacing w:after="0"/>
              <w:rPr>
                <w:sz w:val="20"/>
                <w:szCs w:val="20"/>
                <w:color w:val="auto"/>
              </w:rPr>
            </w:pPr>
            <w:r>
              <w:rPr>
                <w:rFonts w:ascii="Arial" w:cs="Arial" w:eastAsia="Arial" w:hAnsi="Arial"/>
                <w:sz w:val="13"/>
                <w:szCs w:val="13"/>
                <w:b w:val="1"/>
                <w:bCs w:val="1"/>
                <w:color w:val="auto"/>
              </w:rPr>
              <w:t>FIDELITY NATIONAL FINANCIAL, INC.</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300" w:type="dxa"/>
            <w:vAlign w:val="bottom"/>
          </w:tcPr>
          <w:p>
            <w:pPr>
              <w:jc w:val="center"/>
              <w:ind w:left="1634"/>
              <w:spacing w:after="0"/>
              <w:rPr>
                <w:sz w:val="20"/>
                <w:szCs w:val="20"/>
                <w:color w:val="auto"/>
              </w:rPr>
            </w:pPr>
            <w:r>
              <w:rPr>
                <w:rFonts w:ascii="Arial" w:cs="Arial" w:eastAsia="Arial" w:hAnsi="Arial"/>
                <w:sz w:val="13"/>
                <w:szCs w:val="13"/>
                <w:b w:val="1"/>
                <w:bCs w:val="1"/>
                <w:color w:val="auto"/>
                <w:w w:val="92"/>
              </w:rPr>
              <w:t>(Parent Company)</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8300" w:type="dxa"/>
            <w:vAlign w:val="bottom"/>
          </w:tcPr>
          <w:p>
            <w:pPr>
              <w:jc w:val="center"/>
              <w:ind w:left="1614"/>
              <w:spacing w:after="0"/>
              <w:rPr>
                <w:sz w:val="20"/>
                <w:szCs w:val="20"/>
                <w:color w:val="auto"/>
              </w:rPr>
            </w:pPr>
            <w:r>
              <w:rPr>
                <w:rFonts w:ascii="Arial" w:cs="Arial" w:eastAsia="Arial" w:hAnsi="Arial"/>
                <w:sz w:val="13"/>
                <w:szCs w:val="13"/>
                <w:b w:val="1"/>
                <w:bCs w:val="1"/>
                <w:color w:val="auto"/>
                <w:w w:val="98"/>
              </w:rPr>
              <w:t>BALANCE SHEETS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4"/>
          </w:tcPr>
          <w:p>
            <w:pPr>
              <w:jc w:val="right"/>
              <w:ind w:right="80"/>
              <w:spacing w:after="0" w:line="81" w:lineRule="exact"/>
              <w:rPr>
                <w:sz w:val="20"/>
                <w:szCs w:val="20"/>
                <w:color w:val="auto"/>
              </w:rPr>
            </w:pPr>
            <w:r>
              <w:rPr>
                <w:rFonts w:ascii="Arial" w:cs="Arial" w:eastAsia="Arial" w:hAnsi="Arial"/>
                <w:sz w:val="9"/>
                <w:szCs w:val="9"/>
                <w:b w:val="1"/>
                <w:bCs w:val="1"/>
                <w:color w:val="auto"/>
              </w:rPr>
              <w:t>(In millions,</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6"/>
          </w:tcPr>
          <w:p>
            <w:pPr>
              <w:jc w:val="right"/>
              <w:ind w:right="480"/>
              <w:spacing w:after="0"/>
              <w:rPr>
                <w:sz w:val="20"/>
                <w:szCs w:val="20"/>
                <w:color w:val="auto"/>
              </w:rPr>
            </w:pPr>
            <w:r>
              <w:rPr>
                <w:rFonts w:ascii="Arial" w:cs="Arial" w:eastAsia="Arial" w:hAnsi="Arial"/>
                <w:sz w:val="10"/>
                <w:szCs w:val="10"/>
                <w:b w:val="1"/>
                <w:bCs w:val="1"/>
                <w:color w:val="auto"/>
              </w:rPr>
              <w:t>except share data)</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jc w:val="center"/>
              <w:ind w:left="1634"/>
              <w:spacing w:after="0"/>
              <w:rPr>
                <w:sz w:val="20"/>
                <w:szCs w:val="20"/>
                <w:color w:val="auto"/>
              </w:rPr>
            </w:pPr>
            <w:r>
              <w:rPr>
                <w:rFonts w:ascii="Arial" w:cs="Arial" w:eastAsia="Arial" w:hAnsi="Arial"/>
                <w:sz w:val="13"/>
                <w:szCs w:val="13"/>
                <w:b w:val="1"/>
                <w:bCs w:val="1"/>
                <w:color w:val="auto"/>
                <w:w w:val="92"/>
              </w:rPr>
              <w:t>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Cash</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 available for sale, at fair value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65.8</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Investment in unconsolidated affiliates</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507.8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569.1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Notes receivable, net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Income taxes receivable</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56.5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115.4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128.9</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Investments in and amounts due from subsidiaries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3,455.7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3,067.9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Prepaid expenses and other assets</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6.1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intangibles, net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4,236.3</w:t>
            </w:r>
          </w:p>
        </w:tc>
        <w:tc>
          <w:tcPr>
            <w:tcW w:w="14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4,016.1</w:t>
            </w: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jc w:val="center"/>
              <w:ind w:left="1634"/>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accrued liabilities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Notes payable</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860.7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1,125.3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891.4</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1,159.3</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Equity:</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9"/>
              </w:rPr>
              <w:t>Common stock, Class A, $0.0001 par value; authorized 600,000,000 shares at December 31, 2009 and 2008; issued 249,713,996 shares and</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228,391,066 shares at December 31, 2009 and 2008, respectively</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Preferred stock, $0.0001 par value; authorized 50,000,000 shares, issued and outstanding, none</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3,712.1</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3,325.2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deficit</w:t>
            </w: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(102.4)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(188.9)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earnings (loss)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35.6</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Less treasury stock, 19,496,888 shares and 13,488,288 shares at December 31, 2009 and December 31, 2008, respectively, at cost</w:t>
            </w: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(319.4)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(238.9)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equity of Fidelity National Financial, Inc. common shareholders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3,325.9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2,805.6</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19.0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3,344.9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2,856.8</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4,236.3</w:t>
            </w:r>
          </w:p>
        </w:tc>
        <w:tc>
          <w:tcPr>
            <w:tcW w:w="1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4,016.1</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659"/>
        <w:spacing w:after="0"/>
        <w:rPr>
          <w:sz w:val="20"/>
          <w:szCs w:val="20"/>
          <w:color w:val="auto"/>
        </w:rPr>
      </w:pPr>
      <w:r>
        <w:rPr>
          <w:rFonts w:ascii="Arial" w:cs="Arial" w:eastAsia="Arial" w:hAnsi="Arial"/>
          <w:sz w:val="13"/>
          <w:szCs w:val="13"/>
          <w:color w:val="auto"/>
        </w:rPr>
        <w:t>See Notes to Financial Statements —</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3"/>
                <w:szCs w:val="13"/>
                <w:b w:val="1"/>
                <w:bCs w:val="1"/>
                <w:color w:val="auto"/>
              </w:rPr>
              <w:t>SCHEDULE II</w:t>
            </w:r>
          </w:p>
        </w:tc>
        <w:tc>
          <w:tcPr>
            <w:tcW w:w="0" w:type="dxa"/>
            <w:vAlign w:val="bottom"/>
          </w:tcPr>
          <w:p>
            <w:pPr>
              <w:spacing w:after="0"/>
              <w:rPr>
                <w:sz w:val="1"/>
                <w:szCs w:val="1"/>
                <w:color w:val="auto"/>
              </w:rPr>
            </w:pPr>
          </w:p>
        </w:tc>
      </w:tr>
      <w:tr>
        <w:trPr>
          <w:trHeight w:val="392"/>
        </w:trPr>
        <w:tc>
          <w:tcPr>
            <w:tcW w:w="7600" w:type="dxa"/>
            <w:vAlign w:val="bottom"/>
          </w:tcPr>
          <w:p>
            <w:pPr>
              <w:jc w:val="center"/>
              <w:ind w:left="2334"/>
              <w:spacing w:after="0"/>
              <w:rPr>
                <w:sz w:val="20"/>
                <w:szCs w:val="20"/>
                <w:color w:val="auto"/>
              </w:rPr>
            </w:pPr>
            <w:r>
              <w:rPr>
                <w:rFonts w:ascii="Arial" w:cs="Arial" w:eastAsia="Arial" w:hAnsi="Arial"/>
                <w:sz w:val="13"/>
                <w:szCs w:val="13"/>
                <w:b w:val="1"/>
                <w:bCs w:val="1"/>
                <w:color w:val="auto"/>
              </w:rPr>
              <w:t>FIDELITY NATIONAL FINANCIAL, INC.</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600" w:type="dxa"/>
            <w:vAlign w:val="bottom"/>
          </w:tcPr>
          <w:p>
            <w:pPr>
              <w:jc w:val="center"/>
              <w:ind w:left="2334"/>
              <w:spacing w:after="0"/>
              <w:rPr>
                <w:sz w:val="20"/>
                <w:szCs w:val="20"/>
                <w:color w:val="auto"/>
              </w:rPr>
            </w:pPr>
            <w:r>
              <w:rPr>
                <w:rFonts w:ascii="Arial" w:cs="Arial" w:eastAsia="Arial" w:hAnsi="Arial"/>
                <w:sz w:val="13"/>
                <w:szCs w:val="13"/>
                <w:b w:val="1"/>
                <w:bCs w:val="1"/>
                <w:color w:val="auto"/>
                <w:w w:val="92"/>
              </w:rPr>
              <w:t>(Parent Company)</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600" w:type="dxa"/>
            <w:vAlign w:val="bottom"/>
          </w:tcPr>
          <w:p>
            <w:pPr>
              <w:jc w:val="center"/>
              <w:ind w:left="2314"/>
              <w:spacing w:after="0"/>
              <w:rPr>
                <w:sz w:val="20"/>
                <w:szCs w:val="20"/>
                <w:color w:val="auto"/>
              </w:rPr>
            </w:pPr>
            <w:r>
              <w:rPr>
                <w:rFonts w:ascii="Arial" w:cs="Arial" w:eastAsia="Arial" w:hAnsi="Arial"/>
                <w:sz w:val="13"/>
                <w:szCs w:val="13"/>
                <w:b w:val="1"/>
                <w:bCs w:val="1"/>
                <w:color w:val="auto"/>
              </w:rPr>
              <w:t>STATEMENTS OF OPERATIONS AND RETAINED EARNINGS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0"/>
                <w:szCs w:val="10"/>
                <w:b w:val="1"/>
                <w:bCs w:val="1"/>
                <w:color w:val="auto"/>
                <w:w w:val="94"/>
              </w:rPr>
              <w:t>Year Ended December 31,</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2009</w:t>
            </w:r>
          </w:p>
        </w:tc>
        <w:tc>
          <w:tcPr>
            <w:tcW w:w="38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8"/>
              </w:rPr>
              <w:t>millions,</w:t>
            </w: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2008</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80"/>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1"/>
                <w:szCs w:val="11"/>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w w:val="87"/>
              </w:rPr>
              <w:t>except per</w:t>
            </w:r>
          </w:p>
        </w:tc>
        <w:tc>
          <w:tcPr>
            <w:tcW w:w="54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93"/>
              </w:rPr>
              <w:t>share data)</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Other fees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4.6</w:t>
            </w:r>
          </w:p>
        </w:tc>
        <w:tc>
          <w:tcPr>
            <w:tcW w:w="4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3.6</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Interest and investment income (loss)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14.7</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Total revenues (loss)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18.3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Personnel expenses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19.9</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14.9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 operating expenses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4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20.3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38.6</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54.1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expenses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4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89.3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Loss before income tax benefit and equity in earnings (loss) of subsidiaries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(73.3)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(71.0)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Loss before equity in earnings (loss) of subsidiaries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(50.6)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(40.8)</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Equity in earnings (loss) of subsidiaries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w:t>
            </w:r>
          </w:p>
        </w:tc>
        <w:tc>
          <w:tcPr>
            <w:tcW w:w="4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7"/>
              </w:rPr>
              <w:t>(142.4)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168.0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Earnings (loss) before earnings (loss) attributable to noncontrolling interest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224.5</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7"/>
              </w:rPr>
              <w:t>(183.2)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129.8</w:t>
            </w:r>
          </w:p>
        </w:tc>
        <w:tc>
          <w:tcPr>
            <w:tcW w:w="0" w:type="dxa"/>
            <w:vAlign w:val="bottom"/>
          </w:tcPr>
          <w:p>
            <w:pPr>
              <w:spacing w:after="0"/>
              <w:rPr>
                <w:sz w:val="1"/>
                <w:szCs w:val="1"/>
                <w:color w:val="auto"/>
              </w:rPr>
            </w:pPr>
          </w:p>
        </w:tc>
      </w:tr>
      <w:tr>
        <w:trPr>
          <w:trHeight w:val="159"/>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attributable to noncontrolling interest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Net earnings (loss) attributable to Fidelity National Financial, Inc. common shareholders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222.3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7"/>
              </w:rPr>
              <w:t>(179.0)</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129.8</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0.99</w:t>
            </w:r>
          </w:p>
        </w:tc>
        <w:tc>
          <w:tcPr>
            <w:tcW w:w="4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29"/>
        </w:trPr>
        <w:tc>
          <w:tcPr>
            <w:tcW w:w="760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 basic basis</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224.7</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210.0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216.6</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0.97</w:t>
            </w:r>
          </w:p>
        </w:tc>
        <w:tc>
          <w:tcPr>
            <w:tcW w:w="4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0.59</w:t>
            </w:r>
          </w:p>
        </w:tc>
        <w:tc>
          <w:tcPr>
            <w:tcW w:w="0" w:type="dxa"/>
            <w:vAlign w:val="bottom"/>
          </w:tcPr>
          <w:p>
            <w:pPr>
              <w:spacing w:after="0"/>
              <w:rPr>
                <w:sz w:val="1"/>
                <w:szCs w:val="1"/>
                <w:color w:val="auto"/>
              </w:rPr>
            </w:pPr>
          </w:p>
        </w:tc>
      </w:tr>
      <w:tr>
        <w:trPr>
          <w:trHeight w:val="29"/>
        </w:trPr>
        <w:tc>
          <w:tcPr>
            <w:tcW w:w="760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 diluted basis</w:t>
            </w: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228.5</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210.0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220.0</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Retained earnings (deficit),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213.2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345.6</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Dividends declared</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(135.8)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7"/>
              </w:rPr>
              <w:t>(223.1)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(262.2)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attributable to Fidelity National Financial, Inc. common shareholders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222.3</w:t>
            </w:r>
          </w:p>
        </w:tc>
        <w:tc>
          <w:tcPr>
            <w:tcW w:w="4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7"/>
              </w:rPr>
              <w:t>(179.0)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129.8</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Retained earnings (deficit), end of year</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(102.4)</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7"/>
              </w:rPr>
              <w:t>(188.9)</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213.2</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659"/>
        <w:spacing w:after="0"/>
        <w:rPr>
          <w:sz w:val="20"/>
          <w:szCs w:val="20"/>
          <w:color w:val="auto"/>
        </w:rPr>
      </w:pPr>
      <w:r>
        <w:rPr>
          <w:rFonts w:ascii="Arial" w:cs="Arial" w:eastAsia="Arial" w:hAnsi="Arial"/>
          <w:sz w:val="13"/>
          <w:szCs w:val="13"/>
          <w:color w:val="auto"/>
        </w:rPr>
        <w:t>See Notes to Financial Statements —</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(Parent Company)</w:t>
      </w:r>
    </w:p>
    <w:p>
      <w:pPr>
        <w:spacing w:after="0" w:line="85"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5"/>
              <w:spacing w:after="0" w:line="98" w:lineRule="exact"/>
              <w:rPr>
                <w:sz w:val="20"/>
                <w:szCs w:val="20"/>
                <w:color w:val="auto"/>
              </w:rPr>
            </w:pPr>
            <w:r>
              <w:rPr>
                <w:rFonts w:ascii="Arial" w:cs="Arial" w:eastAsia="Arial" w:hAnsi="Arial"/>
                <w:sz w:val="10"/>
                <w:szCs w:val="10"/>
                <w:b w:val="1"/>
                <w:bCs w:val="1"/>
                <w:color w:val="auto"/>
                <w:w w:val="98"/>
              </w:rPr>
              <w:t>2009</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5"/>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ind w:left="263"/>
              <w:spacing w:after="0"/>
              <w:rPr>
                <w:sz w:val="20"/>
                <w:szCs w:val="20"/>
                <w:color w:val="auto"/>
              </w:rPr>
            </w:pPr>
            <w:r>
              <w:rPr>
                <w:rFonts w:ascii="Arial" w:cs="Arial" w:eastAsia="Arial" w:hAnsi="Arial"/>
                <w:sz w:val="10"/>
                <w:szCs w:val="10"/>
                <w:b w:val="1"/>
                <w:bCs w:val="1"/>
                <w:color w:val="auto"/>
                <w:w w:val="92"/>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Net earnings (loss) attributable to Fidelity National Financial, Inc. common shareholders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222.3</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(179.0)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earnings (losses) to net cash used in operating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Amortization of debt issuance costs</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Noncontrolling interest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Equity in (earnings) losses of subsidiaries</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(275.1)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142.4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(168.0)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Losses (Gains) on sales of investments and other assets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Stock-based compensation cost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33.7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benefit associated with the exercise of stock options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Transaction fee income</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increase (decrease) in income taxes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Net decrease (increase) in prepaid expenses and other assets</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(decrease) increase in accounts payable and accrued liabilities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80"/>
              <w:spacing w:after="0"/>
              <w:rPr>
                <w:sz w:val="20"/>
                <w:szCs w:val="20"/>
                <w:color w:val="auto"/>
              </w:rPr>
            </w:pPr>
            <w:r>
              <w:rPr>
                <w:rFonts w:ascii="Arial" w:cs="Arial" w:eastAsia="Arial" w:hAnsi="Arial"/>
                <w:sz w:val="13"/>
                <w:szCs w:val="13"/>
                <w:color w:val="auto"/>
              </w:rPr>
              <w:t>Net cash provided by (used in) operating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124.5</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(120.6)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Proceeds from sales of investments</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372.8</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Purchases of investments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(241.8)</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Net proceeds (purchases) from short-term investing activities</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50.3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Sales (Purchases) of property and equipment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Collections of notes receivable</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sale of partial interest in Sedgwick CMS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Net additions to investment in subsidiaries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57.5</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(498.2)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(used in) provided by investing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(376.5)</w:t>
            </w:r>
          </w:p>
        </w:tc>
        <w:tc>
          <w:tcPr>
            <w:tcW w:w="0" w:type="dxa"/>
            <w:vAlign w:val="bottom"/>
          </w:tcPr>
          <w:p>
            <w:pPr>
              <w:spacing w:after="0"/>
              <w:rPr>
                <w:sz w:val="1"/>
                <w:szCs w:val="1"/>
                <w:color w:val="auto"/>
              </w:rPr>
            </w:pPr>
          </w:p>
        </w:tc>
      </w:tr>
      <w:tr>
        <w:trPr>
          <w:trHeight w:val="156"/>
        </w:trPr>
        <w:tc>
          <w:tcPr>
            <w:tcW w:w="76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Borrowings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535.0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Equity offering</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331.4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Debt service payments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(120.0)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Debt cost additions</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Dividends paid</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(223.0)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(262.2)</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(74.9)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(183.2)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Exercise of stock options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Tax benefit associated with the exercise of stock options</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(payments) borrowings and dividends from subsidiaries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323.1</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Net cash (used in) provided by financing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(235.6)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144.4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424.9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change in cash and cash equivalents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Cash at beginning of year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Cash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659"/>
        <w:spacing w:after="0"/>
        <w:rPr>
          <w:sz w:val="20"/>
          <w:szCs w:val="20"/>
          <w:color w:val="auto"/>
        </w:rPr>
      </w:pPr>
      <w:r>
        <w:rPr>
          <w:rFonts w:ascii="Arial" w:cs="Arial" w:eastAsia="Arial" w:hAnsi="Arial"/>
          <w:sz w:val="13"/>
          <w:szCs w:val="13"/>
          <w:color w:val="auto"/>
        </w:rPr>
        <w:t>See Notes to Financial Statements —</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(Parent Company)</w:t>
      </w:r>
    </w:p>
    <w:p>
      <w:pPr>
        <w:spacing w:after="0" w:line="8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NOTES TO FINANCIAL STATEMENTS</w:t>
      </w:r>
    </w:p>
    <w:p>
      <w:pPr>
        <w:spacing w:after="0" w:line="175" w:lineRule="exact"/>
        <w:rPr>
          <w:sz w:val="20"/>
          <w:szCs w:val="20"/>
          <w:color w:val="auto"/>
        </w:rPr>
      </w:pPr>
    </w:p>
    <w:p>
      <w:pPr>
        <w:ind w:left="1080" w:hanging="393"/>
        <w:spacing w:after="0"/>
        <w:tabs>
          <w:tab w:leader="none" w:pos="108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in the 2008 presentation to conform to the classifications used in 2009.</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40" w:type="dxa"/>
            <w:vAlign w:val="bottom"/>
          </w:tcPr>
          <w:p>
            <w:pPr>
              <w:spacing w:after="0"/>
              <w:rPr>
                <w:sz w:val="20"/>
                <w:szCs w:val="20"/>
                <w:color w:val="auto"/>
              </w:rPr>
            </w:pPr>
            <w:r>
              <w:rPr>
                <w:rFonts w:ascii="Arial" w:cs="Arial" w:eastAsia="Arial" w:hAnsi="Arial"/>
                <w:sz w:val="13"/>
                <w:szCs w:val="13"/>
                <w:b w:val="1"/>
                <w:bCs w:val="1"/>
                <w:color w:val="auto"/>
                <w:w w:val="91"/>
              </w:rPr>
              <w:t>B.</w:t>
            </w:r>
          </w:p>
        </w:tc>
        <w:tc>
          <w:tcPr>
            <w:tcW w:w="8160" w:type="dxa"/>
            <w:vAlign w:val="bottom"/>
          </w:tcPr>
          <w:p>
            <w:pPr>
              <w:ind w:left="260"/>
              <w:spacing w:after="0"/>
              <w:rPr>
                <w:sz w:val="20"/>
                <w:szCs w:val="20"/>
                <w:color w:val="auto"/>
              </w:rPr>
            </w:pPr>
            <w:r>
              <w:rPr>
                <w:rFonts w:ascii="Arial" w:cs="Arial" w:eastAsia="Arial" w:hAnsi="Arial"/>
                <w:sz w:val="13"/>
                <w:szCs w:val="13"/>
                <w:b w:val="1"/>
                <w:bCs w:val="1"/>
                <w:color w:val="auto"/>
              </w:rPr>
              <w:t>Notes Payable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40" w:type="dxa"/>
            <w:vAlign w:val="bottom"/>
          </w:tcPr>
          <w:p>
            <w:pPr>
              <w:spacing w:after="0"/>
              <w:rPr>
                <w:sz w:val="21"/>
                <w:szCs w:val="21"/>
                <w:color w:val="auto"/>
              </w:rPr>
            </w:pPr>
          </w:p>
        </w:tc>
        <w:tc>
          <w:tcPr>
            <w:tcW w:w="8160" w:type="dxa"/>
            <w:vAlign w:val="bottom"/>
          </w:tcPr>
          <w:p>
            <w:pPr>
              <w:ind w:left="260"/>
              <w:spacing w:after="0"/>
              <w:rPr>
                <w:sz w:val="20"/>
                <w:szCs w:val="20"/>
                <w:color w:val="auto"/>
              </w:rPr>
            </w:pPr>
            <w:r>
              <w:rPr>
                <w:rFonts w:ascii="Arial" w:cs="Arial" w:eastAsia="Arial" w:hAnsi="Arial"/>
                <w:sz w:val="13"/>
                <w:szCs w:val="13"/>
                <w:color w:val="auto"/>
              </w:rPr>
              <w:t>Notes payable consist of the following:</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r>
      <w:tr>
        <w:trPr>
          <w:trHeight w:val="131"/>
        </w:trPr>
        <w:tc>
          <w:tcPr>
            <w:tcW w:w="14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(Dollars in millions)</w:t>
            </w:r>
          </w:p>
        </w:tc>
      </w:tr>
      <w:tr>
        <w:trPr>
          <w:trHeight w:val="16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Unsecured notes, net of discount, interest payable semi-annually at 5.25%, due March 2013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245.2</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249.2</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Unsecured notes, net of discount, interest payable semi-annually at 7.30%, due August 2011</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165.5</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241.1</w:t>
            </w:r>
          </w:p>
        </w:tc>
      </w:tr>
      <w:tr>
        <w:trPr>
          <w:trHeight w:val="148"/>
        </w:trPr>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5"/>
              </w:rPr>
              <w:t>Syndicated credit agreement, unsecured, interest due monthly at LIBOR plus 0.475% (0.73% at December 31, 2009), unused portion $700.0 million at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40" w:type="dxa"/>
            <w:vAlign w:val="bottom"/>
            <w:shd w:val="clear" w:color="auto" w:fill="CCEEFF"/>
          </w:tcPr>
          <w:p>
            <w:pPr>
              <w:spacing w:after="0"/>
              <w:rPr>
                <w:sz w:val="14"/>
                <w:szCs w:val="1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400.0</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Subordinated note payable to LandAmerica Financial Group, Inc., interest payable annually at 2.36%, due December 2013</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50.0</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40" w:type="dxa"/>
            <w:vAlign w:val="bottom"/>
            <w:shd w:val="clear" w:color="auto" w:fill="CCEEFF"/>
          </w:tcPr>
          <w:p>
            <w:pPr>
              <w:spacing w:after="0"/>
              <w:rPr>
                <w:sz w:val="13"/>
                <w:szCs w:val="13"/>
                <w:color w:val="auto"/>
              </w:rPr>
            </w:pPr>
          </w:p>
        </w:tc>
        <w:tc>
          <w:tcPr>
            <w:tcW w:w="8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860.7</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1,125.3</w:t>
            </w:r>
          </w:p>
        </w:tc>
      </w:tr>
      <w:tr>
        <w:trPr>
          <w:trHeight w:val="29"/>
        </w:trPr>
        <w:tc>
          <w:tcPr>
            <w:tcW w:w="1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80" w:hanging="393"/>
        <w:spacing w:after="0"/>
        <w:tabs>
          <w:tab w:leader="none" w:pos="108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Supplemental Cash Flow Information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620" w:type="dxa"/>
            <w:vAlign w:val="bottom"/>
            <w:tcBorders>
              <w:bottom w:val="single" w:sz="8" w:color="auto"/>
            </w:tcBorders>
          </w:tcPr>
          <w:p>
            <w:pPr>
              <w:spacing w:after="0"/>
              <w:rPr>
                <w:sz w:val="10"/>
                <w:szCs w:val="10"/>
                <w:color w:val="auto"/>
              </w:rPr>
            </w:pPr>
          </w:p>
        </w:tc>
      </w:tr>
      <w:tr>
        <w:trPr>
          <w:trHeight w:val="98"/>
        </w:trPr>
        <w:tc>
          <w:tcPr>
            <w:tcW w:w="7480" w:type="dxa"/>
            <w:vAlign w:val="bottom"/>
          </w:tcPr>
          <w:p>
            <w:pPr>
              <w:spacing w:after="0"/>
              <w:rPr>
                <w:sz w:val="8"/>
                <w:szCs w:val="8"/>
                <w:color w:val="auto"/>
              </w:rPr>
            </w:pPr>
          </w:p>
        </w:tc>
        <w:tc>
          <w:tcPr>
            <w:tcW w:w="640" w:type="dxa"/>
            <w:vAlign w:val="bottom"/>
            <w:tcBorders>
              <w:bottom w:val="single" w:sz="8" w:color="auto"/>
            </w:tcBorders>
          </w:tcPr>
          <w:p>
            <w:pPr>
              <w:jc w:val="right"/>
              <w:ind w:right="15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2008</w:t>
            </w:r>
          </w:p>
        </w:tc>
        <w:tc>
          <w:tcPr>
            <w:tcW w:w="300" w:type="dxa"/>
            <w:vAlign w:val="bottom"/>
          </w:tcPr>
          <w:p>
            <w:pPr>
              <w:spacing w:after="0"/>
              <w:rPr>
                <w:sz w:val="8"/>
                <w:szCs w:val="8"/>
                <w:color w:val="auto"/>
              </w:rPr>
            </w:pPr>
          </w:p>
        </w:tc>
        <w:tc>
          <w:tcPr>
            <w:tcW w:w="62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2007</w:t>
            </w:r>
          </w:p>
        </w:tc>
      </w:tr>
      <w:tr>
        <w:trPr>
          <w:trHeight w:val="125"/>
        </w:trPr>
        <w:tc>
          <w:tcPr>
            <w:tcW w:w="7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(Dollars in millions)</w:t>
            </w:r>
          </w:p>
        </w:tc>
        <w:tc>
          <w:tcPr>
            <w:tcW w:w="620" w:type="dxa"/>
            <w:vAlign w:val="bottom"/>
          </w:tcPr>
          <w:p>
            <w:pPr>
              <w:spacing w:after="0"/>
              <w:rPr>
                <w:sz w:val="10"/>
                <w:szCs w:val="10"/>
                <w:color w:val="auto"/>
              </w:rPr>
            </w:pPr>
          </w:p>
        </w:tc>
      </w:tr>
      <w:tr>
        <w:trPr>
          <w:trHeight w:val="161"/>
        </w:trPr>
        <w:tc>
          <w:tcPr>
            <w:tcW w:w="7480" w:type="dxa"/>
            <w:vAlign w:val="bottom"/>
          </w:tcPr>
          <w:p>
            <w:pPr>
              <w:spacing w:after="0"/>
              <w:rPr>
                <w:sz w:val="20"/>
                <w:szCs w:val="20"/>
                <w:color w:val="auto"/>
              </w:rPr>
            </w:pPr>
            <w:r>
              <w:rPr>
                <w:rFonts w:ascii="Arial" w:cs="Arial" w:eastAsia="Arial" w:hAnsi="Arial"/>
                <w:sz w:val="13"/>
                <w:szCs w:val="13"/>
                <w:color w:val="auto"/>
              </w:rPr>
              <w:t>Cash paid (received) during the year:</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7"/>
        </w:trPr>
        <w:tc>
          <w:tcPr>
            <w:tcW w:w="7480" w:type="dxa"/>
            <w:vAlign w:val="bottom"/>
          </w:tcPr>
          <w:p>
            <w:pPr>
              <w:spacing w:after="0"/>
              <w:rPr>
                <w:sz w:val="20"/>
                <w:szCs w:val="20"/>
                <w:color w:val="auto"/>
              </w:rPr>
            </w:pPr>
            <w:r>
              <w:rPr>
                <w:rFonts w:ascii="Arial" w:cs="Arial" w:eastAsia="Arial" w:hAnsi="Arial"/>
                <w:sz w:val="13"/>
                <w:szCs w:val="13"/>
                <w:color w:val="auto"/>
              </w:rPr>
              <w:t>Interest paid</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$40.6</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$ 50.3</w:t>
            </w:r>
          </w:p>
        </w:tc>
        <w:tc>
          <w:tcPr>
            <w:tcW w:w="300" w:type="dxa"/>
            <w:vAlign w:val="bottom"/>
          </w:tcPr>
          <w:p>
            <w:pPr>
              <w:spacing w:after="0"/>
              <w:rPr>
                <w:sz w:val="13"/>
                <w:szCs w:val="13"/>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$37.7</w:t>
            </w:r>
          </w:p>
        </w:tc>
      </w:tr>
      <w:tr>
        <w:trPr>
          <w:trHeight w:val="165"/>
        </w:trPr>
        <w:tc>
          <w:tcPr>
            <w:tcW w:w="7480" w:type="dxa"/>
            <w:vAlign w:val="bottom"/>
          </w:tcPr>
          <w:p>
            <w:pPr>
              <w:spacing w:after="0"/>
              <w:rPr>
                <w:sz w:val="20"/>
                <w:szCs w:val="20"/>
                <w:color w:val="auto"/>
              </w:rPr>
            </w:pPr>
            <w:r>
              <w:rPr>
                <w:rFonts w:ascii="Arial" w:cs="Arial" w:eastAsia="Arial" w:hAnsi="Arial"/>
                <w:sz w:val="13"/>
                <w:szCs w:val="13"/>
                <w:color w:val="auto"/>
              </w:rPr>
              <w:t>Income taxes received</w:t>
            </w:r>
          </w:p>
        </w:tc>
        <w:tc>
          <w:tcPr>
            <w:tcW w:w="640" w:type="dxa"/>
            <w:vAlign w:val="bottom"/>
          </w:tcPr>
          <w:p>
            <w:pPr>
              <w:jc w:val="right"/>
              <w:ind w:right="99"/>
              <w:spacing w:after="0"/>
              <w:rPr>
                <w:sz w:val="20"/>
                <w:szCs w:val="20"/>
                <w:color w:val="auto"/>
              </w:rPr>
            </w:pPr>
            <w:r>
              <w:rPr>
                <w:rFonts w:ascii="Arial" w:cs="Arial" w:eastAsia="Arial" w:hAnsi="Arial"/>
                <w:sz w:val="13"/>
                <w:szCs w:val="13"/>
                <w:color w:val="auto"/>
              </w:rPr>
              <w:t>(2.5)</w:t>
            </w:r>
          </w:p>
        </w:tc>
        <w:tc>
          <w:tcPr>
            <w:tcW w:w="940" w:type="dxa"/>
            <w:vAlign w:val="bottom"/>
            <w:gridSpan w:val="2"/>
          </w:tcPr>
          <w:p>
            <w:pPr>
              <w:jc w:val="right"/>
              <w:ind w:right="88"/>
              <w:spacing w:after="0"/>
              <w:rPr>
                <w:sz w:val="20"/>
                <w:szCs w:val="20"/>
                <w:color w:val="auto"/>
              </w:rPr>
            </w:pPr>
            <w:r>
              <w:rPr>
                <w:rFonts w:ascii="Arial" w:cs="Arial" w:eastAsia="Arial" w:hAnsi="Arial"/>
                <w:sz w:val="13"/>
                <w:szCs w:val="13"/>
                <w:color w:val="auto"/>
              </w:rPr>
              <w:t>(37.4)</w:t>
            </w:r>
          </w:p>
        </w:tc>
        <w:tc>
          <w:tcPr>
            <w:tcW w:w="30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Arial" w:cs="Arial" w:eastAsia="Arial" w:hAnsi="Arial"/>
                <w:sz w:val="13"/>
                <w:szCs w:val="13"/>
                <w:color w:val="auto"/>
              </w:rPr>
              <w:t>86.9</w:t>
            </w:r>
          </w:p>
        </w:tc>
      </w:tr>
    </w:tbl>
    <w:p>
      <w:pPr>
        <w:spacing w:after="0" w:line="81"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On December 22, 2008 we, along with two of our subsidiaries, Chicago Title Insurance Company and Fidelity National Title Insurance Company (“FNTIC’’), completed the acquisition of certain title insurance subsidiaries from LandAmerica Financial Group, Inc. (“LFG”). The purchase price of one of these subsidiaries, Lawyers Title Insurance Corporation (“Lawyers”), included a $50 million subordinated note from us due in 2013 (see note B), and $50 million of our common stock (3,176,620 shares valued at $15.74 per share at the time of closing). Immediately subsequent to the acquisition, we contributed our ownership interest in Lawyers to FNTIC.</w:t>
      </w:r>
    </w:p>
    <w:p>
      <w:pPr>
        <w:spacing w:after="0" w:line="144" w:lineRule="exact"/>
        <w:rPr>
          <w:sz w:val="20"/>
          <w:szCs w:val="20"/>
          <w:color w:val="auto"/>
        </w:rPr>
      </w:pPr>
    </w:p>
    <w:p>
      <w:pPr>
        <w:ind w:left="1080" w:hanging="393"/>
        <w:spacing w:after="0"/>
        <w:tabs>
          <w:tab w:leader="none" w:pos="108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Cash Dividends Received</w:t>
      </w:r>
    </w:p>
    <w:p>
      <w:pPr>
        <w:spacing w:after="0" w:line="100"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We have received cash dividends from subsidiaries and affiliates of $0.2 billion, $0.2 billion, and $0.4 billion during the years ended December 31, 2009, 2008, and 2007, respectively.</w:t>
      </w:r>
    </w:p>
    <w:p>
      <w:pPr>
        <w:spacing w:after="0" w:line="20" w:lineRule="exact"/>
        <w:rPr>
          <w:sz w:val="20"/>
          <w:szCs w:val="20"/>
          <w:color w:val="auto"/>
        </w:rPr>
      </w:pPr>
    </w:p>
    <w:p>
      <w:pPr>
        <w:ind w:left="3620"/>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SCHEDULE V</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gridSpan w:val="7"/>
          </w:tcPr>
          <w:p>
            <w:pPr>
              <w:jc w:val="center"/>
              <w:ind w:left="54"/>
              <w:spacing w:after="0"/>
              <w:rPr>
                <w:sz w:val="20"/>
                <w:szCs w:val="20"/>
                <w:color w:val="auto"/>
              </w:rPr>
            </w:pPr>
            <w:r>
              <w:rPr>
                <w:rFonts w:ascii="Arial" w:cs="Arial" w:eastAsia="Arial" w:hAnsi="Arial"/>
                <w:sz w:val="13"/>
                <w:szCs w:val="13"/>
                <w:b w:val="1"/>
                <w:bCs w:val="1"/>
                <w:color w:val="auto"/>
              </w:rPr>
              <w:t>FIDELITY NATIONAL FINANCIAL, INC. AND SUBSIDIARIES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980" w:type="dxa"/>
            <w:vAlign w:val="bottom"/>
            <w:gridSpan w:val="4"/>
          </w:tcPr>
          <w:p>
            <w:pPr>
              <w:jc w:val="center"/>
              <w:ind w:left="614"/>
              <w:spacing w:after="0"/>
              <w:rPr>
                <w:sz w:val="20"/>
                <w:szCs w:val="20"/>
                <w:color w:val="auto"/>
              </w:rPr>
            </w:pPr>
            <w:r>
              <w:rPr>
                <w:rFonts w:ascii="Arial" w:cs="Arial" w:eastAsia="Arial" w:hAnsi="Arial"/>
                <w:sz w:val="13"/>
                <w:szCs w:val="13"/>
                <w:b w:val="1"/>
                <w:bCs w:val="1"/>
                <w:color w:val="auto"/>
              </w:rPr>
              <w:t>VALUATION AND QUALIFYING ACCOUNTS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980" w:type="dxa"/>
            <w:vAlign w:val="bottom"/>
            <w:gridSpan w:val="4"/>
          </w:tcPr>
          <w:p>
            <w:pPr>
              <w:jc w:val="center"/>
              <w:ind w:left="614"/>
              <w:spacing w:after="0"/>
              <w:rPr>
                <w:sz w:val="20"/>
                <w:szCs w:val="20"/>
                <w:color w:val="auto"/>
              </w:rPr>
            </w:pPr>
            <w:r>
              <w:rPr>
                <w:rFonts w:ascii="Arial" w:cs="Arial" w:eastAsia="Arial" w:hAnsi="Arial"/>
                <w:sz w:val="13"/>
                <w:szCs w:val="13"/>
                <w:b w:val="1"/>
                <w:bCs w:val="1"/>
                <w:color w:val="auto"/>
                <w:w w:val="90"/>
              </w:rPr>
              <w:t>Years Ended December 31, 2009, 2008 and 2007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Column B</w:t>
            </w: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Column C</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0"/>
                <w:szCs w:val="10"/>
                <w:b w:val="1"/>
                <w:bCs w:val="1"/>
                <w:color w:val="auto"/>
                <w:w w:val="98"/>
              </w:rPr>
              <w:t>Column E</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gridSpan w:val="3"/>
          </w:tcPr>
          <w:p>
            <w:pPr>
              <w:ind w:left="60"/>
              <w:spacing w:after="0" w:line="98" w:lineRule="exact"/>
              <w:rPr>
                <w:sz w:val="20"/>
                <w:szCs w:val="20"/>
                <w:color w:val="auto"/>
              </w:rPr>
            </w:pPr>
            <w:r>
              <w:rPr>
                <w:rFonts w:ascii="Arial" w:cs="Arial" w:eastAsia="Arial" w:hAnsi="Arial"/>
                <w:sz w:val="10"/>
                <w:szCs w:val="10"/>
                <w:b w:val="1"/>
                <w:bCs w:val="1"/>
                <w:color w:val="auto"/>
              </w:rPr>
              <w:t>Additions</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Column D</w:t>
            </w:r>
          </w:p>
        </w:tc>
        <w:tc>
          <w:tcPr>
            <w:tcW w:w="180" w:type="dxa"/>
            <w:vAlign w:val="bottom"/>
            <w:vMerge w:val="restart"/>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olumn A</w:t>
            </w:r>
          </w:p>
        </w:tc>
        <w:tc>
          <w:tcPr>
            <w:tcW w:w="1960" w:type="dxa"/>
            <w:vAlign w:val="bottom"/>
          </w:tcPr>
          <w:p>
            <w:pPr>
              <w:spacing w:after="0"/>
              <w:rPr>
                <w:sz w:val="8"/>
                <w:szCs w:val="8"/>
                <w:color w:val="auto"/>
              </w:rPr>
            </w:pPr>
          </w:p>
        </w:tc>
        <w:tc>
          <w:tcPr>
            <w:tcW w:w="114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5"/>
              </w:rPr>
              <w:t>Balance at</w:t>
            </w:r>
          </w:p>
        </w:tc>
        <w:tc>
          <w:tcPr>
            <w:tcW w:w="180" w:type="dxa"/>
            <w:vAlign w:val="bottom"/>
          </w:tcPr>
          <w:p>
            <w:pPr>
              <w:spacing w:after="0"/>
              <w:rPr>
                <w:sz w:val="8"/>
                <w:szCs w:val="8"/>
                <w:color w:val="auto"/>
              </w:rPr>
            </w:pPr>
          </w:p>
        </w:tc>
        <w:tc>
          <w:tcPr>
            <w:tcW w:w="700" w:type="dxa"/>
            <w:vAlign w:val="bottom"/>
            <w:tcBorders>
              <w:top w:val="single" w:sz="8" w:color="auto"/>
            </w:tcBorders>
          </w:tcPr>
          <w:p>
            <w:pPr>
              <w:ind w:left="200"/>
              <w:spacing w:after="0" w:line="98" w:lineRule="exact"/>
              <w:rPr>
                <w:sz w:val="20"/>
                <w:szCs w:val="20"/>
                <w:color w:val="auto"/>
              </w:rPr>
            </w:pPr>
            <w:r>
              <w:rPr>
                <w:rFonts w:ascii="Arial" w:cs="Arial" w:eastAsia="Arial" w:hAnsi="Arial"/>
                <w:sz w:val="10"/>
                <w:szCs w:val="10"/>
                <w:b w:val="1"/>
                <w:bCs w:val="1"/>
                <w:color w:val="auto"/>
              </w:rPr>
              <w:t>Charge to</w:t>
            </w:r>
          </w:p>
        </w:tc>
        <w:tc>
          <w:tcPr>
            <w:tcW w:w="1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9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1"/>
              </w:rPr>
              <w:t>Balance at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60" w:type="dxa"/>
            <w:vAlign w:val="bottom"/>
            <w:gridSpan w:val="2"/>
            <w:vMerge w:val="continue"/>
          </w:tcPr>
          <w:p>
            <w:pPr>
              <w:spacing w:after="0"/>
              <w:rPr>
                <w:sz w:val="8"/>
                <w:szCs w:val="8"/>
                <w:color w:val="auto"/>
              </w:rPr>
            </w:pPr>
          </w:p>
        </w:tc>
        <w:tc>
          <w:tcPr>
            <w:tcW w:w="1960" w:type="dxa"/>
            <w:vAlign w:val="bottom"/>
          </w:tcPr>
          <w:p>
            <w:pPr>
              <w:spacing w:after="0"/>
              <w:rPr>
                <w:sz w:val="8"/>
                <w:szCs w:val="8"/>
                <w:color w:val="auto"/>
              </w:rPr>
            </w:pPr>
          </w:p>
        </w:tc>
        <w:tc>
          <w:tcPr>
            <w:tcW w:w="1320" w:type="dxa"/>
            <w:vAlign w:val="bottom"/>
            <w:gridSpan w:val="2"/>
          </w:tcPr>
          <w:p>
            <w:pPr>
              <w:jc w:val="center"/>
              <w:ind w:right="160"/>
              <w:spacing w:after="0" w:line="101" w:lineRule="exact"/>
              <w:rPr>
                <w:sz w:val="20"/>
                <w:szCs w:val="20"/>
                <w:color w:val="auto"/>
              </w:rPr>
            </w:pPr>
            <w:r>
              <w:rPr>
                <w:rFonts w:ascii="Arial" w:cs="Arial" w:eastAsia="Arial" w:hAnsi="Arial"/>
                <w:sz w:val="10"/>
                <w:szCs w:val="10"/>
                <w:b w:val="1"/>
                <w:bCs w:val="1"/>
                <w:color w:val="auto"/>
                <w:w w:val="91"/>
              </w:rPr>
              <w:t>Beginning of</w:t>
            </w:r>
          </w:p>
        </w:tc>
        <w:tc>
          <w:tcPr>
            <w:tcW w:w="700" w:type="dxa"/>
            <w:vAlign w:val="bottom"/>
          </w:tcPr>
          <w:p>
            <w:pPr>
              <w:ind w:left="200"/>
              <w:spacing w:after="0" w:line="101" w:lineRule="exact"/>
              <w:rPr>
                <w:sz w:val="20"/>
                <w:szCs w:val="20"/>
                <w:color w:val="auto"/>
              </w:rPr>
            </w:pPr>
            <w:r>
              <w:rPr>
                <w:rFonts w:ascii="Arial" w:cs="Arial" w:eastAsia="Arial" w:hAnsi="Arial"/>
                <w:sz w:val="10"/>
                <w:szCs w:val="10"/>
                <w:b w:val="1"/>
                <w:bCs w:val="1"/>
                <w:color w:val="auto"/>
                <w:w w:val="99"/>
              </w:rPr>
              <w:t>Costs and</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jc w:val="right"/>
              <w:ind w:right="276"/>
              <w:spacing w:after="0" w:line="101" w:lineRule="exact"/>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8"/>
                <w:szCs w:val="8"/>
                <w:color w:val="auto"/>
              </w:rPr>
            </w:pPr>
          </w:p>
        </w:tc>
        <w:tc>
          <w:tcPr>
            <w:tcW w:w="1000" w:type="dxa"/>
            <w:vAlign w:val="bottom"/>
            <w:gridSpan w:val="2"/>
          </w:tcPr>
          <w:p>
            <w:pPr>
              <w:jc w:val="center"/>
              <w:ind w:right="180"/>
              <w:spacing w:after="0" w:line="101" w:lineRule="exact"/>
              <w:rPr>
                <w:sz w:val="20"/>
                <w:szCs w:val="20"/>
                <w:color w:val="auto"/>
              </w:rPr>
            </w:pPr>
            <w:r>
              <w:rPr>
                <w:rFonts w:ascii="Arial" w:cs="Arial" w:eastAsia="Arial" w:hAnsi="Arial"/>
                <w:sz w:val="10"/>
                <w:szCs w:val="10"/>
                <w:b w:val="1"/>
                <w:bCs w:val="1"/>
                <w:color w:val="auto"/>
                <w:w w:val="93"/>
              </w:rPr>
              <w:t>Deduction</w:t>
            </w:r>
          </w:p>
        </w:tc>
        <w:tc>
          <w:tcPr>
            <w:tcW w:w="920" w:type="dxa"/>
            <w:vAlign w:val="bottom"/>
            <w:gridSpan w:val="2"/>
          </w:tcPr>
          <w:p>
            <w:pPr>
              <w:jc w:val="center"/>
              <w:ind w:right="20"/>
              <w:spacing w:after="0" w:line="101"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196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Period</w:t>
            </w:r>
          </w:p>
        </w:tc>
        <w:tc>
          <w:tcPr>
            <w:tcW w:w="180" w:type="dxa"/>
            <w:vAlign w:val="bottom"/>
          </w:tcPr>
          <w:p>
            <w:pPr>
              <w:spacing w:after="0"/>
              <w:rPr>
                <w:sz w:val="11"/>
                <w:szCs w:val="11"/>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98"/>
              </w:rPr>
              <w:t>Expenses</w:t>
            </w:r>
          </w:p>
        </w:tc>
        <w:tc>
          <w:tcPr>
            <w:tcW w:w="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(Described)</w:t>
            </w:r>
          </w:p>
        </w:tc>
        <w:tc>
          <w:tcPr>
            <w:tcW w:w="18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(Described)</w:t>
            </w:r>
          </w:p>
        </w:tc>
        <w:tc>
          <w:tcPr>
            <w:tcW w:w="1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right"/>
              <w:ind w:right="76"/>
              <w:spacing w:after="0"/>
              <w:rPr>
                <w:sz w:val="20"/>
                <w:szCs w:val="20"/>
                <w:color w:val="auto"/>
              </w:rPr>
            </w:pPr>
            <w:r>
              <w:rPr>
                <w:rFonts w:ascii="Arial" w:cs="Arial" w:eastAsia="Arial" w:hAnsi="Arial"/>
                <w:sz w:val="10"/>
                <w:szCs w:val="10"/>
                <w:b w:val="1"/>
                <w:bCs w:val="1"/>
                <w:color w:val="auto"/>
              </w:rPr>
              <w:t>(Dollars in millions)</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2009:</w:t>
            </w:r>
          </w:p>
        </w:tc>
        <w:tc>
          <w:tcPr>
            <w:tcW w:w="1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rPr>
                <w:sz w:val="20"/>
                <w:szCs w:val="20"/>
                <w:color w:val="auto"/>
              </w:rPr>
            </w:pPr>
            <w:r>
              <w:rPr>
                <w:rFonts w:ascii="Arial" w:cs="Arial" w:eastAsia="Arial" w:hAnsi="Arial"/>
                <w:sz w:val="13"/>
                <w:szCs w:val="13"/>
                <w:color w:val="auto"/>
              </w:rPr>
              <w:t>Reserve for claim losses</w:t>
            </w:r>
          </w:p>
        </w:tc>
        <w:tc>
          <w:tcPr>
            <w:tcW w:w="3100" w:type="dxa"/>
            <w:vAlign w:val="bottom"/>
            <w:gridSpan w:val="2"/>
          </w:tcPr>
          <w:p>
            <w:pPr>
              <w:jc w:val="right"/>
              <w:ind w:right="308"/>
              <w:spacing w:after="0"/>
              <w:rPr>
                <w:sz w:val="20"/>
                <w:szCs w:val="20"/>
                <w:color w:val="auto"/>
              </w:rPr>
            </w:pPr>
            <w:r>
              <w:rPr>
                <w:rFonts w:ascii="Arial" w:cs="Arial" w:eastAsia="Arial" w:hAnsi="Arial"/>
                <w:sz w:val="13"/>
                <w:szCs w:val="13"/>
                <w:color w:val="auto"/>
              </w:rPr>
              <w:t>$2,738.6</w:t>
            </w:r>
          </w:p>
        </w:tc>
        <w:tc>
          <w:tcPr>
            <w:tcW w:w="1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13"/>
                <w:szCs w:val="13"/>
                <w:color w:val="auto"/>
              </w:rPr>
              <w:t>$329.4</w:t>
            </w:r>
          </w:p>
        </w:tc>
        <w:tc>
          <w:tcPr>
            <w:tcW w:w="580" w:type="dxa"/>
            <w:vAlign w:val="bottom"/>
            <w:gridSpan w:val="3"/>
          </w:tcPr>
          <w:p>
            <w:pPr>
              <w:ind w:left="52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(3.1)(3)</w:t>
            </w:r>
          </w:p>
        </w:tc>
        <w:tc>
          <w:tcPr>
            <w:tcW w:w="1000" w:type="dxa"/>
            <w:vAlign w:val="bottom"/>
            <w:gridSpan w:val="2"/>
          </w:tcPr>
          <w:p>
            <w:pPr>
              <w:jc w:val="right"/>
              <w:ind w:right="68"/>
              <w:spacing w:after="0"/>
              <w:rPr>
                <w:sz w:val="20"/>
                <w:szCs w:val="20"/>
                <w:color w:val="auto"/>
              </w:rPr>
            </w:pPr>
            <w:r>
              <w:rPr>
                <w:rFonts w:ascii="Arial" w:cs="Arial" w:eastAsia="Arial" w:hAnsi="Arial"/>
                <w:sz w:val="13"/>
                <w:szCs w:val="13"/>
                <w:color w:val="auto"/>
              </w:rPr>
              <w:t>$523.5(1)</w:t>
            </w:r>
          </w:p>
        </w:tc>
        <w:tc>
          <w:tcPr>
            <w:tcW w:w="180" w:type="dxa"/>
            <w:vAlign w:val="bottom"/>
          </w:tcPr>
          <w:p>
            <w:pPr>
              <w:spacing w:after="0"/>
              <w:rPr>
                <w:sz w:val="13"/>
                <w:szCs w:val="13"/>
                <w:color w:val="auto"/>
              </w:rPr>
            </w:pP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$2,541.4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on trade and notes receivables</w:t>
            </w:r>
          </w:p>
        </w:tc>
        <w:tc>
          <w:tcPr>
            <w:tcW w:w="31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32.6</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(0.7)(2)</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9.4(2)</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1.3(3)</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29.5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2008:</w:t>
            </w:r>
          </w:p>
        </w:tc>
        <w:tc>
          <w:tcPr>
            <w:tcW w:w="1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rPr>
                <w:sz w:val="20"/>
                <w:szCs w:val="20"/>
                <w:color w:val="auto"/>
              </w:rPr>
            </w:pPr>
            <w:r>
              <w:rPr>
                <w:rFonts w:ascii="Arial" w:cs="Arial" w:eastAsia="Arial" w:hAnsi="Arial"/>
                <w:sz w:val="13"/>
                <w:szCs w:val="13"/>
                <w:color w:val="auto"/>
              </w:rPr>
              <w:t>Reserve for claim losses</w:t>
            </w:r>
          </w:p>
        </w:tc>
        <w:tc>
          <w:tcPr>
            <w:tcW w:w="3100" w:type="dxa"/>
            <w:vAlign w:val="bottom"/>
            <w:gridSpan w:val="2"/>
          </w:tcPr>
          <w:p>
            <w:pPr>
              <w:jc w:val="right"/>
              <w:ind w:right="308"/>
              <w:spacing w:after="0"/>
              <w:rPr>
                <w:sz w:val="20"/>
                <w:szCs w:val="20"/>
                <w:color w:val="auto"/>
              </w:rPr>
            </w:pPr>
            <w:r>
              <w:rPr>
                <w:rFonts w:ascii="Arial" w:cs="Arial" w:eastAsia="Arial" w:hAnsi="Arial"/>
                <w:sz w:val="13"/>
                <w:szCs w:val="13"/>
                <w:color w:val="auto"/>
              </w:rPr>
              <w:t>$1,419.9</w:t>
            </w:r>
          </w:p>
        </w:tc>
        <w:tc>
          <w:tcPr>
            <w:tcW w:w="1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13"/>
                <w:szCs w:val="13"/>
                <w:color w:val="auto"/>
              </w:rPr>
              <w:t>$630.4</w:t>
            </w:r>
          </w:p>
        </w:tc>
        <w:tc>
          <w:tcPr>
            <w:tcW w:w="580" w:type="dxa"/>
            <w:vAlign w:val="bottom"/>
            <w:gridSpan w:val="3"/>
          </w:tcPr>
          <w:p>
            <w:pPr>
              <w:ind w:left="52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w w:val="87"/>
              </w:rPr>
              <w:t>1,115.8(3)</w:t>
            </w:r>
          </w:p>
        </w:tc>
        <w:tc>
          <w:tcPr>
            <w:tcW w:w="1000" w:type="dxa"/>
            <w:vAlign w:val="bottom"/>
            <w:gridSpan w:val="2"/>
          </w:tcPr>
          <w:p>
            <w:pPr>
              <w:jc w:val="right"/>
              <w:ind w:right="68"/>
              <w:spacing w:after="0"/>
              <w:rPr>
                <w:sz w:val="20"/>
                <w:szCs w:val="20"/>
                <w:color w:val="auto"/>
              </w:rPr>
            </w:pPr>
            <w:r>
              <w:rPr>
                <w:rFonts w:ascii="Arial" w:cs="Arial" w:eastAsia="Arial" w:hAnsi="Arial"/>
                <w:sz w:val="13"/>
                <w:szCs w:val="13"/>
                <w:color w:val="auto"/>
              </w:rPr>
              <w:t>$427.5(1)</w:t>
            </w:r>
          </w:p>
        </w:tc>
        <w:tc>
          <w:tcPr>
            <w:tcW w:w="180" w:type="dxa"/>
            <w:vAlign w:val="bottom"/>
          </w:tcPr>
          <w:p>
            <w:pPr>
              <w:spacing w:after="0"/>
              <w:rPr>
                <w:sz w:val="13"/>
                <w:szCs w:val="13"/>
                <w:color w:val="auto"/>
              </w:rPr>
            </w:pP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$2,738.6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on trade and notes receivables</w:t>
            </w:r>
          </w:p>
        </w:tc>
        <w:tc>
          <w:tcPr>
            <w:tcW w:w="31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13.1</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9.9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0.3(2)</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6.0(2)</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15.3(3)</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32.6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2007:</w:t>
            </w:r>
          </w:p>
        </w:tc>
        <w:tc>
          <w:tcPr>
            <w:tcW w:w="19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rPr>
                <w:sz w:val="20"/>
                <w:szCs w:val="20"/>
                <w:color w:val="auto"/>
              </w:rPr>
            </w:pPr>
            <w:r>
              <w:rPr>
                <w:rFonts w:ascii="Arial" w:cs="Arial" w:eastAsia="Arial" w:hAnsi="Arial"/>
                <w:sz w:val="13"/>
                <w:szCs w:val="13"/>
                <w:color w:val="auto"/>
              </w:rPr>
              <w:t>Reserve for claim losses</w:t>
            </w:r>
          </w:p>
        </w:tc>
        <w:tc>
          <w:tcPr>
            <w:tcW w:w="3100" w:type="dxa"/>
            <w:vAlign w:val="bottom"/>
            <w:gridSpan w:val="2"/>
          </w:tcPr>
          <w:p>
            <w:pPr>
              <w:jc w:val="right"/>
              <w:ind w:right="308"/>
              <w:spacing w:after="0"/>
              <w:rPr>
                <w:sz w:val="20"/>
                <w:szCs w:val="20"/>
                <w:color w:val="auto"/>
              </w:rPr>
            </w:pPr>
            <w:r>
              <w:rPr>
                <w:rFonts w:ascii="Arial" w:cs="Arial" w:eastAsia="Arial" w:hAnsi="Arial"/>
                <w:sz w:val="13"/>
                <w:szCs w:val="13"/>
                <w:color w:val="auto"/>
              </w:rPr>
              <w:t>$1,220.6</w:t>
            </w:r>
          </w:p>
        </w:tc>
        <w:tc>
          <w:tcPr>
            <w:tcW w:w="1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13"/>
                <w:szCs w:val="13"/>
                <w:color w:val="auto"/>
              </w:rPr>
              <w:t>$653.9</w:t>
            </w:r>
          </w:p>
        </w:tc>
        <w:tc>
          <w:tcPr>
            <w:tcW w:w="580" w:type="dxa"/>
            <w:vAlign w:val="bottom"/>
            <w:gridSpan w:val="3"/>
          </w:tcPr>
          <w:p>
            <w:pPr>
              <w:ind w:left="52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68"/>
              <w:spacing w:after="0"/>
              <w:rPr>
                <w:sz w:val="20"/>
                <w:szCs w:val="20"/>
                <w:color w:val="auto"/>
              </w:rPr>
            </w:pPr>
            <w:r>
              <w:rPr>
                <w:rFonts w:ascii="Arial" w:cs="Arial" w:eastAsia="Arial" w:hAnsi="Arial"/>
                <w:sz w:val="13"/>
                <w:szCs w:val="13"/>
                <w:color w:val="auto"/>
              </w:rPr>
              <w:t>$454.6(1)</w:t>
            </w:r>
          </w:p>
        </w:tc>
        <w:tc>
          <w:tcPr>
            <w:tcW w:w="180" w:type="dxa"/>
            <w:vAlign w:val="bottom"/>
          </w:tcPr>
          <w:p>
            <w:pPr>
              <w:spacing w:after="0"/>
              <w:rPr>
                <w:sz w:val="13"/>
                <w:szCs w:val="13"/>
                <w:color w:val="auto"/>
              </w:rPr>
            </w:pPr>
          </w:p>
        </w:tc>
        <w:tc>
          <w:tcPr>
            <w:tcW w:w="900" w:type="dxa"/>
            <w:vAlign w:val="bottom"/>
          </w:tcPr>
          <w:p>
            <w:pPr>
              <w:jc w:val="right"/>
              <w:ind w:right="199"/>
              <w:spacing w:after="0"/>
              <w:rPr>
                <w:sz w:val="20"/>
                <w:szCs w:val="20"/>
                <w:color w:val="auto"/>
              </w:rPr>
            </w:pPr>
            <w:r>
              <w:rPr>
                <w:rFonts w:ascii="Arial" w:cs="Arial" w:eastAsia="Arial" w:hAnsi="Arial"/>
                <w:sz w:val="13"/>
                <w:szCs w:val="13"/>
                <w:color w:val="auto"/>
              </w:rPr>
              <w:t>$1,419.9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on trade and notes receivables</w:t>
            </w:r>
          </w:p>
        </w:tc>
        <w:tc>
          <w:tcPr>
            <w:tcW w:w="31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12.7</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0.6(2)</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4.2(2)</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Represents payments of claim losses, net of recoupments.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Represents uncollectible accounts written-off, change in reserve due to reevaluation of specific items and change in reserve due to purchases and sales of certain assets.</w:t>
      </w:r>
    </w:p>
    <w:p>
      <w:pPr>
        <w:spacing w:after="0" w:line="58" w:lineRule="exact"/>
        <w:rPr>
          <w:rFonts w:ascii="Arial" w:cs="Arial" w:eastAsia="Arial" w:hAnsi="Arial"/>
          <w:sz w:val="12"/>
          <w:szCs w:val="12"/>
          <w:color w:val="auto"/>
        </w:rPr>
      </w:pPr>
    </w:p>
    <w:p>
      <w:pPr>
        <w:ind w:left="1000" w:right="80" w:hanging="259"/>
        <w:spacing w:after="0" w:line="276" w:lineRule="auto"/>
        <w:tabs>
          <w:tab w:leader="none" w:pos="10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Represents reserves assumed in the acquisition of certain title insurance underwriters from LandAmerica Financial Group, Inc. on December 22, 2008 and related purchase accounting adjustments recorded in the year ended December 31, 2009 (see note B to Notes to Consolidated Financial Statements).</w:t>
      </w:r>
    </w:p>
    <w:p>
      <w:pPr>
        <w:spacing w:after="0" w:line="20" w:lineRule="exact"/>
        <w:rPr>
          <w:sz w:val="20"/>
          <w:szCs w:val="20"/>
          <w:color w:val="auto"/>
        </w:rPr>
      </w:pPr>
    </w:p>
    <w:p>
      <w:pPr>
        <w:ind w:left="3620"/>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3300" w:type="dxa"/>
            <w:vAlign w:val="bottom"/>
            <w:gridSpan w:val="3"/>
          </w:tcPr>
          <w:p>
            <w:pPr>
              <w:ind w:left="18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24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78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0"/>
              </w:rPr>
              <w:t>Description</w:t>
            </w:r>
          </w:p>
        </w:tc>
        <w:tc>
          <w:tcPr>
            <w:tcW w:w="0" w:type="dxa"/>
            <w:vAlign w:val="bottom"/>
          </w:tcPr>
          <w:p>
            <w:pPr>
              <w:spacing w:after="0"/>
              <w:rPr>
                <w:sz w:val="1"/>
                <w:szCs w:val="1"/>
                <w:color w:val="auto"/>
              </w:rPr>
            </w:pPr>
          </w:p>
        </w:tc>
      </w:tr>
      <w:tr>
        <w:trPr>
          <w:trHeight w:val="135"/>
        </w:trPr>
        <w:tc>
          <w:tcPr>
            <w:tcW w:w="24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7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-5715</wp:posOffset>
            </wp:positionV>
            <wp:extent cx="635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600" w:right="380" w:hanging="556"/>
        <w:spacing w:after="0" w:line="280"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Securities Exchange and Distribution Agreement between Old FNF and the Registrant, dated as of June 25, 2006, as amended and restated as of September 18, 2006 (incorporated by reference to Annex A to the Registrant’s Schedule 14C filed on September 19, 2006 (the “Information Statement”))</w:t>
      </w: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Form of Amended and Restated Certificate of Incorporation of the Registrant (incorporated by reference to Annex C to the Information Statement)</w:t>
      </w:r>
    </w:p>
    <w:p>
      <w:pPr>
        <w:spacing w:after="0" w:line="8" w:lineRule="exact"/>
        <w:rPr>
          <w:sz w:val="20"/>
          <w:szCs w:val="20"/>
          <w:color w:val="auto"/>
        </w:rPr>
      </w:pPr>
    </w:p>
    <w:p>
      <w:pPr>
        <w:ind w:left="1600" w:right="360" w:hanging="556"/>
        <w:spacing w:after="0" w:line="252" w:lineRule="auto"/>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the Registrant, as adopted on September 26, 2005 (incorporated by reference to Exhibit 3.2 to the Registrant’s Quarterly Report on Form 10-Q for the quarter ended September 30, 2005)</w:t>
      </w:r>
    </w:p>
    <w:p>
      <w:pPr>
        <w:spacing w:after="0" w:line="1" w:lineRule="exact"/>
        <w:rPr>
          <w:sz w:val="20"/>
          <w:szCs w:val="20"/>
          <w:color w:val="auto"/>
        </w:rPr>
      </w:pPr>
    </w:p>
    <w:p>
      <w:pPr>
        <w:ind w:left="1600" w:right="300" w:hanging="556"/>
        <w:spacing w:after="0" w:line="252" w:lineRule="auto"/>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Indenture between the Registrant and The Bank of New York Trust Company, N.A., dated December 8, 2005, relating to the 7.30% and 5.25% notes referred to below (incorporated by reference to Exhibit 4.1 to the Registrant’s Annual Report on Form 10-K for the year ended December 31, 2005)</w:t>
      </w:r>
    </w:p>
    <w:p>
      <w:pPr>
        <w:spacing w:after="0" w:line="1" w:lineRule="exact"/>
        <w:rPr>
          <w:sz w:val="20"/>
          <w:szCs w:val="20"/>
          <w:color w:val="auto"/>
        </w:rPr>
      </w:pPr>
    </w:p>
    <w:p>
      <w:pPr>
        <w:ind w:left="1600" w:hanging="556"/>
        <w:spacing w:after="0" w:line="252" w:lineRule="auto"/>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First Supplemental Indenture between the Registrant and the Bank of New York Trust Company, N.A., dated as of January 6, 2006 (incorporated by reference to Exhibit 4.1 to the Registrant’s Current Report on Form 8-K filed on January 24, 2006)</w:t>
      </w:r>
    </w:p>
    <w:p>
      <w:pPr>
        <w:spacing w:after="0" w:line="1" w:lineRule="exact"/>
        <w:rPr>
          <w:sz w:val="20"/>
          <w:szCs w:val="20"/>
          <w:color w:val="auto"/>
        </w:rPr>
      </w:pPr>
    </w:p>
    <w:p>
      <w:pPr>
        <w:ind w:left="1600" w:right="160" w:hanging="556"/>
        <w:spacing w:after="0" w:line="252" w:lineRule="auto"/>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Form of Subordinated Indenture between the Registrant and the Bank of New York Trust Company, N.A. (incorporated by reference to Exhibit 4.2(A) to the Registrant’s Registration Statement on Form S-3 filed on November 14, 2007)</w:t>
      </w:r>
    </w:p>
    <w:p>
      <w:pPr>
        <w:spacing w:after="0" w:line="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1"/>
          <w:szCs w:val="11"/>
          <w:color w:val="auto"/>
        </w:rPr>
        <w:t>Form of 7.30% note due August 15, 2011 (incorporated by reference to Exhibit 4.6 to the Registrant’s Registration Statement on Form S-4 filed on October 28, 2005)</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1"/>
          <w:szCs w:val="11"/>
          <w:color w:val="auto"/>
        </w:rPr>
        <w:t>Form of 5.25% note due March 15, 2013 (incorporated by reference to Exhibit 4.7 to the Registrant’s Registration Statement on Form S-4 filed on October 28, 2005)</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color w:val="auto"/>
        </w:rPr>
        <w:t>Form of 2.36% Subordinated Promissory Note due 2013 (incorporated by reference to Exhibit 99.2 to the Registrant’s Current Report on Form 8-K filed on December 24,</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2008)</w:t>
      </w:r>
    </w:p>
    <w:p>
      <w:pPr>
        <w:spacing w:after="0" w:line="8" w:lineRule="exact"/>
        <w:rPr>
          <w:sz w:val="20"/>
          <w:szCs w:val="20"/>
          <w:color w:val="auto"/>
        </w:rPr>
      </w:pPr>
    </w:p>
    <w:p>
      <w:pPr>
        <w:ind w:left="1600" w:right="580" w:hanging="556"/>
        <w:spacing w:after="0" w:line="252" w:lineRule="auto"/>
        <w:tabs>
          <w:tab w:leader="none" w:pos="158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Form of the Registrant’s Common Stock Certificate (incorporated by reference to Exhibit 4.5 to the Registrant’s Annual Report on Form 10-K for the year ended December 31, 2006 (the “2006 Annual Report”))</w:t>
      </w:r>
    </w:p>
    <w:p>
      <w:pPr>
        <w:spacing w:after="0" w:line="1" w:lineRule="exact"/>
        <w:rPr>
          <w:sz w:val="20"/>
          <w:szCs w:val="20"/>
          <w:color w:val="auto"/>
        </w:rPr>
      </w:pPr>
    </w:p>
    <w:p>
      <w:pPr>
        <w:ind w:left="1600" w:right="380" w:hanging="622"/>
        <w:spacing w:after="0" w:line="252" w:lineRule="auto"/>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Credit Agreement among the Registrant, Bank of America, N.A., and certain agents and other lenders party thereto, dated as of September 12, 2006 (incorporated by reference to Exhibit 10.1 to the Registrant’s Current Report on Form 8-K filed on October 30, 2006)</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Stock Purchase Agreement, dated as of November 25, 2008, as amended and restated as of December 12, 2008, as further amended and restated as of December 21, 2008, among Fidelity National Title Insurance Company, Chicago Title Insurance Company, and LandAmerica Financial Group, Inc. (incorporated by reference to Exhibit 10.1 to the Registrant’s Current Report on Form 8-K filed on December 24, 2008.)</w:t>
      </w:r>
    </w:p>
    <w:p>
      <w:pPr>
        <w:spacing w:after="0" w:line="1" w:lineRule="exact"/>
        <w:rPr>
          <w:sz w:val="20"/>
          <w:szCs w:val="20"/>
          <w:color w:val="auto"/>
        </w:rPr>
      </w:pPr>
    </w:p>
    <w:p>
      <w:pPr>
        <w:ind w:left="1600" w:right="220" w:hanging="622"/>
        <w:spacing w:after="0" w:line="252"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Amended and Restated Fidelity National Financial, Inc. 2005 Omnibus Incentive Plan, effective as of September 26, 2005 (incorporated by reference to Annex A to the Registrant’s Schedule 14A filed on April 15, 2008).(1)</w:t>
      </w:r>
    </w:p>
    <w:p>
      <w:pPr>
        <w:spacing w:after="0" w:line="1" w:lineRule="exact"/>
        <w:rPr>
          <w:sz w:val="20"/>
          <w:szCs w:val="20"/>
          <w:color w:val="auto"/>
        </w:rPr>
      </w:pPr>
    </w:p>
    <w:p>
      <w:pPr>
        <w:ind w:left="1600" w:right="380" w:hanging="622"/>
        <w:spacing w:after="0" w:line="252"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Fidelity National Title Group, Inc. Employee Stock Purchase Plan, effective as of September 26, 2005 (incorporated by reference to Exhibit 10.50 to the Registrant’s Quarterly Report on Form 10-Q for the quarter ended September 30, 2005).(1)</w:t>
      </w:r>
    </w:p>
    <w:p>
      <w:pPr>
        <w:spacing w:after="0" w:line="1" w:lineRule="exact"/>
        <w:rPr>
          <w:sz w:val="20"/>
          <w:szCs w:val="20"/>
          <w:color w:val="auto"/>
        </w:rPr>
      </w:pPr>
    </w:p>
    <w:p>
      <w:pPr>
        <w:ind w:left="1600" w:right="120" w:hanging="622"/>
        <w:spacing w:after="0" w:line="273"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Form of Notice of Restricted Stock Grant and Restricted Stock Award Agreement under Amended and Restated Fidelity National Financial, Inc. 2005 Omnibus Incentive Plan (incorporated by reference to Exhibit 10.5 to the Registrant’s Annual Report on Form 10-K for the year ended December 31, 2008).(1)</w:t>
      </w:r>
    </w:p>
    <w:p>
      <w:pPr>
        <w:spacing w:after="0" w:line="1" w:lineRule="exact"/>
        <w:rPr>
          <w:sz w:val="20"/>
          <w:szCs w:val="20"/>
          <w:color w:val="auto"/>
        </w:rPr>
      </w:pPr>
    </w:p>
    <w:p>
      <w:pPr>
        <w:ind w:left="1600" w:right="120" w:hanging="622"/>
        <w:spacing w:after="0" w:line="252"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Form of Notice of Restricted Stock Grant and Restricted Stock Award Agreement under Amended and Restated Fidelity National Financial, Inc. 2005 Omnibus Incentive Plan for November 2009 awards.(1)</w:t>
      </w:r>
    </w:p>
    <w:p>
      <w:pPr>
        <w:spacing w:after="0" w:line="1"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Form of Notice of Stock Option Grant and Stock Option Award Agreement under Amended and Restated Fidelity National Financial, Inc. 2005 Omnibus Incentive Plan (incorporated by reference to Exhibit 10.6 to the Registrant’s Annual Report on Form 10-K for the year ended December 31, 2008).(1)</w:t>
      </w:r>
    </w:p>
    <w:p>
      <w:pPr>
        <w:spacing w:after="0" w:line="1" w:lineRule="exact"/>
        <w:rPr>
          <w:sz w:val="20"/>
          <w:szCs w:val="20"/>
          <w:color w:val="auto"/>
        </w:rPr>
      </w:pPr>
    </w:p>
    <w:p>
      <w:pPr>
        <w:ind w:left="1600" w:right="240" w:hanging="622"/>
        <w:spacing w:after="0" w:line="252" w:lineRule="auto"/>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Fidelity Sedgwick Holdings, Inc. 2006 Stock Incentive Plan (the “FSH Plan”), effective as of January 31, 2006 (incorporated by reference to Exhibit 99.3 to Old FNF’s Current Report on Form 8-K filed on February 6, 2006).(1)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Form of Stock Option Agreement under the FSH Plan (incorporated by reference to Exhibit 99.4 to Old FNF’s Current Report on Form 8-K filed on February 6, 2006).(1)</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0</wp:posOffset>
            </wp:positionV>
            <wp:extent cx="635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00" w:right="440" w:hanging="622"/>
        <w:spacing w:after="0" w:line="258" w:lineRule="auto"/>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Tax Disaffiliation Agreement by and among Old FNF, the Registrant and FIS, dated as of October 23, 2006 (incorporated by reference to Exhibit 99.1 to Old FNF’s Form 8-K, filed on October 27, 2006)</w:t>
      </w:r>
    </w:p>
    <w:p>
      <w:pPr>
        <w:spacing w:after="0" w:line="1"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Cross-Indemnity Agreement by and between the Registrant and FIS, dated as of October 23, 2006 (incorporated by reference to Exhibit 99.2 to FIS’s Form 8-K, filed on October 27, 2006)</w:t>
      </w:r>
    </w:p>
    <w:p>
      <w:pPr>
        <w:spacing w:after="0" w:line="1" w:lineRule="exact"/>
        <w:rPr>
          <w:sz w:val="20"/>
          <w:szCs w:val="20"/>
          <w:color w:val="auto"/>
        </w:rPr>
      </w:pPr>
    </w:p>
    <w:p>
      <w:pPr>
        <w:ind w:left="1600" w:right="680" w:hanging="622"/>
        <w:spacing w:after="0" w:line="252"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Amended and Restated Employment Agreement between the Registrant and Anthony J. Park, effective as of October 10, 2008(1) (incorporated by reference to Exhibit 10.11 to Registrant’s Annual Report on Form 10-K for the year ended December 31, 2008)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Anthony J. Park, effective as of October 10, 2008(1)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Amended and Restated Employment Agreement between the Registrant and Brent B. Bickett, effective as of July 2, 2008(1).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Brent B. Bickett, effective as of July 2, 2008(1)</w:t>
      </w:r>
    </w:p>
    <w:p>
      <w:pPr>
        <w:spacing w:after="0" w:line="8" w:lineRule="exact"/>
        <w:rPr>
          <w:sz w:val="20"/>
          <w:szCs w:val="20"/>
          <w:color w:val="auto"/>
        </w:rPr>
      </w:pPr>
    </w:p>
    <w:p>
      <w:pPr>
        <w:ind w:left="1600" w:right="20" w:hanging="622"/>
        <w:spacing w:after="0" w:line="252"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Amended and Restated Employment Agreement between the Registrant and William P. Foley, II, effective as of July 2, 2008(1) (incorporated by reference to Exhibit 10.14 to Registrant’s Annual Report on Form 10-K for the year ended December 31, 2008).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William P. Foley, II, effective as of July 2, 2008(1).</w:t>
      </w:r>
    </w:p>
    <w:p>
      <w:pPr>
        <w:spacing w:after="0" w:line="8" w:lineRule="exact"/>
        <w:rPr>
          <w:sz w:val="20"/>
          <w:szCs w:val="20"/>
          <w:color w:val="auto"/>
        </w:rPr>
      </w:pPr>
    </w:p>
    <w:p>
      <w:pPr>
        <w:ind w:left="1600" w:right="40" w:hanging="622"/>
        <w:spacing w:after="0" w:line="252"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Amended and Restated Employment Agreement between the Registrant and Alan L. Stinson, effective as of January 1, 2009(1) (incorporated by reference to Exhibit 10.15 to Registrant’s Annual Report on Form 10-K for the year ended December 31, 2008).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Alan L. Stinson, effective as of January 1, 2009(1) .</w:t>
      </w:r>
    </w:p>
    <w:p>
      <w:pPr>
        <w:spacing w:after="0" w:line="8" w:lineRule="exact"/>
        <w:rPr>
          <w:sz w:val="20"/>
          <w:szCs w:val="20"/>
          <w:color w:val="auto"/>
        </w:rPr>
      </w:pPr>
    </w:p>
    <w:p>
      <w:pPr>
        <w:ind w:left="1600" w:right="520" w:hanging="622"/>
        <w:spacing w:after="0" w:line="252" w:lineRule="auto"/>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Amended and Restated Employment Agreement between the Registrant and Raymond R. Quirk, effective as of October 10, 2008(1) (incorporated by reference to Exhibit 10.16 to Registrant’s Annual Report on Form 10-K for the year ended December 31, 2008)</w:t>
      </w:r>
    </w:p>
    <w:p>
      <w:pPr>
        <w:spacing w:after="0" w:line="1" w:lineRule="exact"/>
        <w:rPr>
          <w:sz w:val="20"/>
          <w:szCs w:val="20"/>
          <w:color w:val="auto"/>
        </w:rPr>
      </w:pPr>
    </w:p>
    <w:p>
      <w:pPr>
        <w:ind w:left="1600" w:right="300" w:hanging="622"/>
        <w:spacing w:after="0" w:line="252" w:lineRule="auto"/>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Amendment effective February 4, 2010 to Amended and Restated Employment Agreement between the Registrant and Raymond R. Quirk, effective as of October 10, 2008(1)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1"/>
          <w:szCs w:val="11"/>
          <w:color w:val="auto"/>
        </w:rPr>
        <w:t>Amended and Restated Employment Agreement between the Registrant and Michael L. Gravelle, effective as of January 1, 2010(1)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1"/>
          <w:szCs w:val="11"/>
          <w:color w:val="auto"/>
        </w:rPr>
        <w:t>Amended and Restated Employment Agreement between the Registrant and Peter T. Sadowski, effective as of July 23, 2008(1).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1"/>
          <w:szCs w:val="11"/>
          <w:color w:val="auto"/>
        </w:rPr>
        <w:t>Amendment effective February 4, 2010 to Amended and Restated Employment Agreement between the Registrant and Peter T. Sadowski, effective as of July 23, 2008</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2"/>
          <w:szCs w:val="12"/>
          <w:color w:val="auto"/>
        </w:rPr>
        <w:t>Fidelity National Title Group, Inc. Annual Incentive Plan (incorporated by reference to Annex E to the Information Statement).(1)</w:t>
      </w:r>
    </w:p>
    <w:p>
      <w:pPr>
        <w:spacing w:after="0" w:line="8" w:lineRule="exact"/>
        <w:rPr>
          <w:sz w:val="20"/>
          <w:szCs w:val="20"/>
          <w:color w:val="auto"/>
        </w:rPr>
      </w:pPr>
    </w:p>
    <w:p>
      <w:pPr>
        <w:ind w:left="1600" w:right="420" w:hanging="622"/>
        <w:spacing w:after="0" w:line="252" w:lineRule="auto"/>
        <w:tabs>
          <w:tab w:leader="none" w:pos="158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Fidelity National Financial, Inc. Deferred Compensation Plan, as amended and restated, effective January 1, 2009 (incorporated by reference to Exhibit 10.18 to the Registrant’s Annual Report on Form 10-K for the year ended December 31, 2008).(1)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Subsidiaries of the Registrant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KPMG LLP,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 pursuant to Section 302 of the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 pursuant to Section 302 of the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Certification by Chief Executive Officer of Periodic Financial Reports pursuant to Section 906 of the Sarbanes-Oxley Act of 2002, 18 U.S.C. Section 1350</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Certification by Chief Financial Officer of Periodic Financial Reports pursuant to 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5580" w:right="2440" w:hanging="4839"/>
        <w:spacing w:after="0" w:line="482" w:lineRule="auto"/>
        <w:tabs>
          <w:tab w:leader="none" w:pos="993" w:val="left"/>
        </w:tabs>
        <w:numPr>
          <w:ilvl w:val="0"/>
          <w:numId w:val="73"/>
        </w:numPr>
        <w:rPr>
          <w:rFonts w:ascii="Arial" w:cs="Arial" w:eastAsia="Arial" w:hAnsi="Arial"/>
          <w:sz w:val="13"/>
          <w:szCs w:val="13"/>
          <w:color w:val="auto"/>
        </w:rPr>
      </w:pPr>
      <w:r>
        <w:rPr>
          <w:rFonts w:ascii="Arial" w:cs="Arial" w:eastAsia="Arial" w:hAnsi="Arial"/>
          <w:sz w:val="13"/>
          <w:szCs w:val="13"/>
          <w:color w:val="auto"/>
        </w:rPr>
        <w:t>A management or compensatory plan or arrangement required to be filed as an exhibit to this report pursuant to Item 15(c) of Form 10-K 131</w:t>
      </w:r>
    </w:p>
    <w:p>
      <w:pPr>
        <w:sectPr>
          <w:pgSz w:w="11900" w:h="16838" w:orient="portrait"/>
          <w:cols w:equalWidth="0" w:num="1">
            <w:col w:w="10620"/>
          </w:cols>
          <w:pgMar w:left="220" w:top="343" w:right="10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10.6</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w:t>
      </w:r>
      <w:r>
        <w:rPr>
          <w:rFonts w:ascii="Arial" w:cs="Arial" w:eastAsia="Arial" w:hAnsi="Arial"/>
          <w:sz w:val="10"/>
          <w:szCs w:val="10"/>
          <w:b w:val="1"/>
          <w:bCs w:val="1"/>
          <w:color w:val="auto"/>
        </w:rPr>
        <w:t>IDELITY</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ATIONAL</w:t>
      </w:r>
      <w:r>
        <w:rPr>
          <w:rFonts w:ascii="Arial" w:cs="Arial" w:eastAsia="Arial" w:hAnsi="Arial"/>
          <w:sz w:val="16"/>
          <w:szCs w:val="16"/>
          <w:b w:val="1"/>
          <w:bCs w:val="1"/>
          <w:color w:val="auto"/>
        </w:rPr>
        <w:t xml:space="preserve"> F</w:t>
      </w:r>
      <w:r>
        <w:rPr>
          <w:rFonts w:ascii="Arial" w:cs="Arial" w:eastAsia="Arial" w:hAnsi="Arial"/>
          <w:sz w:val="10"/>
          <w:szCs w:val="10"/>
          <w:b w:val="1"/>
          <w:bCs w:val="1"/>
          <w:color w:val="auto"/>
        </w:rPr>
        <w:t>INANCIAL</w:t>
      </w:r>
      <w:r>
        <w:rPr>
          <w:rFonts w:ascii="Arial" w:cs="Arial" w:eastAsia="Arial" w:hAnsi="Arial"/>
          <w:sz w:val="16"/>
          <w:szCs w:val="16"/>
          <w:b w:val="1"/>
          <w:bCs w:val="1"/>
          <w:color w:val="auto"/>
        </w:rPr>
        <w:t>, I</w:t>
      </w:r>
      <w:r>
        <w:rPr>
          <w:rFonts w:ascii="Arial" w:cs="Arial" w:eastAsia="Arial" w:hAnsi="Arial"/>
          <w:sz w:val="10"/>
          <w:szCs w:val="10"/>
          <w:b w:val="1"/>
          <w:bCs w:val="1"/>
          <w:color w:val="auto"/>
        </w:rPr>
        <w:t>NC</w:t>
      </w:r>
      <w:r>
        <w:rPr>
          <w:rFonts w:ascii="Arial" w:cs="Arial" w:eastAsia="Arial" w:hAnsi="Arial"/>
          <w:sz w:val="16"/>
          <w:szCs w:val="16"/>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MENDED AND</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ESTATED</w:t>
      </w:r>
    </w:p>
    <w:p>
      <w:pPr>
        <w:jc w:val="center"/>
        <w:spacing w:after="0"/>
        <w:rPr>
          <w:sz w:val="20"/>
          <w:szCs w:val="20"/>
          <w:color w:val="auto"/>
        </w:rPr>
      </w:pPr>
      <w:r>
        <w:rPr>
          <w:rFonts w:ascii="Arial" w:cs="Arial" w:eastAsia="Arial" w:hAnsi="Arial"/>
          <w:sz w:val="16"/>
          <w:szCs w:val="16"/>
          <w:b w:val="1"/>
          <w:bCs w:val="1"/>
          <w:color w:val="auto"/>
        </w:rPr>
        <w:t>2005 O</w:t>
      </w:r>
      <w:r>
        <w:rPr>
          <w:rFonts w:ascii="Arial" w:cs="Arial" w:eastAsia="Arial" w:hAnsi="Arial"/>
          <w:sz w:val="10"/>
          <w:szCs w:val="10"/>
          <w:b w:val="1"/>
          <w:bCs w:val="1"/>
          <w:color w:val="auto"/>
        </w:rPr>
        <w:t>MNIBUS</w:t>
      </w:r>
      <w:r>
        <w:rPr>
          <w:rFonts w:ascii="Arial" w:cs="Arial" w:eastAsia="Arial" w:hAnsi="Arial"/>
          <w:sz w:val="16"/>
          <w:szCs w:val="16"/>
          <w:b w:val="1"/>
          <w:bCs w:val="1"/>
          <w:color w:val="auto"/>
        </w:rPr>
        <w:t xml:space="preserve"> I</w:t>
      </w:r>
      <w:r>
        <w:rPr>
          <w:rFonts w:ascii="Arial" w:cs="Arial" w:eastAsia="Arial" w:hAnsi="Arial"/>
          <w:sz w:val="10"/>
          <w:szCs w:val="10"/>
          <w:b w:val="1"/>
          <w:bCs w:val="1"/>
          <w:color w:val="auto"/>
        </w:rPr>
        <w:t>NCENTIVE</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Restricted Stock Grant</w:t>
      </w:r>
    </w:p>
    <w:p>
      <w:pPr>
        <w:spacing w:after="0" w:line="90" w:lineRule="exact"/>
        <w:rPr>
          <w:sz w:val="20"/>
          <w:szCs w:val="20"/>
          <w:color w:val="auto"/>
        </w:rPr>
      </w:pPr>
    </w:p>
    <w:p>
      <w:pPr>
        <w:ind w:right="380" w:firstLine="159"/>
        <w:spacing w:after="0" w:line="320" w:lineRule="auto"/>
        <w:rPr>
          <w:sz w:val="20"/>
          <w:szCs w:val="20"/>
          <w:color w:val="auto"/>
        </w:rPr>
      </w:pPr>
      <w:r>
        <w:rPr>
          <w:rFonts w:ascii="Arial" w:cs="Arial" w:eastAsia="Arial" w:hAnsi="Arial"/>
          <w:sz w:val="12"/>
          <w:szCs w:val="12"/>
          <w:color w:val="auto"/>
        </w:rPr>
        <w:t>You (the “Grantee”) have been granted the following award of restricted Class A Common Stock (the “Restricted Stock”) of Fidelity National Financial, Inc. (the “Company”), par value $0.0001 per share (the “Shares”), pursuant to the Fidelity National Financial, Inc. Amended and Restated 2005 Omnibus Incentive Plan (the “Plan”) and the terms set forth in the attached Restricted Stock Award Agreement:</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68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Name of Grantee:</w:t>
            </w:r>
          </w:p>
        </w:tc>
        <w:tc>
          <w:tcPr>
            <w:tcW w:w="4580" w:type="dxa"/>
            <w:vAlign w:val="bottom"/>
            <w:tcBorders>
              <w:top w:val="single" w:sz="8" w:color="auto"/>
              <w:bottom w:val="single" w:sz="8" w:color="auto"/>
              <w:right w:val="single" w:sz="8" w:color="auto"/>
            </w:tcBorders>
          </w:tcPr>
          <w:p>
            <w:pPr>
              <w:spacing w:after="0"/>
              <w:rPr>
                <w:sz w:val="15"/>
                <w:szCs w:val="15"/>
                <w:color w:val="auto"/>
              </w:rPr>
            </w:pPr>
          </w:p>
        </w:tc>
      </w:tr>
      <w:tr>
        <w:trPr>
          <w:trHeight w:val="157"/>
        </w:trPr>
        <w:tc>
          <w:tcPr>
            <w:tcW w:w="6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Number of Shares of Restricted Stock Granted:</w:t>
            </w:r>
          </w:p>
        </w:tc>
        <w:tc>
          <w:tcPr>
            <w:tcW w:w="4580" w:type="dxa"/>
            <w:vAlign w:val="bottom"/>
            <w:tcBorders>
              <w:bottom w:val="single" w:sz="8" w:color="auto"/>
              <w:right w:val="single" w:sz="8" w:color="auto"/>
            </w:tcBorders>
          </w:tcPr>
          <w:p>
            <w:pPr>
              <w:spacing w:after="0"/>
              <w:rPr>
                <w:sz w:val="13"/>
                <w:szCs w:val="13"/>
                <w:color w:val="auto"/>
              </w:rPr>
            </w:pPr>
          </w:p>
        </w:tc>
      </w:tr>
      <w:tr>
        <w:trPr>
          <w:trHeight w:val="157"/>
        </w:trPr>
        <w:tc>
          <w:tcPr>
            <w:tcW w:w="68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Effective Date of Grant:</w:t>
            </w:r>
          </w:p>
        </w:tc>
        <w:tc>
          <w:tcPr>
            <w:tcW w:w="4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3"/>
                <w:szCs w:val="13"/>
                <w:color w:val="auto"/>
              </w:rPr>
              <w:t>November 23, 2009</w:t>
            </w:r>
          </w:p>
        </w:tc>
      </w:tr>
      <w:tr>
        <w:trPr>
          <w:trHeight w:val="148"/>
        </w:trPr>
        <w:tc>
          <w:tcPr>
            <w:tcW w:w="6880" w:type="dxa"/>
            <w:vAlign w:val="bottom"/>
            <w:tcBorders>
              <w:left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Vesting:</w:t>
            </w:r>
          </w:p>
        </w:tc>
        <w:tc>
          <w:tcPr>
            <w:tcW w:w="4580" w:type="dxa"/>
            <w:vAlign w:val="bottom"/>
            <w:tcBorders>
              <w:right w:val="single" w:sz="8" w:color="auto"/>
            </w:tcBorders>
          </w:tcPr>
          <w:p>
            <w:pPr>
              <w:ind w:left="240"/>
              <w:spacing w:after="0" w:line="148" w:lineRule="exact"/>
              <w:rPr>
                <w:sz w:val="20"/>
                <w:szCs w:val="20"/>
                <w:color w:val="auto"/>
              </w:rPr>
            </w:pPr>
            <w:r>
              <w:rPr>
                <w:rFonts w:ascii="Arial" w:cs="Arial" w:eastAsia="Arial" w:hAnsi="Arial"/>
                <w:sz w:val="13"/>
                <w:szCs w:val="13"/>
                <w:color w:val="auto"/>
                <w:w w:val="99"/>
              </w:rPr>
              <w:t>Subject to the terms of the Plan and the Restricted Stock Award Agreement</w:t>
            </w:r>
          </w:p>
        </w:tc>
      </w:tr>
      <w:tr>
        <w:trPr>
          <w:trHeight w:val="157"/>
        </w:trPr>
        <w:tc>
          <w:tcPr>
            <w:tcW w:w="6880" w:type="dxa"/>
            <w:vAlign w:val="bottom"/>
            <w:tcBorders>
              <w:left w:val="single" w:sz="8" w:color="auto"/>
              <w:right w:val="single" w:sz="8" w:color="auto"/>
            </w:tcBorders>
          </w:tcPr>
          <w:p>
            <w:pPr>
              <w:spacing w:after="0"/>
              <w:rPr>
                <w:sz w:val="13"/>
                <w:szCs w:val="13"/>
                <w:color w:val="auto"/>
              </w:rPr>
            </w:pPr>
          </w:p>
        </w:tc>
        <w:tc>
          <w:tcPr>
            <w:tcW w:w="4580" w:type="dxa"/>
            <w:vAlign w:val="bottom"/>
            <w:tcBorders>
              <w:right w:val="single" w:sz="8" w:color="auto"/>
            </w:tcBorders>
          </w:tcPr>
          <w:p>
            <w:pPr>
              <w:ind w:left="240"/>
              <w:spacing w:after="0"/>
              <w:rPr>
                <w:sz w:val="20"/>
                <w:szCs w:val="20"/>
                <w:color w:val="auto"/>
              </w:rPr>
            </w:pPr>
            <w:r>
              <w:rPr>
                <w:rFonts w:ascii="Arial" w:cs="Arial" w:eastAsia="Arial" w:hAnsi="Arial"/>
                <w:sz w:val="13"/>
                <w:szCs w:val="13"/>
                <w:color w:val="auto"/>
                <w:w w:val="94"/>
              </w:rPr>
              <w:t>attached hereto, the Period of Restriction shall lapse, and the Shares shall vest</w:t>
            </w:r>
          </w:p>
        </w:tc>
      </w:tr>
      <w:tr>
        <w:trPr>
          <w:trHeight w:val="157"/>
        </w:trPr>
        <w:tc>
          <w:tcPr>
            <w:tcW w:w="6880" w:type="dxa"/>
            <w:vAlign w:val="bottom"/>
            <w:tcBorders>
              <w:left w:val="single" w:sz="8" w:color="auto"/>
              <w:right w:val="single" w:sz="8" w:color="auto"/>
            </w:tcBorders>
          </w:tcPr>
          <w:p>
            <w:pPr>
              <w:spacing w:after="0"/>
              <w:rPr>
                <w:sz w:val="13"/>
                <w:szCs w:val="13"/>
                <w:color w:val="auto"/>
              </w:rPr>
            </w:pPr>
          </w:p>
        </w:tc>
        <w:tc>
          <w:tcPr>
            <w:tcW w:w="4580" w:type="dxa"/>
            <w:vAlign w:val="bottom"/>
            <w:tcBorders>
              <w:right w:val="single" w:sz="8" w:color="auto"/>
            </w:tcBorders>
          </w:tcPr>
          <w:p>
            <w:pPr>
              <w:ind w:left="240"/>
              <w:spacing w:after="0"/>
              <w:rPr>
                <w:sz w:val="20"/>
                <w:szCs w:val="20"/>
                <w:color w:val="auto"/>
              </w:rPr>
            </w:pPr>
            <w:r>
              <w:rPr>
                <w:rFonts w:ascii="Arial" w:cs="Arial" w:eastAsia="Arial" w:hAnsi="Arial"/>
                <w:sz w:val="13"/>
                <w:szCs w:val="13"/>
                <w:color w:val="auto"/>
                <w:w w:val="96"/>
              </w:rPr>
              <w:t>and become free of the forfeiture provisions contained in the Restricted Stock</w:t>
            </w:r>
          </w:p>
        </w:tc>
      </w:tr>
      <w:tr>
        <w:trPr>
          <w:trHeight w:val="157"/>
        </w:trPr>
        <w:tc>
          <w:tcPr>
            <w:tcW w:w="6880" w:type="dxa"/>
            <w:vAlign w:val="bottom"/>
            <w:tcBorders>
              <w:left w:val="single" w:sz="8" w:color="auto"/>
              <w:right w:val="single" w:sz="8" w:color="auto"/>
            </w:tcBorders>
          </w:tcPr>
          <w:p>
            <w:pPr>
              <w:spacing w:after="0"/>
              <w:rPr>
                <w:sz w:val="13"/>
                <w:szCs w:val="13"/>
                <w:color w:val="auto"/>
              </w:rPr>
            </w:pPr>
          </w:p>
        </w:tc>
        <w:tc>
          <w:tcPr>
            <w:tcW w:w="4580" w:type="dxa"/>
            <w:vAlign w:val="bottom"/>
            <w:tcBorders>
              <w:right w:val="single" w:sz="8" w:color="auto"/>
            </w:tcBorders>
          </w:tcPr>
          <w:p>
            <w:pPr>
              <w:ind w:left="240"/>
              <w:spacing w:after="0"/>
              <w:rPr>
                <w:sz w:val="20"/>
                <w:szCs w:val="20"/>
                <w:color w:val="auto"/>
              </w:rPr>
            </w:pPr>
            <w:r>
              <w:rPr>
                <w:rFonts w:ascii="Arial" w:cs="Arial" w:eastAsia="Arial" w:hAnsi="Arial"/>
                <w:sz w:val="13"/>
                <w:szCs w:val="13"/>
                <w:color w:val="auto"/>
                <w:w w:val="92"/>
              </w:rPr>
              <w:t>Award Agreement, with respect to one third of the shares on each anniversary of</w:t>
            </w:r>
          </w:p>
        </w:tc>
      </w:tr>
      <w:tr>
        <w:trPr>
          <w:trHeight w:val="176"/>
        </w:trPr>
        <w:tc>
          <w:tcPr>
            <w:tcW w:w="6880" w:type="dxa"/>
            <w:vAlign w:val="bottom"/>
            <w:tcBorders>
              <w:left w:val="single" w:sz="8" w:color="auto"/>
              <w:bottom w:val="single" w:sz="8" w:color="auto"/>
              <w:right w:val="single" w:sz="8" w:color="auto"/>
            </w:tcBorders>
          </w:tcPr>
          <w:p>
            <w:pPr>
              <w:spacing w:after="0"/>
              <w:rPr>
                <w:sz w:val="15"/>
                <w:szCs w:val="15"/>
                <w:color w:val="auto"/>
              </w:rPr>
            </w:pPr>
          </w:p>
        </w:tc>
        <w:tc>
          <w:tcPr>
            <w:tcW w:w="4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3"/>
                <w:szCs w:val="13"/>
                <w:color w:val="auto"/>
              </w:rPr>
              <w:t>the Effective Date of Grant.</w:t>
            </w:r>
          </w:p>
        </w:tc>
      </w:tr>
    </w:tbl>
    <w:p>
      <w:pPr>
        <w:spacing w:after="0" w:line="80" w:lineRule="exact"/>
        <w:rPr>
          <w:sz w:val="20"/>
          <w:szCs w:val="20"/>
          <w:color w:val="auto"/>
        </w:rPr>
      </w:pPr>
    </w:p>
    <w:p>
      <w:pPr>
        <w:ind w:right="20"/>
        <w:spacing w:after="0" w:line="320" w:lineRule="auto"/>
        <w:rPr>
          <w:sz w:val="20"/>
          <w:szCs w:val="20"/>
          <w:color w:val="auto"/>
        </w:rPr>
      </w:pPr>
      <w:r>
        <w:rPr>
          <w:rFonts w:ascii="Arial" w:cs="Arial" w:eastAsia="Arial" w:hAnsi="Arial"/>
          <w:sz w:val="12"/>
          <w:szCs w:val="12"/>
          <w:color w:val="auto"/>
        </w:rPr>
        <w:t>By your signature and the signature of the Company’s representative below, you and the Company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pacing w:after="0" w:line="257" w:lineRule="exact"/>
        <w:rPr>
          <w:sz w:val="20"/>
          <w:szCs w:val="20"/>
          <w:color w:val="auto"/>
        </w:rPr>
      </w:pPr>
    </w:p>
    <w:p>
      <w:pPr>
        <w:spacing w:after="0"/>
        <w:tabs>
          <w:tab w:leader="none" w:pos="6280" w:val="left"/>
        </w:tabs>
        <w:rPr>
          <w:sz w:val="20"/>
          <w:szCs w:val="20"/>
          <w:color w:val="auto"/>
        </w:rPr>
      </w:pPr>
      <w:r>
        <w:rPr>
          <w:rFonts w:ascii="Arial" w:cs="Arial" w:eastAsia="Arial" w:hAnsi="Arial"/>
          <w:sz w:val="13"/>
          <w:szCs w:val="13"/>
          <w:b w:val="1"/>
          <w:bCs w:val="1"/>
          <w:color w:val="auto"/>
        </w:rPr>
        <w:t>Grantee:</w:t>
      </w:r>
      <w:r>
        <w:rPr>
          <w:sz w:val="20"/>
          <w:szCs w:val="20"/>
          <w:color w:val="auto"/>
        </w:rPr>
        <w:tab/>
      </w:r>
      <w:r>
        <w:rPr>
          <w:rFonts w:ascii="Arial" w:cs="Arial" w:eastAsia="Arial" w:hAnsi="Arial"/>
          <w:sz w:val="13"/>
          <w:szCs w:val="13"/>
          <w:b w:val="1"/>
          <w:bCs w:val="1"/>
          <w:color w:val="auto"/>
        </w:rPr>
        <w:t>Fidelity National Financial, Inc.</w:t>
      </w:r>
    </w:p>
    <w:p>
      <w:pPr>
        <w:spacing w:after="0" w:line="169"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64782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47825" cy="635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10795</wp:posOffset>
            </wp:positionV>
            <wp:extent cx="154813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813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64782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749935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164782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4782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164782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auto"/>
        </w:rPr>
        <w:t>F</w:t>
      </w:r>
      <w:r>
        <w:rPr>
          <w:rFonts w:ascii="Arial" w:cs="Arial" w:eastAsia="Arial" w:hAnsi="Arial"/>
          <w:sz w:val="10"/>
          <w:szCs w:val="10"/>
          <w:b w:val="1"/>
          <w:bCs w:val="1"/>
          <w:color w:val="auto"/>
        </w:rPr>
        <w:t>IDELITY</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ATIONAL</w:t>
      </w:r>
      <w:r>
        <w:rPr>
          <w:rFonts w:ascii="Arial" w:cs="Arial" w:eastAsia="Arial" w:hAnsi="Arial"/>
          <w:sz w:val="16"/>
          <w:szCs w:val="16"/>
          <w:b w:val="1"/>
          <w:bCs w:val="1"/>
          <w:color w:val="auto"/>
        </w:rPr>
        <w:t xml:space="preserve"> F</w:t>
      </w:r>
      <w:r>
        <w:rPr>
          <w:rFonts w:ascii="Arial" w:cs="Arial" w:eastAsia="Arial" w:hAnsi="Arial"/>
          <w:sz w:val="10"/>
          <w:szCs w:val="10"/>
          <w:b w:val="1"/>
          <w:bCs w:val="1"/>
          <w:color w:val="auto"/>
        </w:rPr>
        <w:t>INANCIAL</w:t>
      </w:r>
      <w:r>
        <w:rPr>
          <w:rFonts w:ascii="Arial" w:cs="Arial" w:eastAsia="Arial" w:hAnsi="Arial"/>
          <w:sz w:val="16"/>
          <w:szCs w:val="16"/>
          <w:b w:val="1"/>
          <w:bCs w:val="1"/>
          <w:color w:val="auto"/>
        </w:rPr>
        <w:t>, I</w:t>
      </w:r>
      <w:r>
        <w:rPr>
          <w:rFonts w:ascii="Arial" w:cs="Arial" w:eastAsia="Arial" w:hAnsi="Arial"/>
          <w:sz w:val="10"/>
          <w:szCs w:val="10"/>
          <w:b w:val="1"/>
          <w:bCs w:val="1"/>
          <w:color w:val="auto"/>
        </w:rPr>
        <w:t>NC</w:t>
      </w:r>
      <w:r>
        <w:rPr>
          <w:rFonts w:ascii="Arial" w:cs="Arial" w:eastAsia="Arial" w:hAnsi="Arial"/>
          <w:sz w:val="16"/>
          <w:szCs w:val="16"/>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MENDED AND</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ESTATED</w:t>
      </w:r>
    </w:p>
    <w:p>
      <w:pPr>
        <w:jc w:val="center"/>
        <w:spacing w:after="0"/>
        <w:rPr>
          <w:sz w:val="20"/>
          <w:szCs w:val="20"/>
          <w:color w:val="auto"/>
        </w:rPr>
      </w:pPr>
      <w:r>
        <w:rPr>
          <w:rFonts w:ascii="Arial" w:cs="Arial" w:eastAsia="Arial" w:hAnsi="Arial"/>
          <w:sz w:val="16"/>
          <w:szCs w:val="16"/>
          <w:b w:val="1"/>
          <w:bCs w:val="1"/>
          <w:color w:val="auto"/>
        </w:rPr>
        <w:t>2005 O</w:t>
      </w:r>
      <w:r>
        <w:rPr>
          <w:rFonts w:ascii="Arial" w:cs="Arial" w:eastAsia="Arial" w:hAnsi="Arial"/>
          <w:sz w:val="10"/>
          <w:szCs w:val="10"/>
          <w:b w:val="1"/>
          <w:bCs w:val="1"/>
          <w:color w:val="auto"/>
        </w:rPr>
        <w:t>MNIBUS</w:t>
      </w:r>
      <w:r>
        <w:rPr>
          <w:rFonts w:ascii="Arial" w:cs="Arial" w:eastAsia="Arial" w:hAnsi="Arial"/>
          <w:sz w:val="16"/>
          <w:szCs w:val="16"/>
          <w:b w:val="1"/>
          <w:bCs w:val="1"/>
          <w:color w:val="auto"/>
        </w:rPr>
        <w:t xml:space="preserve"> I</w:t>
      </w:r>
      <w:r>
        <w:rPr>
          <w:rFonts w:ascii="Arial" w:cs="Arial" w:eastAsia="Arial" w:hAnsi="Arial"/>
          <w:sz w:val="10"/>
          <w:szCs w:val="10"/>
          <w:b w:val="1"/>
          <w:bCs w:val="1"/>
          <w:color w:val="auto"/>
        </w:rPr>
        <w:t>NCENTIVE</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Restricted Stock Award Agreement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SECTION 1. GRANT OF RESTRICTED STOCK</w:t>
      </w:r>
    </w:p>
    <w:p>
      <w:pPr>
        <w:spacing w:after="0" w:line="86" w:lineRule="exact"/>
        <w:rPr>
          <w:sz w:val="20"/>
          <w:szCs w:val="20"/>
          <w:color w:val="auto"/>
        </w:rPr>
      </w:pPr>
    </w:p>
    <w:p>
      <w:pPr>
        <w:ind w:left="1" w:right="80" w:firstLine="162"/>
        <w:spacing w:after="0" w:line="283" w:lineRule="auto"/>
        <w:tabs>
          <w:tab w:leader="none" w:pos="351"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Restricted Stock. </w:t>
      </w:r>
      <w:r>
        <w:rPr>
          <w:rFonts w:ascii="Arial" w:cs="Arial" w:eastAsia="Arial" w:hAnsi="Arial"/>
          <w:sz w:val="13"/>
          <w:szCs w:val="13"/>
          <w:color w:val="auto"/>
        </w:rPr>
        <w:t>On the terms and conditions set forth in the Notice of Restricted Stock Grant, which is incorporated by reference, and this Restricted Stock Award Agreement (the “Agreement”),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grants to the Grantee on the Effective Date of Grant the Shares of Restricted Stock set forth in the Notice of Restricted Stock Grant.</w:t>
      </w:r>
    </w:p>
    <w:p>
      <w:pPr>
        <w:spacing w:after="0" w:line="40" w:lineRule="exact"/>
        <w:rPr>
          <w:rFonts w:ascii="Arial" w:cs="Arial" w:eastAsia="Arial" w:hAnsi="Arial"/>
          <w:sz w:val="13"/>
          <w:szCs w:val="13"/>
          <w:b w:val="1"/>
          <w:bCs w:val="1"/>
          <w:color w:val="auto"/>
        </w:rPr>
      </w:pPr>
    </w:p>
    <w:p>
      <w:pPr>
        <w:ind w:left="1" w:firstLine="162"/>
        <w:spacing w:after="0" w:line="267" w:lineRule="auto"/>
        <w:tabs>
          <w:tab w:leader="none" w:pos="358"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Plan and Defined Terms. </w:t>
      </w:r>
      <w:r>
        <w:rPr>
          <w:rFonts w:ascii="Arial" w:cs="Arial" w:eastAsia="Arial" w:hAnsi="Arial"/>
          <w:sz w:val="13"/>
          <w:szCs w:val="13"/>
          <w:color w:val="auto"/>
        </w:rPr>
        <w:t>The Restricted Stock is granted pursuant to the Plan. All terms, provisions, and conditions applicable to the Restricted Stock set forth in the Plan and not set forth herein are hereby</w:t>
      </w:r>
      <w:r>
        <w:rPr>
          <w:rFonts w:ascii="Arial" w:cs="Arial" w:eastAsia="Arial" w:hAnsi="Arial"/>
          <w:sz w:val="13"/>
          <w:szCs w:val="13"/>
          <w:b w:val="1"/>
          <w:bCs w:val="1"/>
          <w:color w:val="auto"/>
        </w:rPr>
        <w:t xml:space="preserve"> </w:t>
      </w:r>
      <w:r>
        <w:rPr>
          <w:rFonts w:ascii="Arial" w:cs="Arial" w:eastAsia="Arial" w:hAnsi="Arial"/>
          <w:sz w:val="13"/>
          <w:szCs w:val="13"/>
          <w:color w:val="auto"/>
        </w:rPr>
        <w:t>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SECTION 2. FORFEITURE AND TRANSFER RESTRICTIONS</w:t>
      </w:r>
    </w:p>
    <w:p>
      <w:pPr>
        <w:spacing w:after="0" w:line="86" w:lineRule="exact"/>
        <w:rPr>
          <w:sz w:val="20"/>
          <w:szCs w:val="20"/>
          <w:color w:val="auto"/>
        </w:rPr>
      </w:pPr>
    </w:p>
    <w:p>
      <w:pPr>
        <w:ind w:left="341" w:hanging="178"/>
        <w:spacing w:after="0"/>
        <w:tabs>
          <w:tab w:leader="none" w:pos="341" w:val="left"/>
        </w:tabs>
        <w:numPr>
          <w:ilvl w:val="1"/>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Forfeiture Restrictions. </w:t>
      </w:r>
      <w:r>
        <w:rPr>
          <w:rFonts w:ascii="Arial" w:cs="Arial" w:eastAsia="Arial" w:hAnsi="Arial"/>
          <w:sz w:val="12"/>
          <w:szCs w:val="12"/>
          <w:color w:val="auto"/>
        </w:rPr>
        <w:t>If the Grantee’s employment or service as a Director or Consultant, as the case may be, is terminated for any reason other than (i) death, (ii) Disability (as defined below) or</w:t>
      </w:r>
    </w:p>
    <w:p>
      <w:pPr>
        <w:spacing w:after="0" w:line="30" w:lineRule="exact"/>
        <w:rPr>
          <w:rFonts w:ascii="Arial" w:cs="Arial" w:eastAsia="Arial" w:hAnsi="Arial"/>
          <w:sz w:val="12"/>
          <w:szCs w:val="12"/>
          <w:b w:val="1"/>
          <w:bCs w:val="1"/>
          <w:color w:val="auto"/>
        </w:rPr>
      </w:pPr>
    </w:p>
    <w:p>
      <w:pPr>
        <w:ind w:left="1" w:hanging="1"/>
        <w:spacing w:after="0" w:line="284" w:lineRule="auto"/>
        <w:tabs>
          <w:tab w:leader="none" w:pos="231" w:val="left"/>
        </w:tabs>
        <w:numPr>
          <w:ilvl w:val="0"/>
          <w:numId w:val="76"/>
        </w:numPr>
        <w:rPr>
          <w:rFonts w:ascii="Arial" w:cs="Arial" w:eastAsia="Arial" w:hAnsi="Arial"/>
          <w:sz w:val="12"/>
          <w:szCs w:val="12"/>
          <w:color w:val="auto"/>
        </w:rPr>
      </w:pPr>
      <w:r>
        <w:rPr>
          <w:rFonts w:ascii="Arial" w:cs="Arial" w:eastAsia="Arial" w:hAnsi="Arial"/>
          <w:sz w:val="12"/>
          <w:szCs w:val="12"/>
          <w:color w:val="auto"/>
        </w:rPr>
        <w:t>termination by the Company and its Subsidiaries without Cause (as defined below), the Grantee shall, for no consideration, forfeit to the Company the Shares of Restricted Stock to the extent such Shares are subject to a Period of Restriction at the time of such termination. If the Grantee’s employment or service as a Director or Consultant, as the case may be, terminates due to the Grantee’s death or Disability, or is terminated by the Company and its Subsidiaries without Cause, while Shares of Restricted Stock are subject to a Period of Restriction, the Period of Restriction with respect to such Shares shall lapse, and the Shares shall vest and become free of the forfeiture and transfer restrictions described in this Section 2, on the date of the Grantee’s termination of employment or service.</w:t>
      </w:r>
    </w:p>
    <w:p>
      <w:pPr>
        <w:spacing w:after="0" w:line="47" w:lineRule="exact"/>
        <w:rPr>
          <w:rFonts w:ascii="Arial" w:cs="Arial" w:eastAsia="Arial" w:hAnsi="Arial"/>
          <w:sz w:val="12"/>
          <w:szCs w:val="12"/>
          <w:color w:val="auto"/>
        </w:rPr>
      </w:pPr>
    </w:p>
    <w:p>
      <w:pPr>
        <w:jc w:val="both"/>
        <w:ind w:left="1" w:right="120" w:firstLine="326"/>
        <w:spacing w:after="0" w:line="289" w:lineRule="auto"/>
        <w:tabs>
          <w:tab w:leader="none" w:pos="483" w:val="left"/>
        </w:tabs>
        <w:numPr>
          <w:ilvl w:val="2"/>
          <w:numId w:val="76"/>
        </w:numPr>
        <w:rPr>
          <w:rFonts w:ascii="Arial" w:cs="Arial" w:eastAsia="Arial" w:hAnsi="Arial"/>
          <w:sz w:val="12"/>
          <w:szCs w:val="12"/>
          <w:color w:val="auto"/>
        </w:rPr>
      </w:pPr>
      <w:r>
        <w:rPr>
          <w:rFonts w:ascii="Arial" w:cs="Arial" w:eastAsia="Arial" w:hAnsi="Arial"/>
          <w:sz w:val="12"/>
          <w:szCs w:val="12"/>
          <w:color w:val="auto"/>
        </w:rPr>
        <w:t>The term “Cause” shall have the meaning ascribed to such term in the Grantee’s employment agreement with the Company or any Subsidiary. If the Grantee’s employment agreement does not define the term “Cause,” or if the Grantee has not entered into an employment agreement with the Company or any Subsidiary, the term “Cause” shall mean (A) the willful engaging by the Grantee in misconduct that is demonstrably injurious to the Company or any Subsidiary (monetarily or otherwise), as determined by the Company in its sole discretion, (B) the Grantee’s conviction of, or pleading guilty or nolo contendere to, a felony involving moral turpitude, or (C) the Grantee’s violation of any confidentiality, non-solicitation, or non-competition covenant to which the Grantee is subject.</w:t>
      </w:r>
    </w:p>
    <w:p>
      <w:pPr>
        <w:spacing w:after="0" w:line="43" w:lineRule="exact"/>
        <w:rPr>
          <w:rFonts w:ascii="Arial" w:cs="Arial" w:eastAsia="Arial" w:hAnsi="Arial"/>
          <w:sz w:val="12"/>
          <w:szCs w:val="12"/>
          <w:color w:val="auto"/>
        </w:rPr>
      </w:pPr>
    </w:p>
    <w:p>
      <w:pPr>
        <w:ind w:left="1" w:right="160" w:firstLine="326"/>
        <w:spacing w:after="0" w:line="264" w:lineRule="auto"/>
        <w:tabs>
          <w:tab w:leader="none" w:pos="519" w:val="left"/>
        </w:tabs>
        <w:numPr>
          <w:ilvl w:val="2"/>
          <w:numId w:val="76"/>
        </w:numPr>
        <w:rPr>
          <w:rFonts w:ascii="Arial" w:cs="Arial" w:eastAsia="Arial" w:hAnsi="Arial"/>
          <w:sz w:val="13"/>
          <w:szCs w:val="13"/>
          <w:color w:val="auto"/>
        </w:rPr>
      </w:pPr>
      <w:r>
        <w:rPr>
          <w:rFonts w:ascii="Arial" w:cs="Arial" w:eastAsia="Arial" w:hAnsi="Arial"/>
          <w:sz w:val="13"/>
          <w:szCs w:val="13"/>
          <w:color w:val="auto"/>
        </w:rPr>
        <w:t>The term “Disability” shall have the meaning ascribed to such term in the Grantee’s employment agreement with the Company or any Subsidiary. If the Grantee’s employment agreement does not define the term “Disability,” or if the Grantee has not entered into an employment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8" w:right="219" w:bottom="1440" w:gutter="0" w:footer="0" w:header="0"/>
        </w:sectPr>
      </w:pPr>
    </w:p>
    <w:bookmarkStart w:id="136" w:name="page137"/>
    <w:bookmarkEnd w:id="136"/>
    <w:p>
      <w:pPr>
        <w:ind w:right="80" w:firstLine="162"/>
        <w:spacing w:after="0" w:line="283" w:lineRule="auto"/>
        <w:tabs>
          <w:tab w:leader="none" w:pos="354" w:val="left"/>
        </w:tabs>
        <w:numPr>
          <w:ilvl w:val="1"/>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Transfer Restrictions. </w:t>
      </w:r>
      <w:r>
        <w:rPr>
          <w:rFonts w:ascii="Arial" w:cs="Arial" w:eastAsia="Arial" w:hAnsi="Arial"/>
          <w:sz w:val="13"/>
          <w:szCs w:val="13"/>
          <w:color w:val="auto"/>
        </w:rPr>
        <w:t>During the Period of Restriction, the Restricted Stock may not be sold, assigned, pledged, exchanged, hypothecated or otherwise transferred, encumbered or disposed of to the extent such</w:t>
      </w:r>
      <w:r>
        <w:rPr>
          <w:rFonts w:ascii="Arial" w:cs="Arial" w:eastAsia="Arial" w:hAnsi="Arial"/>
          <w:sz w:val="13"/>
          <w:szCs w:val="13"/>
          <w:b w:val="1"/>
          <w:bCs w:val="1"/>
          <w:color w:val="auto"/>
        </w:rPr>
        <w:t xml:space="preserve"> </w:t>
      </w:r>
      <w:r>
        <w:rPr>
          <w:rFonts w:ascii="Arial" w:cs="Arial" w:eastAsia="Arial" w:hAnsi="Arial"/>
          <w:sz w:val="13"/>
          <w:szCs w:val="13"/>
          <w:color w:val="auto"/>
        </w:rPr>
        <w:t>Shares are subject to a Period of Restriction.</w:t>
      </w:r>
    </w:p>
    <w:p>
      <w:pPr>
        <w:spacing w:after="0" w:line="40" w:lineRule="exact"/>
        <w:rPr>
          <w:rFonts w:ascii="Arial" w:cs="Arial" w:eastAsia="Arial" w:hAnsi="Arial"/>
          <w:sz w:val="13"/>
          <w:szCs w:val="13"/>
          <w:b w:val="1"/>
          <w:bCs w:val="1"/>
          <w:color w:val="auto"/>
        </w:rPr>
      </w:pPr>
    </w:p>
    <w:p>
      <w:pPr>
        <w:ind w:right="100" w:firstLine="162"/>
        <w:spacing w:after="0" w:line="283" w:lineRule="auto"/>
        <w:tabs>
          <w:tab w:leader="none" w:pos="342" w:val="left"/>
        </w:tabs>
        <w:numPr>
          <w:ilvl w:val="1"/>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Lapse of Restrictions. </w:t>
      </w:r>
      <w:r>
        <w:rPr>
          <w:rFonts w:ascii="Arial" w:cs="Arial" w:eastAsia="Arial" w:hAnsi="Arial"/>
          <w:sz w:val="13"/>
          <w:szCs w:val="13"/>
          <w:color w:val="auto"/>
        </w:rPr>
        <w:t>The Period of Restriction shall lapse as to the Restricted Stock in accordance with the Notice of Restricted Stock Grant. Subject to the terms of the Plan and Sections 2(d) and 4(b) hereof,</w:t>
      </w:r>
      <w:r>
        <w:rPr>
          <w:rFonts w:ascii="Arial" w:cs="Arial" w:eastAsia="Arial" w:hAnsi="Arial"/>
          <w:sz w:val="13"/>
          <w:szCs w:val="13"/>
          <w:b w:val="1"/>
          <w:bCs w:val="1"/>
          <w:color w:val="auto"/>
        </w:rPr>
        <w:t xml:space="preserve"> </w:t>
      </w:r>
      <w:r>
        <w:rPr>
          <w:rFonts w:ascii="Arial" w:cs="Arial" w:eastAsia="Arial" w:hAnsi="Arial"/>
          <w:sz w:val="13"/>
          <w:szCs w:val="13"/>
          <w:color w:val="auto"/>
        </w:rPr>
        <w:t>upon lapse of the Period of Restriction, the Grantee shall own the Shares that are subject to this Agreement free of all restrictions otherwise imposed by this Agreement.</w:t>
      </w:r>
    </w:p>
    <w:p>
      <w:pPr>
        <w:spacing w:after="0" w:line="40" w:lineRule="exact"/>
        <w:rPr>
          <w:rFonts w:ascii="Arial" w:cs="Arial" w:eastAsia="Arial" w:hAnsi="Arial"/>
          <w:sz w:val="13"/>
          <w:szCs w:val="13"/>
          <w:b w:val="1"/>
          <w:bCs w:val="1"/>
          <w:color w:val="auto"/>
        </w:rPr>
      </w:pPr>
    </w:p>
    <w:p>
      <w:pPr>
        <w:ind w:left="360" w:hanging="198"/>
        <w:spacing w:after="0"/>
        <w:tabs>
          <w:tab w:leader="none" w:pos="360" w:val="left"/>
        </w:tabs>
        <w:numPr>
          <w:ilvl w:val="1"/>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Holding Requirement Following Period of Restriction. </w:t>
      </w:r>
      <w:r>
        <w:rPr>
          <w:rFonts w:ascii="Arial" w:cs="Arial" w:eastAsia="Arial" w:hAnsi="Arial"/>
          <w:sz w:val="12"/>
          <w:szCs w:val="12"/>
          <w:color w:val="auto"/>
        </w:rPr>
        <w:t>If and when the Grantee is an Officer (as defined in Rule 16a-1(f) of the Exchange Act) or holds the title of President — Eastern Operations, President</w:t>
      </w:r>
    </w:p>
    <w:p>
      <w:pPr>
        <w:spacing w:after="0" w:line="30" w:lineRule="exact"/>
        <w:rPr>
          <w:rFonts w:ascii="Arial" w:cs="Arial" w:eastAsia="Arial" w:hAnsi="Arial"/>
          <w:sz w:val="12"/>
          <w:szCs w:val="12"/>
          <w:b w:val="1"/>
          <w:bCs w:val="1"/>
          <w:color w:val="auto"/>
        </w:rPr>
      </w:pPr>
    </w:p>
    <w:p>
      <w:pPr>
        <w:spacing w:after="0" w:line="256" w:lineRule="auto"/>
        <w:rPr>
          <w:rFonts w:ascii="Arial" w:cs="Arial" w:eastAsia="Arial" w:hAnsi="Arial"/>
          <w:sz w:val="12"/>
          <w:szCs w:val="12"/>
          <w:b w:val="1"/>
          <w:bCs w:val="1"/>
          <w:color w:val="auto"/>
        </w:rPr>
      </w:pPr>
      <w:r>
        <w:rPr>
          <w:rFonts w:ascii="Arial" w:cs="Arial" w:eastAsia="Arial" w:hAnsi="Arial"/>
          <w:sz w:val="13"/>
          <w:szCs w:val="13"/>
          <w:color w:val="auto"/>
        </w:rPr>
        <w:t>— Western Operations, President — Agency Operations, or Chief Legal Officer of Fidelity National Financial, Inc. during the six month period following the date the Shares vested, the Grantee may not sell, assign, pledge, exchange, hypothecate or otherwise transfer, encumber or dispose of fifty percent (50%) of any vested Shares of Restricted Stock during such six month period; provided, however, that this Section 2(d) shall not prohibit the Grantee from exchanging or otherwise disposing of Shares in connection with a Change in Control or other transaction in which Shares held by other Company shareholders are required to be exchanged or otherwise disposed.</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3. STOCK CERTIFICATES</w:t>
      </w:r>
    </w:p>
    <w:p>
      <w:pPr>
        <w:spacing w:after="0" w:line="90" w:lineRule="exact"/>
        <w:rPr>
          <w:sz w:val="20"/>
          <w:szCs w:val="20"/>
          <w:color w:val="auto"/>
        </w:rPr>
      </w:pPr>
    </w:p>
    <w:p>
      <w:pPr>
        <w:ind w:firstLine="157"/>
        <w:spacing w:after="0" w:line="289" w:lineRule="auto"/>
        <w:rPr>
          <w:sz w:val="20"/>
          <w:szCs w:val="20"/>
          <w:color w:val="auto"/>
        </w:rPr>
      </w:pPr>
      <w:r>
        <w:rPr>
          <w:rFonts w:ascii="Arial" w:cs="Arial" w:eastAsia="Arial" w:hAnsi="Arial"/>
          <w:sz w:val="12"/>
          <w:szCs w:val="12"/>
          <w:color w:val="auto"/>
        </w:rPr>
        <w:t>As soon as practicable following the grant of Restricted Stock, the Shares of Restricted Stock shall be registered in the Grantee’s name in a restricted book-entry account at the Company’s transfer agent. Grantee shall have no dividend rights but will have all other rights of a holder of Shares, including the right to vote (or to execute proxies for voting) such Shares. Unless otherwise determined by the Committee, if all or part of a dividend in respect of the Restricted Stock is paid in cash or Shares or any other security issued by the Company, such cash or Shares or other securities shall be held by the Company subject to the same restrictions as the Shares of Restricted Stock in respect of which the dividend was paid and shall be paid or distributed within thirty (30) days of vesting of such Shares of Restricted Stock.</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4. MISCELLANEOUS PROVISIONS</w:t>
      </w:r>
    </w:p>
    <w:p>
      <w:pPr>
        <w:spacing w:after="0" w:line="86" w:lineRule="exact"/>
        <w:rPr>
          <w:sz w:val="20"/>
          <w:szCs w:val="20"/>
          <w:color w:val="auto"/>
        </w:rPr>
      </w:pPr>
    </w:p>
    <w:p>
      <w:pPr>
        <w:ind w:right="240" w:firstLine="162"/>
        <w:spacing w:after="0" w:line="327" w:lineRule="auto"/>
        <w:tabs>
          <w:tab w:leader="none" w:pos="342" w:val="left"/>
        </w:tabs>
        <w:numPr>
          <w:ilvl w:val="0"/>
          <w:numId w:val="7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Acknowledgements. </w:t>
      </w:r>
      <w:r>
        <w:rPr>
          <w:rFonts w:ascii="Arial" w:cs="Arial" w:eastAsia="Arial" w:hAnsi="Arial"/>
          <w:sz w:val="12"/>
          <w:szCs w:val="12"/>
          <w:color w:val="auto"/>
        </w:rPr>
        <w:t>The Grantee hereby acknowledges that he or she has read and understands the terms of the Plan and this Agreement, and agrees to be bound by their respective terms and conditions. The</w:t>
      </w:r>
      <w:r>
        <w:rPr>
          <w:rFonts w:ascii="Arial" w:cs="Arial" w:eastAsia="Arial" w:hAnsi="Arial"/>
          <w:sz w:val="12"/>
          <w:szCs w:val="12"/>
          <w:b w:val="1"/>
          <w:bCs w:val="1"/>
          <w:color w:val="auto"/>
        </w:rPr>
        <w:t xml:space="preserve"> </w:t>
      </w:r>
      <w:r>
        <w:rPr>
          <w:rFonts w:ascii="Arial" w:cs="Arial" w:eastAsia="Arial" w:hAnsi="Arial"/>
          <w:sz w:val="12"/>
          <w:szCs w:val="12"/>
          <w:color w:val="auto"/>
        </w:rPr>
        <w:t>Grantee acknowledges that there may be tax consequences upon the vesting or transfer of the Restricted Stock and that the Grantee should consult an independent tax advisor.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37" w:name="page138"/>
    <w:bookmarkEnd w:id="137"/>
    <w:p>
      <w:pPr>
        <w:ind w:left="-20" w:firstLine="162"/>
        <w:spacing w:after="0" w:line="284" w:lineRule="auto"/>
        <w:tabs>
          <w:tab w:leader="none" w:pos="334"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Tax Withholding. </w:t>
      </w:r>
      <w:r>
        <w:rPr>
          <w:rFonts w:ascii="Arial" w:cs="Arial" w:eastAsia="Arial" w:hAnsi="Arial"/>
          <w:sz w:val="12"/>
          <w:szCs w:val="12"/>
          <w:color w:val="auto"/>
        </w:rPr>
        <w:t>Pursuant to Article 20 of the Plan, the Committee shall have the power and right to deduct or withhold, or require the Grantee to remit to the Company, an amount sufficient to satisfy any</w:t>
      </w:r>
      <w:r>
        <w:rPr>
          <w:rFonts w:ascii="Arial" w:cs="Arial" w:eastAsia="Arial" w:hAnsi="Arial"/>
          <w:sz w:val="12"/>
          <w:szCs w:val="12"/>
          <w:b w:val="1"/>
          <w:bCs w:val="1"/>
          <w:color w:val="auto"/>
        </w:rPr>
        <w:t xml:space="preserve"> </w:t>
      </w:r>
      <w:r>
        <w:rPr>
          <w:rFonts w:ascii="Arial" w:cs="Arial" w:eastAsia="Arial" w:hAnsi="Arial"/>
          <w:sz w:val="12"/>
          <w:szCs w:val="12"/>
          <w:color w:val="auto"/>
        </w:rPr>
        <w:t>federal, state and local taxes (including the Grantee’s FICA taxes)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Grantee’s FICA taxes) that could be imposed on the transaction, and, to the extent the Committee so permits, amounts in excess of the minimum statutory withholding to the extent it would not result in additional accounting expense. Such election shall be irrevocable, made in writing and signed by the Grantee, and shall be subject to any restrictions or limitations that the Committee, in its sole discretion, deems appropriate.</w:t>
      </w:r>
    </w:p>
    <w:p>
      <w:pPr>
        <w:spacing w:after="0" w:line="42" w:lineRule="exact"/>
        <w:rPr>
          <w:rFonts w:ascii="Arial" w:cs="Arial" w:eastAsia="Arial" w:hAnsi="Arial"/>
          <w:sz w:val="12"/>
          <w:szCs w:val="12"/>
          <w:b w:val="1"/>
          <w:bCs w:val="1"/>
          <w:color w:val="auto"/>
        </w:rPr>
      </w:pPr>
    </w:p>
    <w:p>
      <w:pPr>
        <w:ind w:left="-20" w:firstLine="162"/>
        <w:spacing w:after="0" w:line="283" w:lineRule="auto"/>
        <w:tabs>
          <w:tab w:leader="none" w:pos="322"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Ratification of Actions. </w:t>
      </w:r>
      <w:r>
        <w:rPr>
          <w:rFonts w:ascii="Arial" w:cs="Arial" w:eastAsia="Arial" w:hAnsi="Arial"/>
          <w:sz w:val="13"/>
          <w:szCs w:val="13"/>
          <w:color w:val="auto"/>
        </w:rPr>
        <w:t>By accepting this Agreement, the Grantee and each person claiming under or through the Grantee shall be conclusively deemed to have indicated the Grantee’s acceptance and ratification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and consent to, any action taken under the Plan or this Agreement and Notice of Restricted Stock Grant by the Company, the Board or the Committee.</w:t>
      </w:r>
    </w:p>
    <w:p>
      <w:pPr>
        <w:spacing w:after="0" w:line="40" w:lineRule="exact"/>
        <w:rPr>
          <w:rFonts w:ascii="Arial" w:cs="Arial" w:eastAsia="Arial" w:hAnsi="Arial"/>
          <w:sz w:val="13"/>
          <w:szCs w:val="13"/>
          <w:b w:val="1"/>
          <w:bCs w:val="1"/>
          <w:color w:val="auto"/>
        </w:rPr>
      </w:pPr>
    </w:p>
    <w:p>
      <w:pPr>
        <w:ind w:left="-20" w:right="40" w:firstLine="162"/>
        <w:spacing w:after="0" w:line="373" w:lineRule="auto"/>
        <w:tabs>
          <w:tab w:leader="none" w:pos="337" w:val="left"/>
        </w:tabs>
        <w:numPr>
          <w:ilvl w:val="0"/>
          <w:numId w:val="7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Notice. </w:t>
      </w:r>
      <w:r>
        <w:rPr>
          <w:rFonts w:ascii="Arial" w:cs="Arial" w:eastAsia="Arial" w:hAnsi="Arial"/>
          <w:sz w:val="11"/>
          <w:szCs w:val="11"/>
          <w:color w:val="auto"/>
        </w:rPr>
        <w:t>Any notice required by the terms of this Agreement shall be given in writing and shall be deemed effective upon personal delivery or upon deposit with the United States Postal Service, by registered or</w:t>
      </w:r>
      <w:r>
        <w:rPr>
          <w:rFonts w:ascii="Arial" w:cs="Arial" w:eastAsia="Arial" w:hAnsi="Arial"/>
          <w:sz w:val="11"/>
          <w:szCs w:val="11"/>
          <w:b w:val="1"/>
          <w:bCs w:val="1"/>
          <w:color w:val="auto"/>
        </w:rPr>
        <w:t xml:space="preserve"> </w:t>
      </w:r>
      <w:r>
        <w:rPr>
          <w:rFonts w:ascii="Arial" w:cs="Arial" w:eastAsia="Arial" w:hAnsi="Arial"/>
          <w:sz w:val="11"/>
          <w:szCs w:val="11"/>
          <w:color w:val="auto"/>
        </w:rPr>
        <w:t>certified mail, with postage and fees prepaid. Notice shall be addressed to the Company at its principal executive office and to the Grantee at the address that he or she most recently provided in writing to the Company.</w:t>
      </w:r>
    </w:p>
    <w:p>
      <w:pPr>
        <w:ind w:left="-20" w:right="80" w:firstLine="162"/>
        <w:spacing w:after="0" w:line="327" w:lineRule="auto"/>
        <w:tabs>
          <w:tab w:leader="none" w:pos="322"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Choice of Law. </w:t>
      </w:r>
      <w:r>
        <w:rPr>
          <w:rFonts w:ascii="Arial" w:cs="Arial" w:eastAsia="Arial" w:hAnsi="Arial"/>
          <w:sz w:val="12"/>
          <w:szCs w:val="12"/>
          <w:color w:val="auto"/>
        </w:rPr>
        <w:t>This Agreement and the Notice of Restricted Stock Grant shall be governed by, and construed in accordance with, the laws of Florida, without regard to any conflicts of law or choice of law rule</w:t>
      </w:r>
      <w:r>
        <w:rPr>
          <w:rFonts w:ascii="Arial" w:cs="Arial" w:eastAsia="Arial" w:hAnsi="Arial"/>
          <w:sz w:val="12"/>
          <w:szCs w:val="12"/>
          <w:b w:val="1"/>
          <w:bCs w:val="1"/>
          <w:color w:val="auto"/>
        </w:rPr>
        <w:t xml:space="preserve"> </w:t>
      </w:r>
      <w:r>
        <w:rPr>
          <w:rFonts w:ascii="Arial" w:cs="Arial" w:eastAsia="Arial" w:hAnsi="Arial"/>
          <w:sz w:val="12"/>
          <w:szCs w:val="12"/>
          <w:color w:val="auto"/>
        </w:rPr>
        <w:t>or principle that might otherwise cause the Plan, this Agreement or the Notice of Restricted Stock Grant to be governed by or construed in accordance with the substantive law of another jurisdiction.</w:t>
      </w:r>
    </w:p>
    <w:p>
      <w:pPr>
        <w:spacing w:after="0" w:line="17" w:lineRule="exact"/>
        <w:rPr>
          <w:rFonts w:ascii="Arial" w:cs="Arial" w:eastAsia="Arial" w:hAnsi="Arial"/>
          <w:sz w:val="12"/>
          <w:szCs w:val="12"/>
          <w:b w:val="1"/>
          <w:bCs w:val="1"/>
          <w:color w:val="auto"/>
        </w:rPr>
      </w:pPr>
    </w:p>
    <w:p>
      <w:pPr>
        <w:ind w:left="-20" w:firstLine="162"/>
        <w:spacing w:after="0" w:line="262" w:lineRule="auto"/>
        <w:tabs>
          <w:tab w:leader="none" w:pos="30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Arbitration. </w:t>
      </w:r>
      <w:r>
        <w:rPr>
          <w:rFonts w:ascii="Arial" w:cs="Arial" w:eastAsia="Arial" w:hAnsi="Arial"/>
          <w:sz w:val="13"/>
          <w:szCs w:val="13"/>
          <w:color w:val="auto"/>
        </w:rPr>
        <w:t>Subject to Article 3 of the Plan, any dispute or claim arising out of or relating to the Plan, this Agreement or the Notice of Restricted Stock Grant shall be settled by binding arbitration before a single</w:t>
      </w:r>
      <w:r>
        <w:rPr>
          <w:rFonts w:ascii="Arial" w:cs="Arial" w:eastAsia="Arial" w:hAnsi="Arial"/>
          <w:sz w:val="13"/>
          <w:szCs w:val="13"/>
          <w:b w:val="1"/>
          <w:bCs w:val="1"/>
          <w:color w:val="auto"/>
        </w:rPr>
        <w:t xml:space="preserve"> </w:t>
      </w:r>
      <w:r>
        <w:rPr>
          <w:rFonts w:ascii="Arial" w:cs="Arial" w:eastAsia="Arial" w:hAnsi="Arial"/>
          <w:sz w:val="13"/>
          <w:szCs w:val="13"/>
          <w:color w:val="auto"/>
        </w:rPr>
        <w:t>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54" w:lineRule="exact"/>
        <w:rPr>
          <w:rFonts w:ascii="Arial" w:cs="Arial" w:eastAsia="Arial" w:hAnsi="Arial"/>
          <w:sz w:val="13"/>
          <w:szCs w:val="13"/>
          <w:b w:val="1"/>
          <w:bCs w:val="1"/>
          <w:color w:val="auto"/>
        </w:rPr>
      </w:pPr>
    </w:p>
    <w:p>
      <w:pPr>
        <w:ind w:left="-20" w:right="60" w:firstLine="162"/>
        <w:spacing w:after="0" w:line="283" w:lineRule="auto"/>
        <w:tabs>
          <w:tab w:leader="none" w:pos="329"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Modification or Amendment. </w:t>
      </w:r>
      <w:r>
        <w:rPr>
          <w:rFonts w:ascii="Arial" w:cs="Arial" w:eastAsia="Arial" w:hAnsi="Arial"/>
          <w:sz w:val="13"/>
          <w:szCs w:val="13"/>
          <w:color w:val="auto"/>
        </w:rPr>
        <w:t>This Agreement may only be modified or amended by written agreement executed by the parties hereto; provided, however, that the adjustments permitted pursuant to Section 4.3</w:t>
      </w:r>
      <w:r>
        <w:rPr>
          <w:rFonts w:ascii="Arial" w:cs="Arial" w:eastAsia="Arial" w:hAnsi="Arial"/>
          <w:sz w:val="13"/>
          <w:szCs w:val="13"/>
          <w:b w:val="1"/>
          <w:bCs w:val="1"/>
          <w:color w:val="auto"/>
        </w:rPr>
        <w:t xml:space="preserve"> </w:t>
      </w:r>
      <w:r>
        <w:rPr>
          <w:rFonts w:ascii="Arial" w:cs="Arial" w:eastAsia="Arial" w:hAnsi="Arial"/>
          <w:sz w:val="13"/>
          <w:szCs w:val="13"/>
          <w:color w:val="auto"/>
        </w:rPr>
        <w:t>of the Plan may be made without such written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38" w:name="page139"/>
    <w:bookmarkEnd w:id="138"/>
    <w:p>
      <w:pPr>
        <w:ind w:left="-20" w:right="40" w:firstLine="162"/>
        <w:spacing w:after="0" w:line="283" w:lineRule="auto"/>
        <w:tabs>
          <w:tab w:leader="none" w:pos="337"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In the event any provision of this Agreement shall be held illegal or invalid for any reason, the illegality or invalidity shall not affect the remaining provisions of this Agreement, and this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construed and enforced as if such illegal or invalid provision had not been included.</w:t>
      </w:r>
    </w:p>
    <w:p>
      <w:pPr>
        <w:spacing w:after="0" w:line="40" w:lineRule="exact"/>
        <w:rPr>
          <w:rFonts w:ascii="Arial" w:cs="Arial" w:eastAsia="Arial" w:hAnsi="Arial"/>
          <w:sz w:val="13"/>
          <w:szCs w:val="13"/>
          <w:b w:val="1"/>
          <w:bCs w:val="1"/>
          <w:color w:val="auto"/>
        </w:rPr>
      </w:pPr>
    </w:p>
    <w:p>
      <w:pPr>
        <w:ind w:left="300" w:hanging="158"/>
        <w:spacing w:after="0"/>
        <w:tabs>
          <w:tab w:leader="none" w:pos="30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References to Plan. </w:t>
      </w:r>
      <w:r>
        <w:rPr>
          <w:rFonts w:ascii="Arial" w:cs="Arial" w:eastAsia="Arial" w:hAnsi="Arial"/>
          <w:sz w:val="13"/>
          <w:szCs w:val="13"/>
          <w:color w:val="auto"/>
        </w:rPr>
        <w:t>All references to the Plan (or to a Section or Article of the Plan) shall be deemed references to the Plan (or the Section or Article) as may be amended from time to time.</w:t>
      </w:r>
    </w:p>
    <w:p>
      <w:pPr>
        <w:spacing w:after="0" w:line="86" w:lineRule="exact"/>
        <w:rPr>
          <w:rFonts w:ascii="Arial" w:cs="Arial" w:eastAsia="Arial" w:hAnsi="Arial"/>
          <w:sz w:val="13"/>
          <w:szCs w:val="13"/>
          <w:b w:val="1"/>
          <w:bCs w:val="1"/>
          <w:color w:val="auto"/>
        </w:rPr>
      </w:pPr>
    </w:p>
    <w:p>
      <w:pPr>
        <w:ind w:left="-20" w:firstLine="162"/>
        <w:spacing w:after="0" w:line="283" w:lineRule="auto"/>
        <w:tabs>
          <w:tab w:leader="none" w:pos="307"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Section 409A Compliance. </w:t>
      </w:r>
      <w:r>
        <w:rPr>
          <w:rFonts w:ascii="Arial" w:cs="Arial" w:eastAsia="Arial" w:hAnsi="Arial"/>
          <w:sz w:val="13"/>
          <w:szCs w:val="13"/>
          <w:color w:val="auto"/>
        </w:rPr>
        <w:t>To the extent applicable, it is intended that the Plan and this Agreement comply with the requirements of Code Section 409A and any related regulations or other guidance promulgated</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such Section by the U.S. Department of the Treasury or the Internal Revenue Service and the Plan and the Award Agreement shall be interpreted accordingly.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40"/>
          </w:cols>
          <w:pgMar w:left="240" w:top="716" w:right="2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10.13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EMPLOYMENT AGREEMENT</w:t>
      </w:r>
    </w:p>
    <w:p>
      <w:pPr>
        <w:spacing w:after="0" w:line="75" w:lineRule="exact"/>
        <w:rPr>
          <w:sz w:val="20"/>
          <w:szCs w:val="20"/>
          <w:color w:val="auto"/>
        </w:rPr>
      </w:pPr>
    </w:p>
    <w:p>
      <w:pPr>
        <w:ind w:right="320" w:firstLine="161"/>
        <w:spacing w:after="0" w:line="283" w:lineRule="auto"/>
        <w:rPr>
          <w:sz w:val="20"/>
          <w:szCs w:val="20"/>
          <w:color w:val="auto"/>
        </w:rPr>
      </w:pPr>
      <w:r>
        <w:rPr>
          <w:rFonts w:ascii="Arial" w:cs="Arial" w:eastAsia="Arial" w:hAnsi="Arial"/>
          <w:sz w:val="13"/>
          <w:szCs w:val="13"/>
          <w:color w:val="auto"/>
        </w:rPr>
        <w:t xml:space="preserve">THIS AMENDMENT (the “Amendment”) is effective as of February 4, 2010 and amends the October 10, 2008 Amended and Restated Employment Agreement (the “Agreement”) by and between </w:t>
      </w:r>
      <w:r>
        <w:rPr>
          <w:rFonts w:ascii="Arial" w:cs="Arial" w:eastAsia="Arial" w:hAnsi="Arial"/>
          <w:sz w:val="13"/>
          <w:szCs w:val="13"/>
          <w:b w:val="1"/>
          <w:bCs w:val="1"/>
          <w:color w:val="auto"/>
        </w:rPr>
        <w:t>FIDELITY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NATIONAL FINANCIAL, INC., </w:t>
      </w:r>
      <w:r>
        <w:rPr>
          <w:rFonts w:ascii="Arial" w:cs="Arial" w:eastAsia="Arial" w:hAnsi="Arial"/>
          <w:sz w:val="13"/>
          <w:szCs w:val="13"/>
          <w:color w:val="auto"/>
        </w:rPr>
        <w:t>a Delaware corporation (the “Company”), and</w:t>
      </w:r>
      <w:r>
        <w:rPr>
          <w:rFonts w:ascii="Arial" w:cs="Arial" w:eastAsia="Arial" w:hAnsi="Arial"/>
          <w:sz w:val="13"/>
          <w:szCs w:val="13"/>
          <w:b w:val="1"/>
          <w:bCs w:val="1"/>
          <w:color w:val="auto"/>
        </w:rPr>
        <w:t xml:space="preserve"> ANTHONY J. PARK </w:t>
      </w:r>
      <w:r>
        <w:rPr>
          <w:rFonts w:ascii="Arial" w:cs="Arial" w:eastAsia="Arial" w:hAnsi="Arial"/>
          <w:sz w:val="13"/>
          <w:szCs w:val="13"/>
          <w:color w:val="auto"/>
        </w:rPr>
        <w:t>(the “Employee”) as follows: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Excise Taxes</w:t>
      </w:r>
      <w:r>
        <w:rPr>
          <w:rFonts w:ascii="Arial" w:cs="Arial" w:eastAsia="Arial" w:hAnsi="Arial"/>
          <w:sz w:val="13"/>
          <w:szCs w:val="13"/>
          <w:color w:val="auto"/>
        </w:rPr>
        <w:t>. Section 9 of the Agreement is replaced in its entirety with the following:</w:t>
      </w:r>
    </w:p>
    <w:p>
      <w:pPr>
        <w:spacing w:after="0" w:line="86" w:lineRule="exact"/>
        <w:rPr>
          <w:sz w:val="20"/>
          <w:szCs w:val="20"/>
          <w:color w:val="auto"/>
        </w:rPr>
      </w:pPr>
    </w:p>
    <w:p>
      <w:pPr>
        <w:ind w:left="220"/>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Excise Taxes</w:t>
      </w:r>
      <w:r>
        <w:rPr>
          <w:rFonts w:ascii="Arial" w:cs="Arial" w:eastAsia="Arial" w:hAnsi="Arial"/>
          <w:sz w:val="12"/>
          <w:szCs w:val="12"/>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49" w:lineRule="exact"/>
        <w:rPr>
          <w:sz w:val="20"/>
          <w:szCs w:val="20"/>
          <w:color w:val="auto"/>
        </w:rPr>
      </w:pPr>
    </w:p>
    <w:p>
      <w:pPr>
        <w:ind w:right="560" w:firstLine="162"/>
        <w:spacing w:after="0" w:line="276" w:lineRule="auto"/>
        <w:tabs>
          <w:tab w:leader="none" w:pos="295"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Definitions and Conflicts</w:t>
      </w:r>
      <w:r>
        <w:rPr>
          <w:rFonts w:ascii="Arial" w:cs="Arial" w:eastAsia="Arial" w:hAnsi="Arial"/>
          <w:sz w:val="13"/>
          <w:szCs w:val="13"/>
          <w:color w:val="auto"/>
        </w:rPr>
        <w:t>. All terms not specifically defined in this Amendment shall have the same meaning as in the Agreement. In the event of a conflict between the terms of this Amendment and the Agreement, this Amendment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have executed this Amendment to be effective as of the date first set forth above.</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By: /s/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263398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Its: Executive Vice President, General Counsel and</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Corporate Secretary</w:t>
      </w: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ANTHONY J. PARK</w:t>
      </w:r>
    </w:p>
    <w:p>
      <w:pPr>
        <w:spacing w:after="0" w:line="165" w:lineRule="exact"/>
        <w:rPr>
          <w:sz w:val="20"/>
          <w:szCs w:val="20"/>
          <w:color w:val="auto"/>
        </w:rPr>
      </w:pPr>
    </w:p>
    <w:p>
      <w:pPr>
        <w:jc w:val="center"/>
        <w:ind w:left="280"/>
        <w:spacing w:after="0"/>
        <w:rPr>
          <w:sz w:val="20"/>
          <w:szCs w:val="20"/>
          <w:color w:val="auto"/>
        </w:rPr>
      </w:pPr>
      <w:r>
        <w:rPr>
          <w:rFonts w:ascii="Arial" w:cs="Arial" w:eastAsia="Arial" w:hAnsi="Arial"/>
          <w:sz w:val="13"/>
          <w:szCs w:val="13"/>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279654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10.14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THIS AMENDED AND RESTATED EMPLOYMENT AGREEMENT (the “Agreement”) is effective as of July 2, 2008 (the “Effective Date”), by and between </w:t>
      </w:r>
      <w:r>
        <w:rPr>
          <w:rFonts w:ascii="Arial" w:cs="Arial" w:eastAsia="Arial" w:hAnsi="Arial"/>
          <w:sz w:val="12"/>
          <w:szCs w:val="12"/>
          <w:b w:val="1"/>
          <w:bCs w:val="1"/>
          <w:color w:val="auto"/>
        </w:rPr>
        <w:t>FIDELITY NATIONAL FINANCIAL, INC.</w:t>
      </w:r>
      <w:r>
        <w:rPr>
          <w:rFonts w:ascii="Arial" w:cs="Arial" w:eastAsia="Arial" w:hAnsi="Arial"/>
          <w:sz w:val="12"/>
          <w:szCs w:val="12"/>
          <w:color w:val="auto"/>
        </w:rPr>
        <w:t>, a</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Delaware corporation (the “Company”), and </w:t>
      </w:r>
      <w:r>
        <w:rPr>
          <w:rFonts w:ascii="Arial" w:cs="Arial" w:eastAsia="Arial" w:hAnsi="Arial"/>
          <w:sz w:val="13"/>
          <w:szCs w:val="13"/>
          <w:b w:val="1"/>
          <w:bCs w:val="1"/>
          <w:color w:val="auto"/>
        </w:rPr>
        <w:t>BRENT B. BICKETT</w:t>
      </w:r>
      <w:r>
        <w:rPr>
          <w:rFonts w:ascii="Arial" w:cs="Arial" w:eastAsia="Arial" w:hAnsi="Arial"/>
          <w:sz w:val="13"/>
          <w:szCs w:val="13"/>
          <w:color w:val="auto"/>
        </w:rPr>
        <w:t xml:space="preserve"> (the “Employee”). In consideration of the mutual covenants and agreements set forth herein, the parties agree as follows:</w:t>
      </w:r>
    </w:p>
    <w:p>
      <w:pPr>
        <w:spacing w:after="0" w:line="79" w:lineRule="exact"/>
        <w:rPr>
          <w:sz w:val="20"/>
          <w:szCs w:val="20"/>
          <w:color w:val="auto"/>
        </w:rPr>
      </w:pPr>
    </w:p>
    <w:p>
      <w:pPr>
        <w:ind w:firstLine="162"/>
        <w:spacing w:after="0" w:line="264" w:lineRule="auto"/>
        <w:tabs>
          <w:tab w:leader="none" w:pos="295"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Purpose</w:t>
      </w:r>
      <w:r>
        <w:rPr>
          <w:rFonts w:ascii="Arial" w:cs="Arial" w:eastAsia="Arial" w:hAnsi="Arial"/>
          <w:sz w:val="13"/>
          <w:szCs w:val="13"/>
          <w:color w:val="auto"/>
        </w:rPr>
        <w:t>. This Agreement amends and restates, in its entirety, the obligations of the parties under the agreement between the Company and the Employee, dated as of October 24, 2006 (the “Prior Agreement”). The purpose of this Agreement is to recognize the Employee’s significant contributions to the overall financial performance and success of the Company and to provide a single, integrated document which shall provide the basis for the Employee’s continued employment by the Company.</w:t>
      </w:r>
    </w:p>
    <w:p>
      <w:pPr>
        <w:spacing w:after="0" w:line="57" w:lineRule="exact"/>
        <w:rPr>
          <w:rFonts w:ascii="Arial" w:cs="Arial" w:eastAsia="Arial" w:hAnsi="Arial"/>
          <w:sz w:val="13"/>
          <w:szCs w:val="13"/>
          <w:color w:val="auto"/>
        </w:rPr>
      </w:pPr>
    </w:p>
    <w:p>
      <w:pPr>
        <w:ind w:right="240" w:firstLine="162"/>
        <w:spacing w:after="0" w:line="285" w:lineRule="auto"/>
        <w:tabs>
          <w:tab w:leader="none" w:pos="295"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Employment and Duties</w:t>
      </w:r>
      <w:r>
        <w:rPr>
          <w:rFonts w:ascii="Arial" w:cs="Arial" w:eastAsia="Arial" w:hAnsi="Arial"/>
          <w:sz w:val="12"/>
          <w:szCs w:val="12"/>
          <w:color w:val="auto"/>
        </w:rPr>
        <w:t>. Subject to the terms and conditions of this Agreement, the Company employs the Employee to serve in an executive capacity as Executive Vice President, Corporate Finance. The Employee accepts such employment and agrees to undertake and discharge the duties, functions and responsibilities commensurate with the aforesaid position and such other duties and responsibilities as may be prescribed from time to time by the Chief Executive Officer (the “CEO”) or the Board of Directors of the Company (the “Board”). Except as expressly provided in Subsection 13(c), the Employee shall devote substantially all of his business time, attention and effort to the performance of his duties hereunder and shall not engage in any business, profession or occupation, for compensation or otherwise without the express written consent of the CEO, other than personal, personal investment, charitable, or civic activities or other matters that do not conflict with the Employee’s duties.</w:t>
      </w:r>
    </w:p>
    <w:p>
      <w:pPr>
        <w:spacing w:after="0" w:line="45" w:lineRule="exact"/>
        <w:rPr>
          <w:rFonts w:ascii="Arial" w:cs="Arial" w:eastAsia="Arial" w:hAnsi="Arial"/>
          <w:sz w:val="12"/>
          <w:szCs w:val="12"/>
          <w:color w:val="auto"/>
        </w:rPr>
      </w:pPr>
    </w:p>
    <w:p>
      <w:pPr>
        <w:ind w:right="20" w:firstLine="162"/>
        <w:spacing w:after="0" w:line="285" w:lineRule="auto"/>
        <w:tabs>
          <w:tab w:leader="none" w:pos="295"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45" w:lineRule="exact"/>
        <w:rPr>
          <w:rFonts w:ascii="Arial" w:cs="Arial" w:eastAsia="Arial" w:hAnsi="Arial"/>
          <w:sz w:val="12"/>
          <w:szCs w:val="12"/>
          <w:color w:val="auto"/>
        </w:rPr>
      </w:pPr>
    </w:p>
    <w:p>
      <w:pPr>
        <w:jc w:val="both"/>
        <w:ind w:right="200" w:firstLine="162"/>
        <w:spacing w:after="0" w:line="264" w:lineRule="auto"/>
        <w:tabs>
          <w:tab w:leader="none" w:pos="295"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Salary</w:t>
      </w:r>
      <w:r>
        <w:rPr>
          <w:rFonts w:ascii="Arial" w:cs="Arial" w:eastAsia="Arial" w:hAnsi="Arial"/>
          <w:sz w:val="13"/>
          <w:szCs w:val="13"/>
          <w:color w:val="auto"/>
        </w:rPr>
        <w:t>. During the Employment Term, the Company shall pay the Employee an annual base salary, before deducting all applicable withholdings, of no less than $168,500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color w:val="auto"/>
        </w:rPr>
        <w:t>of living increases and performance results (such annual base salary, including any increases pursuant to this Section 4, the “Annual Base Salary”).</w:t>
      </w:r>
    </w:p>
    <w:p>
      <w:pPr>
        <w:spacing w:after="0" w:line="86" w:lineRule="exact"/>
        <w:rPr>
          <w:sz w:val="20"/>
          <w:szCs w:val="20"/>
          <w:color w:val="auto"/>
        </w:rPr>
      </w:pPr>
    </w:p>
    <w:p>
      <w:pPr>
        <w:ind w:right="40" w:firstLine="162"/>
        <w:spacing w:after="0" w:line="276" w:lineRule="auto"/>
        <w:tabs>
          <w:tab w:leader="none" w:pos="295"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Other Compensation and Fringe Benefits</w:t>
      </w:r>
      <w:r>
        <w:rPr>
          <w:rFonts w:ascii="Arial" w:cs="Arial" w:eastAsia="Arial" w:hAnsi="Arial"/>
          <w:sz w:val="13"/>
          <w:szCs w:val="13"/>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49" w:lineRule="exact"/>
        <w:rPr>
          <w:rFonts w:ascii="Arial" w:cs="Arial" w:eastAsia="Arial" w:hAnsi="Arial"/>
          <w:sz w:val="13"/>
          <w:szCs w:val="13"/>
          <w:color w:val="auto"/>
        </w:rPr>
      </w:pPr>
    </w:p>
    <w:p>
      <w:pPr>
        <w:ind w:left="680" w:hanging="455"/>
        <w:spacing w:after="0"/>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standard Company benefits enjoyed by the Company’s other top executives as a group;</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medical and other insurance coverage (for the Employee and any covered dependents) provided by the Company to its other top executives as a group;</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supplemental disability insurance sufficient to provide two-thirds of the Employee’s pre-disability Annual Base Salary;</w:t>
      </w:r>
    </w:p>
    <w:p>
      <w:pPr>
        <w:spacing w:after="0" w:line="96" w:lineRule="exact"/>
        <w:rPr>
          <w:rFonts w:ascii="Arial" w:cs="Arial" w:eastAsia="Arial" w:hAnsi="Arial"/>
          <w:sz w:val="13"/>
          <w:szCs w:val="13"/>
          <w:color w:val="auto"/>
        </w:rPr>
      </w:pPr>
    </w:p>
    <w:p>
      <w:pPr>
        <w:ind w:left="680" w:right="40" w:hanging="455"/>
        <w:spacing w:after="0" w:line="282" w:lineRule="auto"/>
        <w:tabs>
          <w:tab w:leader="none" w:pos="680" w:val="left"/>
        </w:tabs>
        <w:numPr>
          <w:ilvl w:val="1"/>
          <w:numId w:val="83"/>
        </w:numPr>
        <w:rPr>
          <w:rFonts w:ascii="Arial" w:cs="Arial" w:eastAsia="Arial" w:hAnsi="Arial"/>
          <w:sz w:val="12"/>
          <w:szCs w:val="12"/>
          <w:color w:val="auto"/>
        </w:rPr>
      </w:pPr>
      <w:r>
        <w:rPr>
          <w:rFonts w:ascii="Arial" w:cs="Arial" w:eastAsia="Arial" w:hAnsi="Arial"/>
          <w:sz w:val="12"/>
          <w:szCs w:val="12"/>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150%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10"/>
          <w:szCs w:val="10"/>
          <w:color w:val="auto"/>
        </w:rPr>
        <w:t>th</w:t>
      </w:r>
      <w:r>
        <w:rPr>
          <w:rFonts w:ascii="Arial" w:cs="Arial" w:eastAsia="Arial" w:hAnsi="Arial"/>
          <w:sz w:val="12"/>
          <w:szCs w:val="12"/>
          <w:color w:val="auto"/>
        </w:rPr>
        <w:t xml:space="preserve">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59" w:lineRule="exact"/>
        <w:rPr>
          <w:rFonts w:ascii="Arial" w:cs="Arial" w:eastAsia="Arial" w:hAnsi="Arial"/>
          <w:sz w:val="12"/>
          <w:szCs w:val="12"/>
          <w:color w:val="auto"/>
        </w:rPr>
      </w:pPr>
    </w:p>
    <w:p>
      <w:pPr>
        <w:ind w:left="680" w:hanging="455"/>
        <w:spacing w:after="0"/>
        <w:tabs>
          <w:tab w:leader="none" w:pos="680" w:val="left"/>
        </w:tabs>
        <w:numPr>
          <w:ilvl w:val="1"/>
          <w:numId w:val="83"/>
        </w:numPr>
        <w:rPr>
          <w:rFonts w:ascii="Arial" w:cs="Arial" w:eastAsia="Arial" w:hAnsi="Arial"/>
          <w:sz w:val="13"/>
          <w:szCs w:val="13"/>
          <w:color w:val="auto"/>
        </w:rPr>
      </w:pPr>
      <w:r>
        <w:rPr>
          <w:rFonts w:ascii="Arial" w:cs="Arial" w:eastAsia="Arial" w:hAnsi="Arial"/>
          <w:sz w:val="13"/>
          <w:szCs w:val="13"/>
          <w:color w:val="auto"/>
        </w:rPr>
        <w:t>participation in the Company’s equity incentive plans.</w:t>
      </w:r>
    </w:p>
    <w:p>
      <w:pPr>
        <w:spacing w:after="0" w:line="86" w:lineRule="exact"/>
        <w:rPr>
          <w:rFonts w:ascii="Arial" w:cs="Arial" w:eastAsia="Arial" w:hAnsi="Arial"/>
          <w:sz w:val="13"/>
          <w:szCs w:val="13"/>
          <w:color w:val="auto"/>
        </w:rPr>
      </w:pPr>
    </w:p>
    <w:p>
      <w:pPr>
        <w:ind w:firstLine="162"/>
        <w:spacing w:after="0" w:line="371" w:lineRule="auto"/>
        <w:tabs>
          <w:tab w:leader="none" w:pos="295" w:val="left"/>
        </w:tabs>
        <w:numPr>
          <w:ilvl w:val="0"/>
          <w:numId w:val="83"/>
        </w:numPr>
        <w:rPr>
          <w:rFonts w:ascii="Arial" w:cs="Arial" w:eastAsia="Arial" w:hAnsi="Arial"/>
          <w:sz w:val="11"/>
          <w:szCs w:val="11"/>
          <w:color w:val="auto"/>
        </w:rPr>
      </w:pPr>
      <w:r>
        <w:rPr>
          <w:rFonts w:ascii="Arial" w:cs="Arial" w:eastAsia="Arial" w:hAnsi="Arial"/>
          <w:sz w:val="11"/>
          <w:szCs w:val="11"/>
          <w:u w:val="single" w:color="auto"/>
          <w:color w:val="auto"/>
        </w:rPr>
        <w:t>Vacation</w:t>
      </w:r>
      <w:r>
        <w:rPr>
          <w:rFonts w:ascii="Arial" w:cs="Arial" w:eastAsia="Arial" w:hAnsi="Arial"/>
          <w:sz w:val="11"/>
          <w:szCs w:val="11"/>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2" w:lineRule="exact"/>
        <w:rPr>
          <w:rFonts w:ascii="Arial" w:cs="Arial" w:eastAsia="Arial" w:hAnsi="Arial"/>
          <w:sz w:val="11"/>
          <w:szCs w:val="11"/>
          <w:color w:val="auto"/>
        </w:rPr>
      </w:pPr>
    </w:p>
    <w:p>
      <w:pPr>
        <w:ind w:right="200" w:firstLine="162"/>
        <w:spacing w:after="0" w:line="320" w:lineRule="auto"/>
        <w:tabs>
          <w:tab w:leader="none" w:pos="295"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t>Expense Reimbursement</w:t>
      </w:r>
      <w:r>
        <w:rPr>
          <w:rFonts w:ascii="Arial" w:cs="Arial" w:eastAsia="Arial" w:hAnsi="Arial"/>
          <w:sz w:val="12"/>
          <w:szCs w:val="12"/>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25" w:lineRule="exact"/>
        <w:rPr>
          <w:rFonts w:ascii="Arial" w:cs="Arial" w:eastAsia="Arial" w:hAnsi="Arial"/>
          <w:sz w:val="12"/>
          <w:szCs w:val="12"/>
          <w:color w:val="auto"/>
        </w:rPr>
      </w:pPr>
    </w:p>
    <w:p>
      <w:pPr>
        <w:ind w:left="300" w:hanging="138"/>
        <w:spacing w:after="0"/>
        <w:tabs>
          <w:tab w:leader="none" w:pos="30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The Company or the Employee may terminate the Employee’s employment at any time and for any reason in accordance with Subsection 8(a)</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0" w:right="33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auto"/>
        </w:rPr>
        <w:t>below. The Employment Term shall be deemed to have ended on the last day of the Employee’s employment. The Employment Term shall terminate automatically upon the Employee’s death.</w:t>
      </w:r>
    </w:p>
    <w:p>
      <w:pPr>
        <w:spacing w:after="0" w:line="86" w:lineRule="exact"/>
        <w:rPr>
          <w:sz w:val="20"/>
          <w:szCs w:val="20"/>
          <w:color w:val="auto"/>
        </w:rPr>
      </w:pPr>
    </w:p>
    <w:p>
      <w:pPr>
        <w:ind w:left="680" w:hanging="455"/>
        <w:spacing w:after="0" w:line="257" w:lineRule="auto"/>
        <w:tabs>
          <w:tab w:leader="none" w:pos="68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Notice of Termination</w:t>
      </w:r>
      <w:r>
        <w:rPr>
          <w:rFonts w:ascii="Arial" w:cs="Arial" w:eastAsia="Arial" w:hAnsi="Arial"/>
          <w:sz w:val="13"/>
          <w:szCs w:val="13"/>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69" w:lineRule="exact"/>
        <w:rPr>
          <w:rFonts w:ascii="Arial" w:cs="Arial" w:eastAsia="Arial" w:hAnsi="Arial"/>
          <w:sz w:val="13"/>
          <w:szCs w:val="13"/>
          <w:color w:val="auto"/>
        </w:rPr>
      </w:pPr>
    </w:p>
    <w:p>
      <w:pPr>
        <w:ind w:left="680" w:right="40" w:hanging="455"/>
        <w:spacing w:after="0" w:line="280" w:lineRule="auto"/>
        <w:tabs>
          <w:tab w:leader="none" w:pos="68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Date of Termination</w:t>
      </w:r>
      <w:r>
        <w:rPr>
          <w:rFonts w:ascii="Arial" w:cs="Arial" w:eastAsia="Arial" w:hAnsi="Arial"/>
          <w:sz w:val="13"/>
          <w:szCs w:val="13"/>
          <w:color w:val="auto"/>
        </w:rPr>
        <w:t>. For purposes of this Agreement, “Date of Termination” shall mean the date specified in the Notice of Termination (but in no event shall such date be earlier than the thirtieth (30</w:t>
      </w:r>
      <w:r>
        <w:rPr>
          <w:rFonts w:ascii="Arial" w:cs="Arial" w:eastAsia="Arial" w:hAnsi="Arial"/>
          <w:sz w:val="11"/>
          <w:szCs w:val="11"/>
          <w:color w:val="auto"/>
        </w:rPr>
        <w:t>th</w:t>
      </w:r>
      <w:r>
        <w:rPr>
          <w:rFonts w:ascii="Arial" w:cs="Arial" w:eastAsia="Arial" w:hAnsi="Arial"/>
          <w:sz w:val="13"/>
          <w:szCs w:val="13"/>
          <w:color w:val="auto"/>
        </w:rPr>
        <w:t>) day following the date the Notice of Termination is given) or the date of the Employee’s death.</w:t>
      </w:r>
    </w:p>
    <w:p>
      <w:pPr>
        <w:spacing w:after="0" w:line="56" w:lineRule="exact"/>
        <w:rPr>
          <w:rFonts w:ascii="Arial" w:cs="Arial" w:eastAsia="Arial" w:hAnsi="Arial"/>
          <w:sz w:val="13"/>
          <w:szCs w:val="13"/>
          <w:color w:val="auto"/>
        </w:rPr>
      </w:pPr>
    </w:p>
    <w:p>
      <w:pPr>
        <w:ind w:left="680" w:right="80" w:hanging="455"/>
        <w:spacing w:after="0" w:line="276" w:lineRule="auto"/>
        <w:tabs>
          <w:tab w:leader="none" w:pos="68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No Waiver</w:t>
      </w:r>
      <w:r>
        <w:rPr>
          <w:rFonts w:ascii="Arial" w:cs="Arial" w:eastAsia="Arial" w:hAnsi="Arial"/>
          <w:sz w:val="13"/>
          <w:szCs w:val="13"/>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59" w:lineRule="exact"/>
        <w:rPr>
          <w:rFonts w:ascii="Arial" w:cs="Arial" w:eastAsia="Arial" w:hAnsi="Arial"/>
          <w:sz w:val="13"/>
          <w:szCs w:val="13"/>
          <w:color w:val="auto"/>
        </w:rPr>
      </w:pPr>
    </w:p>
    <w:p>
      <w:pPr>
        <w:ind w:left="680" w:right="80" w:hanging="455"/>
        <w:spacing w:after="0" w:line="310" w:lineRule="auto"/>
        <w:tabs>
          <w:tab w:leader="none" w:pos="680" w:val="left"/>
        </w:tabs>
        <w:numPr>
          <w:ilvl w:val="0"/>
          <w:numId w:val="84"/>
        </w:numPr>
        <w:rPr>
          <w:rFonts w:ascii="Arial" w:cs="Arial" w:eastAsia="Arial" w:hAnsi="Arial"/>
          <w:sz w:val="11"/>
          <w:szCs w:val="11"/>
          <w:color w:val="auto"/>
        </w:rPr>
      </w:pPr>
      <w:r>
        <w:rPr>
          <w:rFonts w:ascii="Arial" w:cs="Arial" w:eastAsia="Arial" w:hAnsi="Arial"/>
          <w:sz w:val="11"/>
          <w:szCs w:val="11"/>
          <w:u w:val="single" w:color="auto"/>
          <w:color w:val="auto"/>
        </w:rPr>
        <w:t>Cause</w:t>
      </w:r>
      <w:r>
        <w:rPr>
          <w:rFonts w:ascii="Arial" w:cs="Arial" w:eastAsia="Arial" w:hAnsi="Arial"/>
          <w:sz w:val="11"/>
          <w:szCs w:val="11"/>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failure to materially cooperate with or impeding an investigation authorized by the Board. The Employee’s termination for Cause shall be effective when and if a resolution is duly adopted by an affirmative vote of at least </w:t>
      </w:r>
      <w:r>
        <w:rPr>
          <w:rFonts w:ascii="Arial" w:cs="Arial" w:eastAsia="Arial" w:hAnsi="Arial"/>
          <w:sz w:val="6"/>
          <w:szCs w:val="6"/>
          <w:color w:val="auto"/>
        </w:rPr>
        <w:t>3</w:t>
      </w:r>
      <w:r>
        <w:rPr>
          <w:rFonts w:ascii="Arial" w:cs="Arial" w:eastAsia="Arial" w:hAnsi="Arial"/>
          <w:sz w:val="11"/>
          <w:szCs w:val="11"/>
          <w:color w:val="auto"/>
        </w:rPr>
        <w:t>/</w:t>
      </w:r>
      <w:r>
        <w:rPr>
          <w:rFonts w:ascii="Arial" w:cs="Arial" w:eastAsia="Arial" w:hAnsi="Arial"/>
          <w:sz w:val="6"/>
          <w:szCs w:val="6"/>
          <w:color w:val="auto"/>
        </w:rPr>
        <w:t>4</w:t>
      </w:r>
      <w:r>
        <w:rPr>
          <w:rFonts w:ascii="Arial" w:cs="Arial" w:eastAsia="Arial" w:hAnsi="Arial"/>
          <w:sz w:val="11"/>
          <w:szCs w:val="11"/>
          <w:color w:val="auto"/>
        </w:rPr>
        <w:t xml:space="preserve"> of the Board (less the Employee), stating that, in the good faith opinion of the Board, the Employee is guilty of the conduct described in the Notice of Termination and such conduct constitutes Cause under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Employee shall have been given reasonable opportunity (A) to cure any act or omission that constitutes Cause if capable of cure and (B), together with counsel, during the thirty (30) day period following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ind w:left="460"/>
        <w:spacing w:after="0"/>
        <w:rPr>
          <w:sz w:val="20"/>
          <w:szCs w:val="20"/>
          <w:color w:val="auto"/>
        </w:rPr>
      </w:pPr>
      <w:r>
        <w:rPr>
          <w:rFonts w:ascii="Arial" w:cs="Arial" w:eastAsia="Arial" w:hAnsi="Arial"/>
          <w:sz w:val="13"/>
          <w:szCs w:val="13"/>
          <w:color w:val="auto"/>
        </w:rPr>
        <w:t>the receipt by the Employee of the Notice of Termination and prior to the adoption of the Board’s resolution, to be heard by the Board.</w:t>
      </w:r>
    </w:p>
    <w:p>
      <w:pPr>
        <w:spacing w:after="0" w:line="86" w:lineRule="exact"/>
        <w:rPr>
          <w:sz w:val="20"/>
          <w:szCs w:val="20"/>
          <w:color w:val="auto"/>
        </w:rPr>
      </w:pPr>
    </w:p>
    <w:p>
      <w:pPr>
        <w:ind w:left="460" w:right="200" w:hanging="455"/>
        <w:spacing w:after="0" w:line="276" w:lineRule="auto"/>
        <w:tabs>
          <w:tab w:leader="none" w:pos="46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For purposes of this Agreement, a termination based upon “Disability” means a termination by the Company based upon the Employee’s entitlement to long-term disability benefits under the Company’s long-term disability plan or policy, as the case may be, as in effect on the Date of Termination.</w:t>
      </w:r>
    </w:p>
    <w:p>
      <w:pPr>
        <w:spacing w:after="0" w:line="59" w:lineRule="exact"/>
        <w:rPr>
          <w:rFonts w:ascii="Arial" w:cs="Arial" w:eastAsia="Arial" w:hAnsi="Arial"/>
          <w:sz w:val="13"/>
          <w:szCs w:val="13"/>
          <w:color w:val="auto"/>
        </w:rPr>
      </w:pPr>
    </w:p>
    <w:p>
      <w:pPr>
        <w:ind w:left="460" w:right="180" w:hanging="455"/>
        <w:spacing w:after="0" w:line="276" w:lineRule="auto"/>
        <w:tabs>
          <w:tab w:leader="none" w:pos="46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Good Reason</w:t>
      </w:r>
      <w:r>
        <w:rPr>
          <w:rFonts w:ascii="Arial" w:cs="Arial" w:eastAsia="Arial" w:hAnsi="Arial"/>
          <w:sz w:val="13"/>
          <w:szCs w:val="13"/>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49" w:lineRule="exact"/>
        <w:rPr>
          <w:rFonts w:ascii="Arial" w:cs="Arial" w:eastAsia="Arial" w:hAnsi="Arial"/>
          <w:sz w:val="13"/>
          <w:szCs w:val="13"/>
          <w:color w:val="auto"/>
        </w:rPr>
      </w:pPr>
    </w:p>
    <w:p>
      <w:pPr>
        <w:ind w:left="680" w:hanging="449"/>
        <w:spacing w:after="0"/>
        <w:tabs>
          <w:tab w:leader="none" w:pos="68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 material diminution in the Employee’s position or title, or the assignment of duties to the Employee that are materially inconsistent with the Employee’s position or title;</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 material diminution in the Employee’s Annual Base Salary or Annual Bonus Opportunity;</w:t>
      </w:r>
    </w:p>
    <w:p>
      <w:pPr>
        <w:spacing w:after="0" w:line="96" w:lineRule="exact"/>
        <w:rPr>
          <w:rFonts w:ascii="Arial" w:cs="Arial" w:eastAsia="Arial" w:hAnsi="Arial"/>
          <w:sz w:val="13"/>
          <w:szCs w:val="13"/>
          <w:color w:val="auto"/>
        </w:rPr>
      </w:pPr>
    </w:p>
    <w:p>
      <w:pPr>
        <w:ind w:left="680" w:hanging="449"/>
        <w:spacing w:after="0" w:line="282" w:lineRule="auto"/>
        <w:tabs>
          <w:tab w:leader="none" w:pos="680" w:val="left"/>
        </w:tabs>
        <w:numPr>
          <w:ilvl w:val="1"/>
          <w:numId w:val="85"/>
        </w:numPr>
        <w:rPr>
          <w:rFonts w:ascii="Arial" w:cs="Arial" w:eastAsia="Arial" w:hAnsi="Arial"/>
          <w:sz w:val="12"/>
          <w:szCs w:val="12"/>
          <w:color w:val="auto"/>
        </w:rPr>
      </w:pPr>
      <w:r>
        <w:rPr>
          <w:rFonts w:ascii="Arial" w:cs="Arial" w:eastAsia="Arial" w:hAnsi="Arial"/>
          <w:sz w:val="12"/>
          <w:szCs w:val="12"/>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2"/>
          <w:szCs w:val="12"/>
          <w:i w:val="1"/>
          <w:iCs w:val="1"/>
          <w:color w:val="auto"/>
        </w:rPr>
        <w:t>e.g.</w:t>
      </w:r>
      <w:r>
        <w:rPr>
          <w:rFonts w:ascii="Arial" w:cs="Arial" w:eastAsia="Arial" w:hAnsi="Arial"/>
          <w:sz w:val="12"/>
          <w:szCs w:val="12"/>
          <w:color w:val="auto"/>
        </w:rPr>
        <w:t>, the Company has determined that a change in the department or functional group over which the Employee has managerial authority would constitute such a material adverse change); (B) a material adverse change in the position to whom the Employee reports (including any requirement that the Employee report to a corporate officer or employee instead of reporting directly to the CEO)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Arial" w:cs="Arial" w:eastAsia="Arial" w:hAnsi="Arial"/>
          <w:sz w:val="12"/>
          <w:szCs w:val="12"/>
          <w:i w:val="1"/>
          <w:iCs w:val="1"/>
          <w:color w:val="auto"/>
        </w:rPr>
        <w:t>e.g.</w:t>
      </w:r>
      <w:r>
        <w:rPr>
          <w:rFonts w:ascii="Arial" w:cs="Arial" w:eastAsia="Arial" w:hAnsi="Arial"/>
          <w:sz w:val="12"/>
          <w:szCs w:val="12"/>
          <w:color w:val="auto"/>
        </w:rPr>
        <w:t>, the Company has determined that a relocation of more than thirty-five (35) miles would constitute such a material change); or</w:t>
      </w:r>
    </w:p>
    <w:p>
      <w:pPr>
        <w:spacing w:after="0" w:line="59" w:lineRule="exact"/>
        <w:rPr>
          <w:rFonts w:ascii="Arial" w:cs="Arial" w:eastAsia="Arial" w:hAnsi="Arial"/>
          <w:sz w:val="12"/>
          <w:szCs w:val="12"/>
          <w:color w:val="auto"/>
        </w:rPr>
      </w:pPr>
    </w:p>
    <w:p>
      <w:pPr>
        <w:ind w:left="680" w:hanging="449"/>
        <w:spacing w:after="0"/>
        <w:tabs>
          <w:tab w:leader="none" w:pos="68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 material breach by the Company of any of its obligations under this Agreement.</w:t>
      </w:r>
    </w:p>
    <w:p>
      <w:pPr>
        <w:spacing w:after="0" w:line="86" w:lineRule="exact"/>
        <w:rPr>
          <w:sz w:val="20"/>
          <w:szCs w:val="20"/>
          <w:color w:val="auto"/>
        </w:rPr>
      </w:pPr>
    </w:p>
    <w:p>
      <w:pPr>
        <w:jc w:val="both"/>
        <w:ind w:left="240" w:right="60"/>
        <w:spacing w:after="0" w:line="264" w:lineRule="auto"/>
        <w:rPr>
          <w:sz w:val="20"/>
          <w:szCs w:val="20"/>
          <w:color w:val="auto"/>
        </w:rPr>
      </w:pPr>
      <w:r>
        <w:rPr>
          <w:rFonts w:ascii="Arial" w:cs="Arial" w:eastAsia="Arial" w:hAnsi="Arial"/>
          <w:sz w:val="13"/>
          <w:szCs w:val="13"/>
          <w:color w:val="auto"/>
        </w:rPr>
        <w:t xml:space="preserve">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 respect to, any act or failure to act constituting Good Reason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event described above shall constitute Good Reason unless:</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44" w:name="page145"/>
    <w:bookmarkEnd w:id="144"/>
    <w:p>
      <w:pPr>
        <w:ind w:left="300" w:right="20" w:hanging="3"/>
        <w:spacing w:after="0" w:line="264" w:lineRule="auto"/>
        <w:tabs>
          <w:tab w:leader="none" w:pos="485" w:val="left"/>
        </w:tabs>
        <w:numPr>
          <w:ilvl w:val="3"/>
          <w:numId w:val="86"/>
        </w:numPr>
        <w:rPr>
          <w:rFonts w:ascii="Arial" w:cs="Arial" w:eastAsia="Arial" w:hAnsi="Arial"/>
          <w:sz w:val="13"/>
          <w:szCs w:val="13"/>
          <w:color w:val="auto"/>
        </w:rPr>
      </w:pPr>
      <w:r>
        <w:rPr>
          <w:rFonts w:ascii="Arial" w:cs="Arial" w:eastAsia="Arial" w:hAnsi="Arial"/>
          <w:sz w:val="13"/>
          <w:szCs w:val="13"/>
          <w:color w:val="auto"/>
        </w:rPr>
        <w:t>the Employee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the Employee’s Notice of Termination.</w:t>
      </w:r>
    </w:p>
    <w:p>
      <w:pPr>
        <w:spacing w:after="0" w:line="57" w:lineRule="exact"/>
        <w:rPr>
          <w:rFonts w:ascii="Arial" w:cs="Arial" w:eastAsia="Arial" w:hAnsi="Arial"/>
          <w:sz w:val="13"/>
          <w:szCs w:val="13"/>
          <w:color w:val="auto"/>
        </w:rPr>
      </w:pPr>
    </w:p>
    <w:p>
      <w:pPr>
        <w:ind w:left="140" w:hanging="138"/>
        <w:spacing w:after="0"/>
        <w:tabs>
          <w:tab w:leader="none" w:pos="140"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Obligations of the Company Upon Termination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0" w:right="100" w:hanging="455"/>
        <w:spacing w:after="0" w:line="276" w:lineRule="auto"/>
        <w:tabs>
          <w:tab w:leader="none" w:pos="520"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for a Reason Other than Cause, Death or Disability and Termination by the Employee for Good Reason</w:t>
      </w:r>
      <w:r>
        <w:rPr>
          <w:rFonts w:ascii="Arial" w:cs="Arial" w:eastAsia="Arial" w:hAnsi="Arial"/>
          <w:sz w:val="13"/>
          <w:szCs w:val="13"/>
          <w:color w:val="auto"/>
        </w:rPr>
        <w:t>. If the Employee’s employment is terminated by: (1) the Company for any reason other than Cause, Death or Disability; or (2) the Employee for Good Reason:</w:t>
      </w:r>
    </w:p>
    <w:p>
      <w:pPr>
        <w:spacing w:after="0" w:line="49" w:lineRule="exact"/>
        <w:rPr>
          <w:rFonts w:ascii="Arial" w:cs="Arial" w:eastAsia="Arial" w:hAnsi="Arial"/>
          <w:sz w:val="13"/>
          <w:szCs w:val="13"/>
          <w:color w:val="auto"/>
        </w:rPr>
      </w:pPr>
    </w:p>
    <w:p>
      <w:pPr>
        <w:ind w:left="740" w:hanging="449"/>
        <w:spacing w:after="0"/>
        <w:tabs>
          <w:tab w:leader="none" w:pos="740" w:val="left"/>
        </w:tabs>
        <w:numPr>
          <w:ilvl w:val="2"/>
          <w:numId w:val="87"/>
        </w:numPr>
        <w:rPr>
          <w:rFonts w:ascii="Arial" w:cs="Arial" w:eastAsia="Arial" w:hAnsi="Arial"/>
          <w:sz w:val="12"/>
          <w:szCs w:val="12"/>
          <w:color w:val="auto"/>
        </w:rPr>
      </w:pPr>
      <w:r>
        <w:rPr>
          <w:rFonts w:ascii="Arial" w:cs="Arial" w:eastAsia="Arial" w:hAnsi="Arial"/>
          <w:sz w:val="12"/>
          <w:szCs w:val="12"/>
          <w:color w:val="auto"/>
        </w:rPr>
        <w:t>the Company shall pay the Employee the following (collectively, the “Accrued Obligations”): (A) within five (5) business days after the Date of Termination, any earned but unpaid Annual Base Salary;</w:t>
      </w:r>
    </w:p>
    <w:p>
      <w:pPr>
        <w:spacing w:after="0" w:line="26" w:lineRule="exact"/>
        <w:rPr>
          <w:rFonts w:ascii="Arial" w:cs="Arial" w:eastAsia="Arial" w:hAnsi="Arial"/>
          <w:sz w:val="12"/>
          <w:szCs w:val="12"/>
          <w:color w:val="auto"/>
        </w:rPr>
      </w:pPr>
    </w:p>
    <w:p>
      <w:pPr>
        <w:ind w:left="740" w:right="40"/>
        <w:spacing w:after="0" w:line="307" w:lineRule="auto"/>
        <w:rPr>
          <w:rFonts w:ascii="Arial" w:cs="Arial" w:eastAsia="Arial" w:hAnsi="Arial"/>
          <w:sz w:val="12"/>
          <w:szCs w:val="12"/>
          <w:color w:val="auto"/>
        </w:rPr>
      </w:pPr>
      <w:r>
        <w:rPr>
          <w:rFonts w:ascii="Arial" w:cs="Arial" w:eastAsia="Arial" w:hAnsi="Arial"/>
          <w:sz w:val="12"/>
          <w:szCs w:val="12"/>
          <w:color w:val="auto"/>
        </w:rPr>
        <w:t>(B) within a reasonable time following submission of all applicable documentation, any expense reimbursement payments owed to the Employee for expenses incurred prior to the Date of Termination; and (C) no later than March 15</w:t>
      </w:r>
      <w:r>
        <w:rPr>
          <w:rFonts w:ascii="Arial" w:cs="Arial" w:eastAsia="Arial" w:hAnsi="Arial"/>
          <w:sz w:val="10"/>
          <w:szCs w:val="10"/>
          <w:color w:val="auto"/>
        </w:rPr>
        <w:t>th</w:t>
      </w:r>
      <w:r>
        <w:rPr>
          <w:rFonts w:ascii="Arial" w:cs="Arial" w:eastAsia="Arial" w:hAnsi="Arial"/>
          <w:sz w:val="12"/>
          <w:szCs w:val="12"/>
          <w:color w:val="auto"/>
        </w:rPr>
        <w:t xml:space="preserve"> of the year in which the Date of Termination occurs, any earned but unpaid Annual Bonus payments relating to the prior calendar year;</w:t>
      </w:r>
    </w:p>
    <w:p>
      <w:pPr>
        <w:spacing w:after="0" w:line="40" w:lineRule="exact"/>
        <w:rPr>
          <w:rFonts w:ascii="Arial" w:cs="Arial" w:eastAsia="Arial" w:hAnsi="Arial"/>
          <w:sz w:val="12"/>
          <w:szCs w:val="12"/>
          <w:color w:val="auto"/>
        </w:rPr>
      </w:pPr>
    </w:p>
    <w:p>
      <w:pPr>
        <w:ind w:left="740" w:right="20" w:hanging="449"/>
        <w:spacing w:after="0" w:line="290" w:lineRule="auto"/>
        <w:tabs>
          <w:tab w:leader="none" w:pos="740" w:val="left"/>
        </w:tabs>
        <w:numPr>
          <w:ilvl w:val="2"/>
          <w:numId w:val="87"/>
        </w:numPr>
        <w:rPr>
          <w:rFonts w:ascii="Arial" w:cs="Arial" w:eastAsia="Arial" w:hAnsi="Arial"/>
          <w:sz w:val="12"/>
          <w:szCs w:val="12"/>
          <w:color w:val="auto"/>
        </w:rPr>
      </w:pPr>
      <w:r>
        <w:rPr>
          <w:rFonts w:ascii="Arial" w:cs="Arial" w:eastAsia="Arial" w:hAnsi="Arial"/>
          <w:sz w:val="12"/>
          <w:szCs w:val="12"/>
          <w:color w:val="auto"/>
        </w:rPr>
        <w:t>the Company shall pay the Employee no later than March 15</w:t>
      </w:r>
      <w:r>
        <w:rPr>
          <w:rFonts w:ascii="Arial" w:cs="Arial" w:eastAsia="Arial" w:hAnsi="Arial"/>
          <w:sz w:val="10"/>
          <w:szCs w:val="10"/>
          <w:color w:val="auto"/>
        </w:rPr>
        <w:t>th</w:t>
      </w:r>
      <w:r>
        <w:rPr>
          <w:rFonts w:ascii="Arial" w:cs="Arial" w:eastAsia="Arial" w:hAnsi="Arial"/>
          <w:sz w:val="12"/>
          <w:szCs w:val="12"/>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50" w:lineRule="exact"/>
        <w:rPr>
          <w:rFonts w:ascii="Arial" w:cs="Arial" w:eastAsia="Arial" w:hAnsi="Arial"/>
          <w:sz w:val="12"/>
          <w:szCs w:val="12"/>
          <w:color w:val="auto"/>
        </w:rPr>
      </w:pPr>
    </w:p>
    <w:p>
      <w:pPr>
        <w:ind w:left="740" w:hanging="449"/>
        <w:spacing w:after="0" w:line="261" w:lineRule="auto"/>
        <w:tabs>
          <w:tab w:leader="none" w:pos="740" w:val="left"/>
        </w:tabs>
        <w:numPr>
          <w:ilvl w:val="2"/>
          <w:numId w:val="87"/>
        </w:numPr>
        <w:rPr>
          <w:rFonts w:ascii="Arial" w:cs="Arial" w:eastAsia="Arial" w:hAnsi="Arial"/>
          <w:sz w:val="13"/>
          <w:szCs w:val="13"/>
          <w:color w:val="auto"/>
        </w:rPr>
      </w:pPr>
      <w:r>
        <w:rPr>
          <w:rFonts w:ascii="Arial" w:cs="Arial" w:eastAsia="Arial" w:hAnsi="Arial"/>
          <w:sz w:val="13"/>
          <w:szCs w:val="13"/>
          <w:color w:val="auto"/>
        </w:rPr>
        <w:t>the Company shall pay the Employee, no later than the sixty-fifth (65</w:t>
      </w:r>
      <w:r>
        <w:rPr>
          <w:rFonts w:ascii="Arial" w:cs="Arial" w:eastAsia="Arial" w:hAnsi="Arial"/>
          <w:sz w:val="11"/>
          <w:szCs w:val="11"/>
          <w:color w:val="auto"/>
        </w:rPr>
        <w:t>th</w:t>
      </w:r>
      <w:r>
        <w:rPr>
          <w:rFonts w:ascii="Arial" w:cs="Arial" w:eastAsia="Arial" w:hAnsi="Arial"/>
          <w:sz w:val="13"/>
          <w:szCs w:val="13"/>
          <w:color w:val="auto"/>
        </w:rPr>
        <w:t>) calendar day after the Date of Termination, a lump-sum payment equal to 200% of the sum of: (A) the Employee’s Annual Base Salary in effect 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69" w:lineRule="exact"/>
        <w:rPr>
          <w:rFonts w:ascii="Arial" w:cs="Arial" w:eastAsia="Arial" w:hAnsi="Arial"/>
          <w:sz w:val="13"/>
          <w:szCs w:val="13"/>
          <w:color w:val="auto"/>
        </w:rPr>
      </w:pPr>
    </w:p>
    <w:p>
      <w:pPr>
        <w:ind w:left="740" w:hanging="449"/>
        <w:spacing w:after="0"/>
        <w:tabs>
          <w:tab w:leader="none" w:pos="740" w:val="left"/>
        </w:tabs>
        <w:numPr>
          <w:ilvl w:val="2"/>
          <w:numId w:val="87"/>
        </w:numPr>
        <w:rPr>
          <w:rFonts w:ascii="Arial" w:cs="Arial" w:eastAsia="Arial" w:hAnsi="Arial"/>
          <w:sz w:val="13"/>
          <w:szCs w:val="13"/>
          <w:color w:val="auto"/>
        </w:rPr>
      </w:pPr>
      <w:r>
        <w:rPr>
          <w:rFonts w:ascii="Arial" w:cs="Arial" w:eastAsia="Arial" w:hAnsi="Arial"/>
          <w:sz w:val="13"/>
          <w:szCs w:val="13"/>
          <w:color w:val="auto"/>
        </w:rPr>
        <w:t>all stock option, restricted stock and other equity-based incentive awards granted by the Company that were outstanding but not vested as of the</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45" w:name="page146"/>
    <w:bookmarkEnd w:id="145"/>
    <w:p>
      <w:pPr>
        <w:ind w:left="680" w:right="40"/>
        <w:spacing w:after="0" w:line="276" w:lineRule="auto"/>
        <w:rPr>
          <w:sz w:val="20"/>
          <w:szCs w:val="20"/>
          <w:color w:val="auto"/>
        </w:rPr>
      </w:pPr>
      <w:r>
        <w:rPr>
          <w:rFonts w:ascii="Arial" w:cs="Arial" w:eastAsia="Arial" w:hAnsi="Arial"/>
          <w:sz w:val="13"/>
          <w:szCs w:val="13"/>
          <w:color w:val="auto"/>
        </w:rPr>
        <w:t>Date of Termination shall become immediately vested and/or payable, as the case may be, unless the equity incentive awards are based upon satisfaction of performance criteria (not based solely on the passage of time); in which case, they will only vest pursuant to their express terms; and</w:t>
      </w:r>
    </w:p>
    <w:p>
      <w:pPr>
        <w:spacing w:after="0" w:line="49" w:lineRule="exact"/>
        <w:rPr>
          <w:sz w:val="20"/>
          <w:szCs w:val="20"/>
          <w:color w:val="auto"/>
        </w:rPr>
      </w:pPr>
    </w:p>
    <w:p>
      <w:pPr>
        <w:ind w:left="680" w:hanging="449"/>
        <w:spacing w:after="0"/>
        <w:tabs>
          <w:tab w:leader="none" w:pos="680" w:val="left"/>
        </w:tabs>
        <w:numPr>
          <w:ilvl w:val="1"/>
          <w:numId w:val="88"/>
        </w:numPr>
        <w:rPr>
          <w:rFonts w:ascii="Arial" w:cs="Arial" w:eastAsia="Arial" w:hAnsi="Arial"/>
          <w:sz w:val="13"/>
          <w:szCs w:val="13"/>
          <w:color w:val="auto"/>
        </w:rPr>
      </w:pPr>
      <w:r>
        <w:rPr>
          <w:rFonts w:ascii="Arial" w:cs="Arial" w:eastAsia="Arial" w:hAnsi="Arial"/>
          <w:sz w:val="13"/>
          <w:szCs w:val="13"/>
          <w:color w:val="auto"/>
        </w:rPr>
        <w:t>the Company shall provide the Employee with certain continued welfare benefits as follows:</w:t>
      </w:r>
    </w:p>
    <w:p>
      <w:pPr>
        <w:spacing w:after="0" w:line="86" w:lineRule="exact"/>
        <w:rPr>
          <w:rFonts w:ascii="Arial" w:cs="Arial" w:eastAsia="Arial" w:hAnsi="Arial"/>
          <w:sz w:val="13"/>
          <w:szCs w:val="13"/>
          <w:color w:val="auto"/>
        </w:rPr>
      </w:pPr>
    </w:p>
    <w:p>
      <w:pPr>
        <w:ind w:left="1140" w:hanging="447"/>
        <w:spacing w:after="0" w:line="285" w:lineRule="auto"/>
        <w:tabs>
          <w:tab w:leader="none" w:pos="1140" w:val="left"/>
        </w:tabs>
        <w:numPr>
          <w:ilvl w:val="2"/>
          <w:numId w:val="88"/>
        </w:numPr>
        <w:rPr>
          <w:rFonts w:ascii="Arial" w:cs="Arial" w:eastAsia="Arial" w:hAnsi="Arial"/>
          <w:sz w:val="12"/>
          <w:szCs w:val="12"/>
          <w:color w:val="auto"/>
        </w:rPr>
      </w:pPr>
      <w:r>
        <w:rPr>
          <w:rFonts w:ascii="Arial" w:cs="Arial" w:eastAsia="Arial" w:hAnsi="Arial"/>
          <w:sz w:val="12"/>
          <w:szCs w:val="12"/>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55" w:lineRule="exact"/>
        <w:rPr>
          <w:rFonts w:ascii="Arial" w:cs="Arial" w:eastAsia="Arial" w:hAnsi="Arial"/>
          <w:sz w:val="12"/>
          <w:szCs w:val="12"/>
          <w:color w:val="auto"/>
        </w:rPr>
      </w:pPr>
    </w:p>
    <w:p>
      <w:pPr>
        <w:ind w:left="1140" w:right="80" w:hanging="447"/>
        <w:spacing w:after="0" w:line="285" w:lineRule="auto"/>
        <w:tabs>
          <w:tab w:leader="none" w:pos="1140" w:val="left"/>
        </w:tabs>
        <w:numPr>
          <w:ilvl w:val="2"/>
          <w:numId w:val="88"/>
        </w:numPr>
        <w:rPr>
          <w:rFonts w:ascii="Arial" w:cs="Arial" w:eastAsia="Arial" w:hAnsi="Arial"/>
          <w:sz w:val="12"/>
          <w:szCs w:val="12"/>
          <w:color w:val="auto"/>
        </w:rPr>
      </w:pPr>
      <w:r>
        <w:rPr>
          <w:rFonts w:ascii="Arial" w:cs="Arial" w:eastAsia="Arial" w:hAnsi="Arial"/>
          <w:sz w:val="12"/>
          <w:szCs w:val="12"/>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 dental COBRA premiums based on the level of coverage in effect for the Employee (</w:t>
      </w:r>
      <w:r>
        <w:rPr>
          <w:rFonts w:ascii="Arial" w:cs="Arial" w:eastAsia="Arial" w:hAnsi="Arial"/>
          <w:sz w:val="12"/>
          <w:szCs w:val="12"/>
          <w:i w:val="1"/>
          <w:iCs w:val="1"/>
          <w:color w:val="auto"/>
        </w:rPr>
        <w:t>e.g.</w:t>
      </w:r>
      <w:r>
        <w:rPr>
          <w:rFonts w:ascii="Arial" w:cs="Arial" w:eastAsia="Arial" w:hAnsi="Arial"/>
          <w:sz w:val="12"/>
          <w:szCs w:val="12"/>
          <w:color w:val="auto"/>
        </w:rPr>
        <w:t>, employee only or family coverage) on the Date of Termination.</w:t>
      </w:r>
    </w:p>
    <w:p>
      <w:pPr>
        <w:spacing w:after="0" w:line="45" w:lineRule="exact"/>
        <w:rPr>
          <w:rFonts w:ascii="Arial" w:cs="Arial" w:eastAsia="Arial" w:hAnsi="Arial"/>
          <w:sz w:val="12"/>
          <w:szCs w:val="12"/>
          <w:color w:val="auto"/>
        </w:rPr>
      </w:pPr>
    </w:p>
    <w:p>
      <w:pPr>
        <w:ind w:left="460" w:right="380" w:hanging="455"/>
        <w:spacing w:after="0" w:line="276" w:lineRule="auto"/>
        <w:tabs>
          <w:tab w:leader="none" w:pos="460"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for Cause and by the Employee without Good Reason</w:t>
      </w:r>
      <w:r>
        <w:rPr>
          <w:rFonts w:ascii="Arial" w:cs="Arial" w:eastAsia="Arial" w:hAnsi="Arial"/>
          <w:sz w:val="13"/>
          <w:szCs w:val="13"/>
          <w:color w:val="auto"/>
        </w:rPr>
        <w:t>. If the Employee’s employment is terminated (i) by the Company for Cause or (ii) by the Employee without Good Reason, the Company’s only obligation under this Agreement shall be payment of any Accrued Obligations.</w:t>
      </w:r>
    </w:p>
    <w:p>
      <w:pPr>
        <w:spacing w:after="0" w:line="59" w:lineRule="exact"/>
        <w:rPr>
          <w:rFonts w:ascii="Arial" w:cs="Arial" w:eastAsia="Arial" w:hAnsi="Arial"/>
          <w:sz w:val="13"/>
          <w:szCs w:val="13"/>
          <w:color w:val="auto"/>
        </w:rPr>
      </w:pPr>
    </w:p>
    <w:p>
      <w:pPr>
        <w:ind w:left="460" w:hanging="455"/>
        <w:spacing w:after="0"/>
        <w:tabs>
          <w:tab w:leader="none" w:pos="460"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Termination due to Death or Disability</w:t>
      </w:r>
      <w:r>
        <w:rPr>
          <w:rFonts w:ascii="Arial" w:cs="Arial" w:eastAsia="Arial" w:hAnsi="Arial"/>
          <w:sz w:val="13"/>
          <w:szCs w:val="13"/>
          <w:color w:val="auto"/>
        </w:rPr>
        <w:t>. If the Employee’s employment is terminated due to death or Disability, the Company shall pay the Employee (or to</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46" w:name="page147"/>
    <w:bookmarkEnd w:id="146"/>
    <w:p>
      <w:pPr>
        <w:ind w:left="460" w:right="200"/>
        <w:spacing w:after="0" w:line="264" w:lineRule="auto"/>
        <w:rPr>
          <w:sz w:val="20"/>
          <w:szCs w:val="20"/>
          <w:color w:val="auto"/>
        </w:rPr>
      </w:pPr>
      <w:r>
        <w:rPr>
          <w:rFonts w:ascii="Arial" w:cs="Arial" w:eastAsia="Arial" w:hAnsi="Arial"/>
          <w:sz w:val="13"/>
          <w:szCs w:val="13"/>
          <w:color w:val="auto"/>
        </w:rPr>
        <w:t>the Employee’s estate or personal representative in the case of death), within thirty (30) business days after the Date of Termination: (i) any Accrued Obligations, plus (ii)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w:t>
      </w:r>
    </w:p>
    <w:p>
      <w:pPr>
        <w:spacing w:after="0" w:line="57" w:lineRule="exact"/>
        <w:rPr>
          <w:sz w:val="20"/>
          <w:szCs w:val="20"/>
          <w:color w:val="auto"/>
        </w:rPr>
      </w:pPr>
    </w:p>
    <w:p>
      <w:pPr>
        <w:ind w:left="460" w:hanging="455"/>
        <w:spacing w:after="0"/>
        <w:tabs>
          <w:tab w:leader="none" w:pos="460"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Definition of Change in Control</w:t>
      </w:r>
      <w:r>
        <w:rPr>
          <w:rFonts w:ascii="Arial" w:cs="Arial" w:eastAsia="Arial" w:hAnsi="Arial"/>
          <w:sz w:val="12"/>
          <w:szCs w:val="12"/>
          <w:color w:val="auto"/>
        </w:rPr>
        <w:t>. For purposes of this Agreement, the term “Change in Control” shall mean that the conditions set forth in any one of the following subsections shall have been satisfied:</w:t>
      </w:r>
    </w:p>
    <w:p>
      <w:pPr>
        <w:spacing w:after="0" w:line="97" w:lineRule="exact"/>
        <w:rPr>
          <w:rFonts w:ascii="Arial" w:cs="Arial" w:eastAsia="Arial" w:hAnsi="Arial"/>
          <w:sz w:val="12"/>
          <w:szCs w:val="12"/>
          <w:color w:val="auto"/>
        </w:rPr>
      </w:pPr>
    </w:p>
    <w:p>
      <w:pPr>
        <w:ind w:left="680" w:right="100" w:hanging="449"/>
        <w:spacing w:after="0" w:line="264" w:lineRule="auto"/>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66" w:lineRule="exact"/>
        <w:rPr>
          <w:rFonts w:ascii="Arial" w:cs="Arial" w:eastAsia="Arial" w:hAnsi="Arial"/>
          <w:sz w:val="13"/>
          <w:szCs w:val="13"/>
          <w:color w:val="auto"/>
        </w:rPr>
      </w:pPr>
    </w:p>
    <w:p>
      <w:pPr>
        <w:ind w:left="680" w:right="100" w:hanging="449"/>
        <w:spacing w:after="0" w:line="264" w:lineRule="auto"/>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66" w:lineRule="exact"/>
        <w:rPr>
          <w:rFonts w:ascii="Arial" w:cs="Arial" w:eastAsia="Arial" w:hAnsi="Arial"/>
          <w:sz w:val="13"/>
          <w:szCs w:val="13"/>
          <w:color w:val="auto"/>
        </w:rPr>
      </w:pPr>
    </w:p>
    <w:p>
      <w:pPr>
        <w:ind w:left="680" w:right="20" w:hanging="449"/>
        <w:spacing w:after="0" w:line="276" w:lineRule="auto"/>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59" w:lineRule="exact"/>
        <w:rPr>
          <w:rFonts w:ascii="Arial" w:cs="Arial" w:eastAsia="Arial" w:hAnsi="Arial"/>
          <w:sz w:val="13"/>
          <w:szCs w:val="13"/>
          <w:color w:val="auto"/>
        </w:rPr>
      </w:pPr>
    </w:p>
    <w:p>
      <w:pPr>
        <w:ind w:left="680" w:hanging="449"/>
        <w:spacing w:after="0" w:line="264" w:lineRule="auto"/>
        <w:tabs>
          <w:tab w:leader="none" w:pos="680" w:val="left"/>
        </w:tabs>
        <w:numPr>
          <w:ilvl w:val="1"/>
          <w:numId w:val="90"/>
        </w:numPr>
        <w:rPr>
          <w:rFonts w:ascii="Arial" w:cs="Arial" w:eastAsia="Arial" w:hAnsi="Arial"/>
          <w:sz w:val="13"/>
          <w:szCs w:val="13"/>
          <w:color w:val="auto"/>
        </w:rPr>
      </w:pPr>
      <w:r>
        <w:rPr>
          <w:rFonts w:ascii="Arial" w:cs="Arial" w:eastAsia="Arial" w:hAnsi="Arial"/>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66" w:lineRule="exact"/>
        <w:rPr>
          <w:rFonts w:ascii="Arial" w:cs="Arial" w:eastAsia="Arial" w:hAnsi="Arial"/>
          <w:sz w:val="13"/>
          <w:szCs w:val="13"/>
          <w:color w:val="auto"/>
        </w:rPr>
      </w:pPr>
    </w:p>
    <w:p>
      <w:pPr>
        <w:ind w:left="680" w:right="200" w:hanging="449"/>
        <w:spacing w:after="0" w:line="320" w:lineRule="auto"/>
        <w:tabs>
          <w:tab w:leader="none" w:pos="680" w:val="left"/>
        </w:tabs>
        <w:numPr>
          <w:ilvl w:val="1"/>
          <w:numId w:val="90"/>
        </w:numPr>
        <w:rPr>
          <w:rFonts w:ascii="Arial" w:cs="Arial" w:eastAsia="Arial" w:hAnsi="Arial"/>
          <w:sz w:val="12"/>
          <w:szCs w:val="12"/>
          <w:color w:val="auto"/>
        </w:rPr>
      </w:pPr>
      <w:r>
        <w:rPr>
          <w:rFonts w:ascii="Arial" w:cs="Arial" w:eastAsia="Arial" w:hAnsi="Arial"/>
          <w:sz w:val="12"/>
          <w:szCs w:val="12"/>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(A)</w:t>
      </w:r>
    </w:p>
    <w:p>
      <w:pPr>
        <w:spacing w:after="0" w:line="8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47" w:name="page148"/>
    <w:bookmarkEnd w:id="147"/>
    <w:p>
      <w:pPr>
        <w:ind w:left="740" w:right="40"/>
        <w:spacing w:after="0" w:line="264" w:lineRule="auto"/>
        <w:rPr>
          <w:sz w:val="20"/>
          <w:szCs w:val="20"/>
          <w:color w:val="auto"/>
        </w:rPr>
      </w:pPr>
      <w:r>
        <w:rPr>
          <w:rFonts w:ascii="Arial" w:cs="Arial" w:eastAsia="Arial" w:hAnsi="Arial"/>
          <w:sz w:val="13"/>
          <w:szCs w:val="13"/>
          <w:color w:val="auto"/>
        </w:rPr>
        <w:t>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57" w:lineRule="exact"/>
        <w:rPr>
          <w:sz w:val="20"/>
          <w:szCs w:val="20"/>
          <w:color w:val="auto"/>
        </w:rPr>
      </w:pPr>
    </w:p>
    <w:p>
      <w:pPr>
        <w:ind w:left="740" w:hanging="449"/>
        <w:spacing w:after="0"/>
        <w:tabs>
          <w:tab w:leader="none" w:pos="740" w:val="left"/>
        </w:tabs>
        <w:numPr>
          <w:ilvl w:val="2"/>
          <w:numId w:val="91"/>
        </w:numPr>
        <w:rPr>
          <w:rFonts w:ascii="Arial" w:cs="Arial" w:eastAsia="Arial" w:hAnsi="Arial"/>
          <w:sz w:val="13"/>
          <w:szCs w:val="13"/>
          <w:color w:val="auto"/>
        </w:rPr>
      </w:pPr>
      <w:r>
        <w:rPr>
          <w:rFonts w:ascii="Arial" w:cs="Arial" w:eastAsia="Arial" w:hAnsi="Arial"/>
          <w:sz w:val="13"/>
          <w:szCs w:val="13"/>
          <w:color w:val="auto"/>
        </w:rPr>
        <w:t>the approval by the stockholders of a plan or proposal for the liquidation or dissolution of the Company.</w:t>
      </w:r>
    </w:p>
    <w:p>
      <w:pPr>
        <w:spacing w:after="0" w:line="86" w:lineRule="exact"/>
        <w:rPr>
          <w:rFonts w:ascii="Arial" w:cs="Arial" w:eastAsia="Arial" w:hAnsi="Arial"/>
          <w:sz w:val="13"/>
          <w:szCs w:val="13"/>
          <w:color w:val="auto"/>
        </w:rPr>
      </w:pPr>
    </w:p>
    <w:p>
      <w:pPr>
        <w:ind w:left="520" w:right="100" w:hanging="455"/>
        <w:spacing w:after="0" w:line="277" w:lineRule="auto"/>
        <w:tabs>
          <w:tab w:leader="none" w:pos="520" w:val="left"/>
        </w:tabs>
        <w:numPr>
          <w:ilvl w:val="1"/>
          <w:numId w:val="92"/>
        </w:numPr>
        <w:rPr>
          <w:rFonts w:ascii="Arial" w:cs="Arial" w:eastAsia="Arial" w:hAnsi="Arial"/>
          <w:sz w:val="12"/>
          <w:szCs w:val="12"/>
          <w:color w:val="auto"/>
        </w:rPr>
      </w:pPr>
      <w:r>
        <w:rPr>
          <w:rFonts w:ascii="Arial" w:cs="Arial" w:eastAsia="Arial" w:hAnsi="Arial"/>
          <w:sz w:val="12"/>
          <w:szCs w:val="12"/>
          <w:u w:val="single" w:color="auto"/>
          <w:color w:val="auto"/>
        </w:rPr>
        <w:t>Six-Month Delay</w:t>
      </w:r>
      <w:r>
        <w:rPr>
          <w:rFonts w:ascii="Arial" w:cs="Arial" w:eastAsia="Arial" w:hAnsi="Arial"/>
          <w:sz w:val="12"/>
          <w:szCs w:val="12"/>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w:t>
      </w:r>
    </w:p>
    <w:p>
      <w:pPr>
        <w:spacing w:after="0" w:line="1" w:lineRule="exact"/>
        <w:rPr>
          <w:rFonts w:ascii="Arial" w:cs="Arial" w:eastAsia="Arial" w:hAnsi="Arial"/>
          <w:sz w:val="12"/>
          <w:szCs w:val="12"/>
          <w:color w:val="auto"/>
        </w:rPr>
      </w:pPr>
    </w:p>
    <w:p>
      <w:pPr>
        <w:ind w:left="520" w:right="40"/>
        <w:spacing w:after="0" w:line="264" w:lineRule="auto"/>
        <w:rPr>
          <w:rFonts w:ascii="Arial" w:cs="Arial" w:eastAsia="Arial" w:hAnsi="Arial"/>
          <w:sz w:val="12"/>
          <w:szCs w:val="12"/>
          <w:color w:val="auto"/>
        </w:rPr>
      </w:pPr>
      <w:r>
        <w:rPr>
          <w:rFonts w:ascii="Arial" w:cs="Arial" w:eastAsia="Arial" w:hAnsi="Arial"/>
          <w:sz w:val="13"/>
          <w:szCs w:val="13"/>
          <w:color w:val="auto"/>
        </w:rPr>
        <w:t>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w:t>
      </w:r>
    </w:p>
    <w:p>
      <w:pPr>
        <w:spacing w:after="0" w:line="56" w:lineRule="exact"/>
        <w:rPr>
          <w:rFonts w:ascii="Arial" w:cs="Arial" w:eastAsia="Arial" w:hAnsi="Arial"/>
          <w:sz w:val="12"/>
          <w:szCs w:val="12"/>
          <w:color w:val="auto"/>
        </w:rPr>
      </w:pPr>
    </w:p>
    <w:p>
      <w:pPr>
        <w:ind w:left="200" w:hanging="198"/>
        <w:spacing w:after="0"/>
        <w:tabs>
          <w:tab w:leader="none" w:pos="200"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Excise Tax Gross-up Payments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0" w:hanging="455"/>
        <w:spacing w:after="0" w:line="255" w:lineRule="auto"/>
        <w:tabs>
          <w:tab w:leader="none" w:pos="520" w:val="left"/>
        </w:tabs>
        <w:numPr>
          <w:ilvl w:val="1"/>
          <w:numId w:val="93"/>
        </w:numPr>
        <w:rPr>
          <w:rFonts w:ascii="Arial" w:cs="Arial" w:eastAsia="Arial" w:hAnsi="Arial"/>
          <w:sz w:val="13"/>
          <w:szCs w:val="13"/>
          <w:color w:val="auto"/>
        </w:rPr>
      </w:pPr>
      <w:r>
        <w:rPr>
          <w:rFonts w:ascii="Arial" w:cs="Arial" w:eastAsia="Arial" w:hAnsi="Arial"/>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Subsection 10(a),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three percent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12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48" w:name="page149"/>
    <w:bookmarkEnd w:id="148"/>
    <w:p>
      <w:pPr>
        <w:ind w:left="460" w:hanging="455"/>
        <w:spacing w:after="0" w:line="304" w:lineRule="auto"/>
        <w:tabs>
          <w:tab w:leader="none" w:pos="4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the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Subsection 10(b) or whether a reduction to the Scaled Back Amount is required, as the case may be. If as a result of any dispute pursuant to this Subsection 10(b)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207" w:lineRule="exact"/>
        <w:rPr>
          <w:rFonts w:ascii="Arial" w:cs="Arial" w:eastAsia="Arial" w:hAnsi="Arial"/>
          <w:sz w:val="11"/>
          <w:szCs w:val="11"/>
          <w:color w:val="auto"/>
        </w:rPr>
      </w:pPr>
    </w:p>
    <w:p>
      <w:pPr>
        <w:ind w:left="460" w:right="120" w:hanging="455"/>
        <w:spacing w:after="0" w:line="260" w:lineRule="auto"/>
        <w:tabs>
          <w:tab w:leader="none" w:pos="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the Employee’s employment, net of the maximum reduction in federal income taxes that would be obtained from deduction of those state and local taxes.</w:t>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49" w:name="page150"/>
    <w:bookmarkEnd w:id="149"/>
    <w:p>
      <w:pPr>
        <w:ind w:left="460" w:right="20" w:hanging="455"/>
        <w:spacing w:after="0" w:line="278" w:lineRule="auto"/>
        <w:tabs>
          <w:tab w:leader="none" w:pos="4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the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62" w:lineRule="exact"/>
        <w:rPr>
          <w:rFonts w:ascii="Arial" w:cs="Arial" w:eastAsia="Arial" w:hAnsi="Arial"/>
          <w:sz w:val="12"/>
          <w:szCs w:val="12"/>
          <w:color w:val="auto"/>
        </w:rPr>
      </w:pPr>
    </w:p>
    <w:p>
      <w:pPr>
        <w:ind w:left="460" w:right="80" w:hanging="455"/>
        <w:spacing w:after="0" w:line="258" w:lineRule="auto"/>
        <w:tabs>
          <w:tab w:leader="none" w:pos="4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61" w:lineRule="exact"/>
        <w:rPr>
          <w:rFonts w:ascii="Arial" w:cs="Arial" w:eastAsia="Arial" w:hAnsi="Arial"/>
          <w:sz w:val="13"/>
          <w:szCs w:val="13"/>
          <w:color w:val="auto"/>
        </w:rPr>
      </w:pPr>
    </w:p>
    <w:p>
      <w:pPr>
        <w:ind w:left="680" w:hanging="449"/>
        <w:spacing w:after="0"/>
        <w:tabs>
          <w:tab w:leader="none" w:pos="6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give the Company any information reasonably requested by the Company relating to such claim,</w:t>
      </w:r>
    </w:p>
    <w:p>
      <w:pPr>
        <w:spacing w:after="0" w:line="96" w:lineRule="exact"/>
        <w:rPr>
          <w:rFonts w:ascii="Arial" w:cs="Arial" w:eastAsia="Arial" w:hAnsi="Arial"/>
          <w:sz w:val="13"/>
          <w:szCs w:val="13"/>
          <w:color w:val="auto"/>
        </w:rPr>
      </w:pPr>
    </w:p>
    <w:p>
      <w:pPr>
        <w:ind w:left="680" w:hanging="449"/>
        <w:spacing w:after="0" w:line="276" w:lineRule="auto"/>
        <w:tabs>
          <w:tab w:leader="none" w:pos="6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59" w:lineRule="exact"/>
        <w:rPr>
          <w:rFonts w:ascii="Arial" w:cs="Arial" w:eastAsia="Arial" w:hAnsi="Arial"/>
          <w:sz w:val="13"/>
          <w:szCs w:val="13"/>
          <w:color w:val="auto"/>
        </w:rPr>
      </w:pPr>
    </w:p>
    <w:p>
      <w:pPr>
        <w:ind w:left="680" w:hanging="449"/>
        <w:spacing w:after="0"/>
        <w:tabs>
          <w:tab w:leader="none" w:pos="6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cooperate with the Company in good faith in order to effectively contest such claim, and</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50" w:name="page151"/>
    <w:bookmarkEnd w:id="150"/>
    <w:p>
      <w:pPr>
        <w:ind w:left="740" w:hanging="449"/>
        <w:spacing w:after="0"/>
        <w:tabs>
          <w:tab w:leader="none" w:pos="7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permit the Company to participate in any proceeding relating to such claim;</w:t>
      </w:r>
    </w:p>
    <w:p>
      <w:pPr>
        <w:spacing w:after="0" w:line="86" w:lineRule="exact"/>
        <w:rPr>
          <w:sz w:val="20"/>
          <w:szCs w:val="20"/>
          <w:color w:val="auto"/>
        </w:rPr>
      </w:pPr>
    </w:p>
    <w:p>
      <w:pPr>
        <w:ind w:left="520"/>
        <w:spacing w:after="0" w:line="278"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Subsection 10(e),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10, and the Employee shall be entitled to settle or contest, as the case may be, any other issue raised by the Internal Revenue Service or any other taxing authority.</w:t>
      </w:r>
    </w:p>
    <w:p>
      <w:pPr>
        <w:spacing w:after="0" w:line="63" w:lineRule="exact"/>
        <w:rPr>
          <w:sz w:val="20"/>
          <w:szCs w:val="20"/>
          <w:color w:val="auto"/>
        </w:rPr>
      </w:pPr>
    </w:p>
    <w:p>
      <w:pPr>
        <w:ind w:left="520" w:right="140" w:hanging="455"/>
        <w:spacing w:after="0" w:line="258" w:lineRule="auto"/>
        <w:tabs>
          <w:tab w:leader="none" w:pos="520" w:val="left"/>
        </w:tabs>
        <w:numPr>
          <w:ilvl w:val="1"/>
          <w:numId w:val="97"/>
        </w:numPr>
        <w:rPr>
          <w:rFonts w:ascii="Arial" w:cs="Arial" w:eastAsia="Arial" w:hAnsi="Arial"/>
          <w:sz w:val="13"/>
          <w:szCs w:val="13"/>
          <w:color w:val="auto"/>
        </w:rPr>
      </w:pPr>
      <w:r>
        <w:rPr>
          <w:rFonts w:ascii="Arial" w:cs="Arial" w:eastAsia="Arial" w:hAnsi="Arial"/>
          <w:sz w:val="13"/>
          <w:szCs w:val="13"/>
          <w:color w:val="auto"/>
        </w:rPr>
        <w:t>If, after the receipt by the Employee of an amount advanced by the Company pursuant to Subsection 10(e), the Employee becomes entitled to receive any refund with respect to such claim, the Employee shall (subject to the Company’s complying with the requirements of Subsection 10(e)) promptly pay to the Company the amount of such refund (together with any interest paid or credited thereon after taxes applicable thereto). If, after the receipt by the Employee of an amount advanced by the Company pursuant to Subsection 10(e),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71" w:lineRule="exact"/>
        <w:rPr>
          <w:rFonts w:ascii="Arial" w:cs="Arial" w:eastAsia="Arial" w:hAnsi="Arial"/>
          <w:sz w:val="13"/>
          <w:szCs w:val="13"/>
          <w:color w:val="auto"/>
        </w:rPr>
      </w:pPr>
    </w:p>
    <w:p>
      <w:pPr>
        <w:ind w:left="520" w:right="520" w:hanging="455"/>
        <w:spacing w:after="0" w:line="276" w:lineRule="auto"/>
        <w:tabs>
          <w:tab w:leader="none" w:pos="520" w:val="left"/>
        </w:tabs>
        <w:numPr>
          <w:ilvl w:val="1"/>
          <w:numId w:val="97"/>
        </w:numPr>
        <w:rPr>
          <w:rFonts w:ascii="Arial" w:cs="Arial" w:eastAsia="Arial" w:hAnsi="Arial"/>
          <w:sz w:val="13"/>
          <w:szCs w:val="13"/>
          <w:color w:val="auto"/>
        </w:rPr>
      </w:pPr>
      <w:r>
        <w:rPr>
          <w:rFonts w:ascii="Arial" w:cs="Arial" w:eastAsia="Arial" w:hAnsi="Arial"/>
          <w:sz w:val="13"/>
          <w:szCs w:val="13"/>
          <w:color w:val="auto"/>
        </w:rPr>
        <w:t>Any payment under this Section 10 must be made by the Company no later than the end of the Employee’s tax year following the Employee’s tax year in which the Employee remits the related tax payments.</w:t>
      </w:r>
    </w:p>
    <w:p>
      <w:pPr>
        <w:spacing w:after="0" w:line="49" w:lineRule="exact"/>
        <w:rPr>
          <w:rFonts w:ascii="Arial" w:cs="Arial" w:eastAsia="Arial" w:hAnsi="Arial"/>
          <w:sz w:val="13"/>
          <w:szCs w:val="13"/>
          <w:color w:val="auto"/>
        </w:rPr>
      </w:pPr>
    </w:p>
    <w:p>
      <w:pPr>
        <w:ind w:left="200" w:hanging="198"/>
        <w:spacing w:after="0"/>
        <w:tabs>
          <w:tab w:leader="none" w:pos="20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Non-Delegation of the Employee’s Rights</w:t>
      </w:r>
      <w:r>
        <w:rPr>
          <w:rFonts w:ascii="Arial" w:cs="Arial" w:eastAsia="Arial" w:hAnsi="Arial"/>
          <w:sz w:val="13"/>
          <w:szCs w:val="13"/>
          <w:color w:val="auto"/>
        </w:rPr>
        <w:t>. The obligations, rights and benefits of the Employee hereunder are personal and may not be delegated, assigned or transferred in any</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auto"/>
        </w:rPr>
        <w:t>manner whatsoever, nor are such obligations, rights or benefits subject to involuntary alienation, assignment or transfer.</w:t>
      </w:r>
    </w:p>
    <w:p>
      <w:pPr>
        <w:spacing w:after="0" w:line="86" w:lineRule="exact"/>
        <w:rPr>
          <w:sz w:val="20"/>
          <w:szCs w:val="20"/>
          <w:color w:val="auto"/>
        </w:rPr>
      </w:pPr>
    </w:p>
    <w:p>
      <w:pPr>
        <w:ind w:firstLine="162"/>
        <w:spacing w:after="0" w:line="255" w:lineRule="auto"/>
        <w:tabs>
          <w:tab w:leader="none" w:pos="360"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66" w:lineRule="exact"/>
        <w:rPr>
          <w:rFonts w:ascii="Arial" w:cs="Arial" w:eastAsia="Arial" w:hAnsi="Arial"/>
          <w:sz w:val="13"/>
          <w:szCs w:val="13"/>
          <w:color w:val="auto"/>
        </w:rPr>
      </w:pPr>
    </w:p>
    <w:p>
      <w:pPr>
        <w:ind w:left="360" w:hanging="198"/>
        <w:spacing w:after="0"/>
        <w:tabs>
          <w:tab w:leader="none" w:pos="360"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Non-Competition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0" w:right="20" w:hanging="455"/>
        <w:spacing w:after="0" w:line="257" w:lineRule="auto"/>
        <w:tabs>
          <w:tab w:leader="none" w:pos="680" w:val="left"/>
        </w:tabs>
        <w:numPr>
          <w:ilvl w:val="1"/>
          <w:numId w:val="99"/>
        </w:numPr>
        <w:rPr>
          <w:rFonts w:ascii="Arial" w:cs="Arial" w:eastAsia="Arial" w:hAnsi="Arial"/>
          <w:sz w:val="13"/>
          <w:szCs w:val="13"/>
          <w:color w:val="auto"/>
        </w:rPr>
      </w:pPr>
      <w:r>
        <w:rPr>
          <w:rFonts w:ascii="Arial" w:cs="Arial" w:eastAsia="Arial" w:hAnsi="Arial"/>
          <w:sz w:val="13"/>
          <w:szCs w:val="13"/>
          <w:u w:val="single" w:color="auto"/>
          <w:color w:val="auto"/>
        </w:rPr>
        <w:t>During Employment Term</w:t>
      </w:r>
      <w:r>
        <w:rPr>
          <w:rFonts w:ascii="Arial" w:cs="Arial" w:eastAsia="Arial" w:hAnsi="Arial"/>
          <w:sz w:val="13"/>
          <w:szCs w:val="13"/>
          <w:color w:val="auto"/>
        </w:rPr>
        <w:t>.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1" w:lineRule="exact"/>
        <w:rPr>
          <w:rFonts w:ascii="Arial" w:cs="Arial" w:eastAsia="Arial" w:hAnsi="Arial"/>
          <w:sz w:val="13"/>
          <w:szCs w:val="13"/>
          <w:color w:val="auto"/>
        </w:rPr>
      </w:pPr>
    </w:p>
    <w:p>
      <w:pPr>
        <w:ind w:left="680" w:right="100" w:hanging="455"/>
        <w:spacing w:after="0" w:line="277" w:lineRule="auto"/>
        <w:tabs>
          <w:tab w:leader="none" w:pos="680" w:val="left"/>
        </w:tabs>
        <w:numPr>
          <w:ilvl w:val="1"/>
          <w:numId w:val="99"/>
        </w:numPr>
        <w:rPr>
          <w:rFonts w:ascii="Arial" w:cs="Arial" w:eastAsia="Arial" w:hAnsi="Arial"/>
          <w:sz w:val="12"/>
          <w:szCs w:val="12"/>
          <w:color w:val="auto"/>
        </w:rPr>
      </w:pPr>
      <w:r>
        <w:rPr>
          <w:rFonts w:ascii="Arial" w:cs="Arial" w:eastAsia="Arial" w:hAnsi="Arial"/>
          <w:sz w:val="12"/>
          <w:szCs w:val="12"/>
          <w:u w:val="single" w:color="auto"/>
          <w:color w:val="auto"/>
        </w:rPr>
        <w:t>After Employment Term</w:t>
      </w:r>
      <w:r>
        <w:rPr>
          <w:rFonts w:ascii="Arial" w:cs="Arial" w:eastAsia="Arial" w:hAnsi="Arial"/>
          <w:sz w:val="12"/>
          <w:szCs w:val="12"/>
          <w:color w:val="auto"/>
        </w:rPr>
        <w:t>. The parties acknowledge that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the Employee in that business after the Employment Term would severely injure the Company and its affiliates. Accordingly, for a period of one</w:t>
      </w:r>
    </w:p>
    <w:p>
      <w:pPr>
        <w:spacing w:after="0" w:line="1"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2"/>
          <w:szCs w:val="12"/>
          <w:color w:val="auto"/>
        </w:rPr>
        <w:t>(1) year after the Employee’s employment terminates for any reason whatsoever, except as otherwise stated herein below, the Employee agrees: (i) not to become an employee, consultant,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2" w:name="page153"/>
    <w:bookmarkEnd w:id="152"/>
    <w:p>
      <w:pPr>
        <w:ind w:left="660"/>
        <w:spacing w:after="0" w:line="258" w:lineRule="auto"/>
        <w:rPr>
          <w:sz w:val="20"/>
          <w:szCs w:val="20"/>
          <w:color w:val="auto"/>
        </w:rPr>
      </w:pPr>
      <w:r>
        <w:rPr>
          <w:rFonts w:ascii="Arial" w:cs="Arial" w:eastAsia="Arial" w:hAnsi="Arial"/>
          <w:sz w:val="13"/>
          <w:szCs w:val="13"/>
          <w:color w:val="auto"/>
        </w:rPr>
        <w:t>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Subsection 13(b) if: (A) the Employee’s employment is terminated by the Company without Cause; (B) the Employee terminates employment for Good Reason; or (C) the Employee’s employment is terminated as a result of the Company’s unwillingness to extend the Employment Term.</w:t>
      </w:r>
    </w:p>
    <w:p>
      <w:pPr>
        <w:spacing w:after="0" w:line="61" w:lineRule="exact"/>
        <w:rPr>
          <w:sz w:val="20"/>
          <w:szCs w:val="20"/>
          <w:color w:val="auto"/>
        </w:rPr>
      </w:pPr>
    </w:p>
    <w:p>
      <w:pPr>
        <w:ind w:left="660" w:right="200" w:hanging="455"/>
        <w:spacing w:after="0" w:line="264" w:lineRule="auto"/>
        <w:tabs>
          <w:tab w:leader="none" w:pos="660" w:val="left"/>
        </w:tabs>
        <w:numPr>
          <w:ilvl w:val="1"/>
          <w:numId w:val="100"/>
        </w:numPr>
        <w:rPr>
          <w:rFonts w:ascii="Arial" w:cs="Arial" w:eastAsia="Arial" w:hAnsi="Arial"/>
          <w:sz w:val="13"/>
          <w:szCs w:val="13"/>
          <w:color w:val="auto"/>
        </w:rPr>
      </w:pPr>
      <w:r>
        <w:rPr>
          <w:rFonts w:ascii="Arial" w:cs="Arial" w:eastAsia="Arial" w:hAnsi="Arial"/>
          <w:sz w:val="13"/>
          <w:szCs w:val="13"/>
          <w:u w:val="single" w:color="auto"/>
          <w:color w:val="auto"/>
        </w:rPr>
        <w:t>Exclusion</w:t>
      </w:r>
      <w:r>
        <w:rPr>
          <w:rFonts w:ascii="Arial" w:cs="Arial" w:eastAsia="Arial" w:hAnsi="Arial"/>
          <w:sz w:val="13"/>
          <w:szCs w:val="13"/>
          <w:color w:val="auto"/>
        </w:rPr>
        <w:t>. Working, directly or indirectly, for any of the following entities shall not be considered competitive to the Company or its affiliates for the purpose of this Section 13: (i) Fidelity National Information Services, Inc., its affiliates or their successors; (ii) Lender Processing Services, Inc., its affiliates or their successors; or (iii) the Company, its affiliates or their successors if this Agreement is assumed by a third party as contemplated in Section 21.</w:t>
      </w:r>
    </w:p>
    <w:p>
      <w:pPr>
        <w:spacing w:after="0" w:line="57" w:lineRule="exact"/>
        <w:rPr>
          <w:rFonts w:ascii="Arial" w:cs="Arial" w:eastAsia="Arial" w:hAnsi="Arial"/>
          <w:sz w:val="13"/>
          <w:szCs w:val="13"/>
          <w:color w:val="auto"/>
        </w:rPr>
      </w:pPr>
    </w:p>
    <w:p>
      <w:pPr>
        <w:ind w:left="-20" w:right="200" w:firstLine="162"/>
        <w:spacing w:after="0" w:line="276" w:lineRule="auto"/>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Return of Company Documents</w:t>
      </w:r>
      <w:r>
        <w:rPr>
          <w:rFonts w:ascii="Arial" w:cs="Arial" w:eastAsia="Arial" w:hAnsi="Arial"/>
          <w:sz w:val="13"/>
          <w:szCs w:val="13"/>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49" w:lineRule="exact"/>
        <w:rPr>
          <w:rFonts w:ascii="Arial" w:cs="Arial" w:eastAsia="Arial" w:hAnsi="Arial"/>
          <w:sz w:val="13"/>
          <w:szCs w:val="13"/>
          <w:color w:val="auto"/>
        </w:rPr>
      </w:pPr>
    </w:p>
    <w:p>
      <w:pPr>
        <w:ind w:left="-20" w:right="100" w:firstLine="162"/>
        <w:spacing w:after="0" w:line="260" w:lineRule="auto"/>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Improvements and Inventions</w:t>
      </w:r>
      <w:r>
        <w:rPr>
          <w:rFonts w:ascii="Arial" w:cs="Arial" w:eastAsia="Arial" w:hAnsi="Arial"/>
          <w:sz w:val="13"/>
          <w:szCs w:val="13"/>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59" w:lineRule="exact"/>
        <w:rPr>
          <w:rFonts w:ascii="Arial" w:cs="Arial" w:eastAsia="Arial" w:hAnsi="Arial"/>
          <w:sz w:val="13"/>
          <w:szCs w:val="13"/>
          <w:color w:val="auto"/>
        </w:rPr>
      </w:pPr>
    </w:p>
    <w:p>
      <w:pPr>
        <w:ind w:left="-20" w:right="120" w:firstLine="162"/>
        <w:spacing w:after="0" w:line="257" w:lineRule="auto"/>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Actions</w:t>
      </w:r>
      <w:r>
        <w:rPr>
          <w:rFonts w:ascii="Arial" w:cs="Arial" w:eastAsia="Arial" w:hAnsi="Arial"/>
          <w:sz w:val="13"/>
          <w:szCs w:val="13"/>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Therefore, it is agreed between and hereby acknowledged by the parties that, in the event of a breach by the Employee of any of the obligations of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153" w:name="page154"/>
    <w:bookmarkEnd w:id="153"/>
    <w:p>
      <w:pPr>
        <w:ind w:firstLine="162"/>
        <w:spacing w:after="0" w:line="285" w:lineRule="auto"/>
        <w:tabs>
          <w:tab w:leader="none" w:pos="36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Release</w:t>
      </w:r>
      <w:r>
        <w:rPr>
          <w:rFonts w:ascii="Arial" w:cs="Arial" w:eastAsia="Arial" w:hAnsi="Arial"/>
          <w:sz w:val="12"/>
          <w:szCs w:val="12"/>
          <w:color w:val="auto"/>
        </w:rPr>
        <w:t xml:space="preserve">. Notwithstanding any provision herein to the contrary, the Company may require that, prior to payment of any amount or provision of any benefit under Section 9 or payment of any Gross-Up Payment pursuant to Section 10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45" w:lineRule="exact"/>
        <w:rPr>
          <w:rFonts w:ascii="Arial" w:cs="Arial" w:eastAsia="Arial" w:hAnsi="Arial"/>
          <w:sz w:val="12"/>
          <w:szCs w:val="12"/>
          <w:color w:val="auto"/>
        </w:rPr>
      </w:pPr>
    </w:p>
    <w:p>
      <w:pPr>
        <w:jc w:val="both"/>
        <w:ind w:firstLine="162"/>
        <w:spacing w:after="0" w:line="264" w:lineRule="auto"/>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u w:val="single" w:color="auto"/>
          <w:color w:val="auto"/>
        </w:rPr>
        <w:t>No Mitigation</w:t>
      </w:r>
      <w:r>
        <w:rPr>
          <w:rFonts w:ascii="Arial" w:cs="Arial" w:eastAsia="Arial" w:hAnsi="Arial"/>
          <w:sz w:val="13"/>
          <w:szCs w:val="13"/>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57" w:lineRule="exact"/>
        <w:rPr>
          <w:rFonts w:ascii="Arial" w:cs="Arial" w:eastAsia="Arial" w:hAnsi="Arial"/>
          <w:sz w:val="13"/>
          <w:szCs w:val="13"/>
          <w:color w:val="auto"/>
        </w:rPr>
      </w:pPr>
    </w:p>
    <w:p>
      <w:pPr>
        <w:ind w:right="20" w:firstLine="162"/>
        <w:spacing w:after="0" w:line="320" w:lineRule="auto"/>
        <w:tabs>
          <w:tab w:leader="none" w:pos="36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Entire Agreement and Amendment</w:t>
      </w:r>
      <w:r>
        <w:rPr>
          <w:rFonts w:ascii="Arial" w:cs="Arial" w:eastAsia="Arial" w:hAnsi="Arial"/>
          <w:sz w:val="12"/>
          <w:szCs w:val="12"/>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25" w:lineRule="exact"/>
        <w:rPr>
          <w:rFonts w:ascii="Arial" w:cs="Arial" w:eastAsia="Arial" w:hAnsi="Arial"/>
          <w:sz w:val="12"/>
          <w:szCs w:val="12"/>
          <w:color w:val="auto"/>
        </w:rPr>
      </w:pPr>
    </w:p>
    <w:p>
      <w:pPr>
        <w:ind w:right="320" w:firstLine="162"/>
        <w:spacing w:after="0" w:line="320" w:lineRule="auto"/>
        <w:tabs>
          <w:tab w:leader="none" w:pos="36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25" w:lineRule="exact"/>
        <w:rPr>
          <w:rFonts w:ascii="Arial" w:cs="Arial" w:eastAsia="Arial" w:hAnsi="Arial"/>
          <w:sz w:val="12"/>
          <w:szCs w:val="12"/>
          <w:color w:val="auto"/>
        </w:rPr>
      </w:pPr>
    </w:p>
    <w:p>
      <w:pPr>
        <w:ind w:firstLine="162"/>
        <w:spacing w:after="0" w:line="282" w:lineRule="auto"/>
        <w:tabs>
          <w:tab w:leader="none" w:pos="36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Successors</w:t>
      </w:r>
      <w:r>
        <w:rPr>
          <w:rFonts w:ascii="Arial" w:cs="Arial" w:eastAsia="Arial" w:hAnsi="Arial"/>
          <w:sz w:val="12"/>
          <w:szCs w:val="12"/>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4" w:name="page155"/>
    <w:bookmarkEnd w:id="154"/>
    <w:p>
      <w:pPr>
        <w:ind w:left="320" w:hanging="198"/>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an original, but all of which together shall constitute one and the same instrument.</w:t>
      </w:r>
    </w:p>
    <w:p>
      <w:pPr>
        <w:spacing w:after="0" w:line="86" w:lineRule="exact"/>
        <w:rPr>
          <w:rFonts w:ascii="Arial" w:cs="Arial" w:eastAsia="Arial" w:hAnsi="Arial"/>
          <w:sz w:val="13"/>
          <w:szCs w:val="13"/>
          <w:color w:val="auto"/>
        </w:rPr>
      </w:pPr>
    </w:p>
    <w:p>
      <w:pPr>
        <w:ind w:left="-40" w:right="20" w:firstLine="162"/>
        <w:spacing w:after="0" w:line="278" w:lineRule="auto"/>
        <w:tabs>
          <w:tab w:leader="none" w:pos="320"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Attorneys’ Fees</w:t>
      </w:r>
      <w:r>
        <w:rPr>
          <w:rFonts w:ascii="Arial" w:cs="Arial" w:eastAsia="Arial" w:hAnsi="Arial"/>
          <w:sz w:val="12"/>
          <w:szCs w:val="12"/>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52" w:lineRule="exact"/>
        <w:rPr>
          <w:rFonts w:ascii="Arial" w:cs="Arial" w:eastAsia="Arial" w:hAnsi="Arial"/>
          <w:sz w:val="12"/>
          <w:szCs w:val="12"/>
          <w:color w:val="auto"/>
        </w:rPr>
      </w:pPr>
    </w:p>
    <w:p>
      <w:pPr>
        <w:ind w:left="-40" w:firstLine="162"/>
        <w:spacing w:after="0" w:line="316" w:lineRule="auto"/>
        <w:tabs>
          <w:tab w:leader="none" w:pos="320" w:val="left"/>
        </w:tabs>
        <w:numPr>
          <w:ilvl w:val="0"/>
          <w:numId w:val="103"/>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32" w:lineRule="exact"/>
        <w:rPr>
          <w:rFonts w:ascii="Arial" w:cs="Arial" w:eastAsia="Arial" w:hAnsi="Arial"/>
          <w:sz w:val="11"/>
          <w:szCs w:val="11"/>
          <w:color w:val="auto"/>
        </w:rPr>
      </w:pPr>
    </w:p>
    <w:p>
      <w:pPr>
        <w:ind w:left="-40" w:right="380" w:firstLine="162"/>
        <w:spacing w:after="0" w:line="276" w:lineRule="auto"/>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55" w:name="page156"/>
    <w:bookmarkEnd w:id="155"/>
    <w:p>
      <w:pPr>
        <w:ind w:left="340"/>
        <w:spacing w:after="0"/>
        <w:rPr>
          <w:sz w:val="20"/>
          <w:szCs w:val="20"/>
          <w:color w:val="auto"/>
        </w:rPr>
      </w:pPr>
      <w:r>
        <w:rPr>
          <w:rFonts w:ascii="Arial" w:cs="Arial" w:eastAsia="Arial" w:hAnsi="Arial"/>
          <w:sz w:val="13"/>
          <w:szCs w:val="13"/>
          <w:color w:val="auto"/>
        </w:rPr>
        <w:t>To the Company:</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601 Riverside Avenue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 32204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General Counsel</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 the Employee:</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Brent B. Bickett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 Fidelity National Financial,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601 Riverside Avenue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 32204</w:t>
      </w:r>
    </w:p>
    <w:p>
      <w:pPr>
        <w:spacing w:after="0" w:line="79" w:lineRule="exact"/>
        <w:rPr>
          <w:sz w:val="20"/>
          <w:szCs w:val="20"/>
          <w:color w:val="auto"/>
        </w:rPr>
      </w:pPr>
    </w:p>
    <w:p>
      <w:pPr>
        <w:ind w:left="360" w:hanging="198"/>
        <w:spacing w:after="0"/>
        <w:tabs>
          <w:tab w:leader="none" w:pos="36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Waiver of Breach</w:t>
      </w:r>
      <w:r>
        <w:rPr>
          <w:rFonts w:ascii="Arial" w:cs="Arial" w:eastAsia="Arial" w:hAnsi="Arial"/>
          <w:sz w:val="13"/>
          <w:szCs w:val="13"/>
          <w:color w:val="auto"/>
        </w:rPr>
        <w:t>. The waiver by any party of any provisions of this Agreement shall not operate or be construed as a waiver of any prior or subsequent breach by the other party.</w:t>
      </w:r>
    </w:p>
    <w:p>
      <w:pPr>
        <w:spacing w:after="0" w:line="86" w:lineRule="exact"/>
        <w:rPr>
          <w:rFonts w:ascii="Arial" w:cs="Arial" w:eastAsia="Arial" w:hAnsi="Arial"/>
          <w:sz w:val="13"/>
          <w:szCs w:val="13"/>
          <w:color w:val="auto"/>
        </w:rPr>
      </w:pPr>
    </w:p>
    <w:p>
      <w:pPr>
        <w:ind w:firstLine="162"/>
        <w:spacing w:after="0" w:line="276" w:lineRule="auto"/>
        <w:tabs>
          <w:tab w:leader="none" w:pos="36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 The Company or an affiliate may deduct from all compensation and benefits payable under this Agreement any taxes or withholdings the Company is required to deduct pursuant to state, federal or local laws.</w:t>
      </w:r>
    </w:p>
    <w:p>
      <w:pPr>
        <w:spacing w:after="0" w:line="49" w:lineRule="exact"/>
        <w:rPr>
          <w:rFonts w:ascii="Arial" w:cs="Arial" w:eastAsia="Arial" w:hAnsi="Arial"/>
          <w:sz w:val="13"/>
          <w:szCs w:val="13"/>
          <w:color w:val="auto"/>
        </w:rPr>
      </w:pPr>
    </w:p>
    <w:p>
      <w:pPr>
        <w:ind w:right="40" w:firstLine="162"/>
        <w:spacing w:after="0" w:line="258" w:lineRule="auto"/>
        <w:tabs>
          <w:tab w:leader="none" w:pos="36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Code Section 409A</w:t>
      </w:r>
      <w:r>
        <w:rPr>
          <w:rFonts w:ascii="Arial" w:cs="Arial" w:eastAsia="Arial" w:hAnsi="Arial"/>
          <w:sz w:val="13"/>
          <w:szCs w:val="13"/>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In addition, the direct payment or reimbursement of expenses permitted under this Agreement or otherwise shall be made no later than the last day of the Employee’s taxable year following the taxable year in which such expense was incurred.</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have executed this Agreement to be effective as of the date first set forth above.</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By: /s/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263398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Its: Chief Executive Officer</w:t>
      </w:r>
    </w:p>
    <w:p>
      <w:pPr>
        <w:spacing w:after="0" w:line="322"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BRENT B. BICKETT</w:t>
      </w:r>
    </w:p>
    <w:p>
      <w:pPr>
        <w:spacing w:after="0" w:line="165" w:lineRule="exact"/>
        <w:rPr>
          <w:sz w:val="20"/>
          <w:szCs w:val="20"/>
          <w:color w:val="auto"/>
        </w:rPr>
      </w:pPr>
    </w:p>
    <w:p>
      <w:pPr>
        <w:jc w:val="center"/>
        <w:ind w:left="300"/>
        <w:spacing w:after="0"/>
        <w:rPr>
          <w:sz w:val="20"/>
          <w:szCs w:val="20"/>
          <w:color w:val="auto"/>
        </w:rPr>
      </w:pPr>
      <w:r>
        <w:rPr>
          <w:rFonts w:ascii="Arial" w:cs="Arial" w:eastAsia="Arial" w:hAnsi="Arial"/>
          <w:sz w:val="13"/>
          <w:szCs w:val="13"/>
          <w:color w:val="auto"/>
        </w:rPr>
        <w:t>/s/ Brent B. Bickett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279654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60"/>
          </w:cols>
          <w:pgMar w:left="220" w:top="721" w:right="2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3"/>
          <w:szCs w:val="13"/>
          <w:b w:val="1"/>
          <w:bCs w:val="1"/>
          <w:color w:val="auto"/>
        </w:rPr>
        <w:t>Exhibit 10.15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EMPLOYMENT AGREEMENT</w:t>
      </w:r>
    </w:p>
    <w:p>
      <w:pPr>
        <w:spacing w:after="0" w:line="75" w:lineRule="exact"/>
        <w:rPr>
          <w:sz w:val="20"/>
          <w:szCs w:val="20"/>
          <w:color w:val="auto"/>
        </w:rPr>
      </w:pPr>
    </w:p>
    <w:p>
      <w:pPr>
        <w:ind w:right="600" w:firstLine="161"/>
        <w:spacing w:after="0" w:line="283" w:lineRule="auto"/>
        <w:rPr>
          <w:sz w:val="20"/>
          <w:szCs w:val="20"/>
          <w:color w:val="auto"/>
        </w:rPr>
      </w:pPr>
      <w:r>
        <w:rPr>
          <w:rFonts w:ascii="Arial" w:cs="Arial" w:eastAsia="Arial" w:hAnsi="Arial"/>
          <w:sz w:val="13"/>
          <w:szCs w:val="13"/>
          <w:color w:val="auto"/>
        </w:rPr>
        <w:t xml:space="preserve">THIS AMENDMENT (the “Amendment”) is effective as of February 4, 2010 and amends the July 2, 2008 Amended and Restated Employment Agreement (the “Agreement”) by and between </w:t>
      </w:r>
      <w:r>
        <w:rPr>
          <w:rFonts w:ascii="Arial" w:cs="Arial" w:eastAsia="Arial" w:hAnsi="Arial"/>
          <w:sz w:val="13"/>
          <w:szCs w:val="13"/>
          <w:b w:val="1"/>
          <w:bCs w:val="1"/>
          <w:color w:val="auto"/>
        </w:rPr>
        <w:t>FIDELITY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NATIONAL FINANCIAL, INC., </w:t>
      </w:r>
      <w:r>
        <w:rPr>
          <w:rFonts w:ascii="Arial" w:cs="Arial" w:eastAsia="Arial" w:hAnsi="Arial"/>
          <w:sz w:val="13"/>
          <w:szCs w:val="13"/>
          <w:color w:val="auto"/>
        </w:rPr>
        <w:t>a Delaware corporation (the “Company”), and</w:t>
      </w:r>
      <w:r>
        <w:rPr>
          <w:rFonts w:ascii="Arial" w:cs="Arial" w:eastAsia="Arial" w:hAnsi="Arial"/>
          <w:sz w:val="13"/>
          <w:szCs w:val="13"/>
          <w:b w:val="1"/>
          <w:bCs w:val="1"/>
          <w:color w:val="auto"/>
        </w:rPr>
        <w:t xml:space="preserve"> BRENT B. BICKETT </w:t>
      </w:r>
      <w:r>
        <w:rPr>
          <w:rFonts w:ascii="Arial" w:cs="Arial" w:eastAsia="Arial" w:hAnsi="Arial"/>
          <w:sz w:val="13"/>
          <w:szCs w:val="13"/>
          <w:color w:val="auto"/>
        </w:rPr>
        <w:t>(the “Employee”) as follows: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Excise Taxes</w:t>
      </w:r>
      <w:r>
        <w:rPr>
          <w:rFonts w:ascii="Arial" w:cs="Arial" w:eastAsia="Arial" w:hAnsi="Arial"/>
          <w:sz w:val="13"/>
          <w:szCs w:val="13"/>
          <w:color w:val="auto"/>
        </w:rPr>
        <w:t>. Section 10 of the Agreement is replaced in its entirety with the following:</w:t>
      </w:r>
    </w:p>
    <w:p>
      <w:pPr>
        <w:spacing w:after="0" w:line="86" w:lineRule="exact"/>
        <w:rPr>
          <w:sz w:val="20"/>
          <w:szCs w:val="20"/>
          <w:color w:val="auto"/>
        </w:rPr>
      </w:pPr>
    </w:p>
    <w:p>
      <w:pPr>
        <w:ind w:left="220"/>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Excise Taxes</w:t>
      </w:r>
      <w:r>
        <w:rPr>
          <w:rFonts w:ascii="Arial" w:cs="Arial" w:eastAsia="Arial" w:hAnsi="Arial"/>
          <w:sz w:val="12"/>
          <w:szCs w:val="12"/>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49" w:lineRule="exact"/>
        <w:rPr>
          <w:sz w:val="20"/>
          <w:szCs w:val="20"/>
          <w:color w:val="auto"/>
        </w:rPr>
      </w:pPr>
    </w:p>
    <w:p>
      <w:pPr>
        <w:ind w:right="560" w:firstLine="162"/>
        <w:spacing w:after="0" w:line="276" w:lineRule="auto"/>
        <w:tabs>
          <w:tab w:leader="none" w:pos="295" w:val="left"/>
        </w:tabs>
        <w:numPr>
          <w:ilvl w:val="0"/>
          <w:numId w:val="105"/>
        </w:numPr>
        <w:rPr>
          <w:rFonts w:ascii="Arial" w:cs="Arial" w:eastAsia="Arial" w:hAnsi="Arial"/>
          <w:sz w:val="13"/>
          <w:szCs w:val="13"/>
          <w:color w:val="auto"/>
        </w:rPr>
      </w:pPr>
      <w:r>
        <w:rPr>
          <w:rFonts w:ascii="Arial" w:cs="Arial" w:eastAsia="Arial" w:hAnsi="Arial"/>
          <w:sz w:val="13"/>
          <w:szCs w:val="13"/>
          <w:u w:val="single" w:color="auto"/>
          <w:color w:val="auto"/>
        </w:rPr>
        <w:t>Definitions and Conflicts</w:t>
      </w:r>
      <w:r>
        <w:rPr>
          <w:rFonts w:ascii="Arial" w:cs="Arial" w:eastAsia="Arial" w:hAnsi="Arial"/>
          <w:sz w:val="13"/>
          <w:szCs w:val="13"/>
          <w:color w:val="auto"/>
        </w:rPr>
        <w:t>. All terms not specifically defined in this Amendment shall have the same meaning as in the Agreement. In the event of a conflict between the terms of this Amendment and the Agreement, this Amendment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have executed this Amendment to be effective as of the date first set forth above.</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By: /s/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263398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Its: Executive Vice President, General Counsel and</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Corporate Secretary</w:t>
      </w: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BRENT B. BICKETT</w:t>
      </w:r>
    </w:p>
    <w:p>
      <w:pPr>
        <w:spacing w:after="0" w:line="165" w:lineRule="exact"/>
        <w:rPr>
          <w:sz w:val="20"/>
          <w:szCs w:val="20"/>
          <w:color w:val="auto"/>
        </w:rPr>
      </w:pPr>
    </w:p>
    <w:p>
      <w:pPr>
        <w:jc w:val="center"/>
        <w:ind w:left="320"/>
        <w:spacing w:after="0"/>
        <w:rPr>
          <w:sz w:val="20"/>
          <w:szCs w:val="20"/>
          <w:color w:val="auto"/>
        </w:rPr>
      </w:pPr>
      <w:r>
        <w:rPr>
          <w:rFonts w:ascii="Arial" w:cs="Arial" w:eastAsia="Arial" w:hAnsi="Arial"/>
          <w:sz w:val="13"/>
          <w:szCs w:val="13"/>
          <w:color w:val="auto"/>
        </w:rPr>
        <w:t>/S/ Brent B. Bickett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279654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- 1 -</w:t>
      </w:r>
    </w:p>
    <w:p>
      <w:pPr>
        <w:sectPr>
          <w:pgSz w:w="11900" w:h="16838" w:orient="portrait"/>
          <w:cols w:equalWidth="0" w:num="1">
            <w:col w:w="11460"/>
          </w:cols>
          <w:pgMar w:left="220" w:top="127" w:right="2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3"/>
          <w:szCs w:val="13"/>
          <w:b w:val="1"/>
          <w:bCs w:val="1"/>
          <w:color w:val="auto"/>
        </w:rPr>
        <w:t>Exhibit 10.17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EMPLOYMENT AGREEMENT</w:t>
      </w:r>
    </w:p>
    <w:p>
      <w:pPr>
        <w:spacing w:after="0" w:line="75" w:lineRule="exact"/>
        <w:rPr>
          <w:sz w:val="20"/>
          <w:szCs w:val="20"/>
          <w:color w:val="auto"/>
        </w:rPr>
      </w:pPr>
    </w:p>
    <w:p>
      <w:pPr>
        <w:ind w:right="600" w:firstLine="161"/>
        <w:spacing w:after="0" w:line="283" w:lineRule="auto"/>
        <w:rPr>
          <w:sz w:val="20"/>
          <w:szCs w:val="20"/>
          <w:color w:val="auto"/>
        </w:rPr>
      </w:pPr>
      <w:r>
        <w:rPr>
          <w:rFonts w:ascii="Arial" w:cs="Arial" w:eastAsia="Arial" w:hAnsi="Arial"/>
          <w:sz w:val="13"/>
          <w:szCs w:val="13"/>
          <w:color w:val="auto"/>
        </w:rPr>
        <w:t xml:space="preserve">THIS AMENDMENT (the “Amendment”) is effective as of February 4, 2010 and amends the July 2, 2008 Amended and Restated Employment Agreement (the “Agreement”) by and between </w:t>
      </w:r>
      <w:r>
        <w:rPr>
          <w:rFonts w:ascii="Arial" w:cs="Arial" w:eastAsia="Arial" w:hAnsi="Arial"/>
          <w:sz w:val="13"/>
          <w:szCs w:val="13"/>
          <w:b w:val="1"/>
          <w:bCs w:val="1"/>
          <w:color w:val="auto"/>
        </w:rPr>
        <w:t>FIDELITY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NATIONAL FINANCIAL, INC., </w:t>
      </w:r>
      <w:r>
        <w:rPr>
          <w:rFonts w:ascii="Arial" w:cs="Arial" w:eastAsia="Arial" w:hAnsi="Arial"/>
          <w:sz w:val="13"/>
          <w:szCs w:val="13"/>
          <w:color w:val="auto"/>
        </w:rPr>
        <w:t>a Delaware corporation (the “Company”), and</w:t>
      </w:r>
      <w:r>
        <w:rPr>
          <w:rFonts w:ascii="Arial" w:cs="Arial" w:eastAsia="Arial" w:hAnsi="Arial"/>
          <w:sz w:val="13"/>
          <w:szCs w:val="13"/>
          <w:b w:val="1"/>
          <w:bCs w:val="1"/>
          <w:color w:val="auto"/>
        </w:rPr>
        <w:t xml:space="preserve"> WILLIAM P. FOLEY, II </w:t>
      </w:r>
      <w:r>
        <w:rPr>
          <w:rFonts w:ascii="Arial" w:cs="Arial" w:eastAsia="Arial" w:hAnsi="Arial"/>
          <w:sz w:val="13"/>
          <w:szCs w:val="13"/>
          <w:color w:val="auto"/>
        </w:rPr>
        <w:t>(the “Employee”) as follows: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Other Compensation and Fringe Benefits</w:t>
      </w:r>
      <w:r>
        <w:rPr>
          <w:rFonts w:ascii="Arial" w:cs="Arial" w:eastAsia="Arial" w:hAnsi="Arial"/>
          <w:sz w:val="13"/>
          <w:szCs w:val="13"/>
          <w:color w:val="auto"/>
        </w:rPr>
        <w:t>. Section 5(d) of the Agreement is replaced in its entirety with the following:</w:t>
      </w:r>
    </w:p>
    <w:p>
      <w:pPr>
        <w:spacing w:after="0" w:line="86" w:lineRule="exact"/>
        <w:rPr>
          <w:sz w:val="20"/>
          <w:szCs w:val="20"/>
          <w:color w:val="auto"/>
        </w:rPr>
      </w:pPr>
    </w:p>
    <w:p>
      <w:pPr>
        <w:ind w:left="220" w:right="18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Compensation and Fringe Benefits</w:t>
      </w:r>
      <w:r>
        <w:rPr>
          <w:rFonts w:ascii="Arial" w:cs="Arial" w:eastAsia="Arial" w:hAnsi="Arial"/>
          <w:sz w:val="13"/>
          <w:szCs w:val="13"/>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49" w:lineRule="exact"/>
        <w:rPr>
          <w:sz w:val="20"/>
          <w:szCs w:val="20"/>
          <w:color w:val="auto"/>
        </w:rPr>
      </w:pPr>
    </w:p>
    <w:p>
      <w:pPr>
        <w:ind w:left="220" w:right="240" w:firstLine="8"/>
        <w:spacing w:after="0" w:line="258" w:lineRule="auto"/>
        <w:tabs>
          <w:tab w:leader="none" w:pos="405"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200%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11"/>
          <w:szCs w:val="11"/>
          <w:color w:val="auto"/>
        </w:rPr>
        <w:t>th</w:t>
      </w:r>
      <w:r>
        <w:rPr>
          <w:rFonts w:ascii="Arial" w:cs="Arial" w:eastAsia="Arial" w:hAnsi="Arial"/>
          <w:sz w:val="13"/>
          <w:szCs w:val="13"/>
          <w:color w:val="auto"/>
        </w:rPr>
        <w:t xml:space="preserve"> first following the calendar year to which the Annual Bonus relates; and”</w:t>
      </w:r>
    </w:p>
    <w:p>
      <w:pPr>
        <w:spacing w:after="0" w:line="61" w:lineRule="exact"/>
        <w:rPr>
          <w:rFonts w:ascii="Arial" w:cs="Arial" w:eastAsia="Arial" w:hAnsi="Arial"/>
          <w:sz w:val="13"/>
          <w:szCs w:val="13"/>
          <w:color w:val="auto"/>
        </w:rPr>
      </w:pPr>
    </w:p>
    <w:p>
      <w:pPr>
        <w:ind w:left="300" w:hanging="138"/>
        <w:spacing w:after="0"/>
        <w:tabs>
          <w:tab w:leader="none" w:pos="300"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Obligations of the Company Upon Termination</w:t>
      </w:r>
      <w:r>
        <w:rPr>
          <w:rFonts w:ascii="Arial" w:cs="Arial" w:eastAsia="Arial" w:hAnsi="Arial"/>
          <w:sz w:val="13"/>
          <w:szCs w:val="13"/>
          <w:color w:val="auto"/>
        </w:rPr>
        <w:t>. The preamble of Section 9(a), but not subsections (i) — (v) of Section 9(a), of the Agreement is replaced in its entirety with the following:</w:t>
      </w:r>
    </w:p>
    <w:p>
      <w:pPr>
        <w:spacing w:after="0" w:line="86" w:lineRule="exact"/>
        <w:rPr>
          <w:sz w:val="20"/>
          <w:szCs w:val="20"/>
          <w:color w:val="auto"/>
        </w:rPr>
      </w:pPr>
    </w:p>
    <w:p>
      <w:pPr>
        <w:ind w:left="220" w:right="32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by the Company for a Reason Other than Cause, Death or Disability or Termination by the Employee for Good Reason</w:t>
      </w:r>
      <w:r>
        <w:rPr>
          <w:rFonts w:ascii="Arial" w:cs="Arial" w:eastAsia="Arial" w:hAnsi="Arial"/>
          <w:sz w:val="13"/>
          <w:szCs w:val="13"/>
          <w:color w:val="auto"/>
        </w:rPr>
        <w:t>. If the Employee’s employment is terminated by : (1) the Company for any reason other than Cause, Death or Disability; or (2) the Employee for Good Reason:”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Excise Taxes</w:t>
      </w:r>
      <w:r>
        <w:rPr>
          <w:rFonts w:ascii="Arial" w:cs="Arial" w:eastAsia="Arial" w:hAnsi="Arial"/>
          <w:sz w:val="13"/>
          <w:szCs w:val="13"/>
          <w:color w:val="auto"/>
        </w:rPr>
        <w:t>. Section 10 of the Agreement is replaced in its entirety with the following:</w:t>
      </w:r>
    </w:p>
    <w:p>
      <w:pPr>
        <w:spacing w:after="0" w:line="86" w:lineRule="exact"/>
        <w:rPr>
          <w:sz w:val="20"/>
          <w:szCs w:val="20"/>
          <w:color w:val="auto"/>
        </w:rPr>
      </w:pPr>
    </w:p>
    <w:p>
      <w:pPr>
        <w:ind w:left="220" w:right="140"/>
        <w:spacing w:after="0" w:line="33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Excise Taxes</w:t>
      </w:r>
      <w:r>
        <w:rPr>
          <w:rFonts w:ascii="Arial" w:cs="Arial" w:eastAsia="Arial" w:hAnsi="Arial"/>
          <w:sz w:val="11"/>
          <w:szCs w:val="11"/>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8" w:name="page159"/>
    <w:bookmarkEnd w:id="158"/>
    <w:p>
      <w:pPr>
        <w:ind w:left="220"/>
        <w:spacing w:after="0" w:line="258" w:lineRule="auto"/>
        <w:rPr>
          <w:sz w:val="20"/>
          <w:szCs w:val="20"/>
          <w:color w:val="auto"/>
        </w:rPr>
      </w:pPr>
      <w:r>
        <w:rPr>
          <w:rFonts w:ascii="Arial" w:cs="Arial" w:eastAsia="Arial" w:hAnsi="Arial"/>
          <w:sz w:val="13"/>
          <w:szCs w:val="13"/>
          <w:color w:val="auto"/>
        </w:rPr>
        <w:t>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61" w:lineRule="exact"/>
        <w:rPr>
          <w:sz w:val="20"/>
          <w:szCs w:val="20"/>
          <w:color w:val="auto"/>
        </w:rPr>
      </w:pPr>
    </w:p>
    <w:p>
      <w:pPr>
        <w:ind w:right="560" w:firstLine="162"/>
        <w:spacing w:after="0" w:line="276" w:lineRule="auto"/>
        <w:tabs>
          <w:tab w:leader="none" w:pos="295"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Definitions and Conflicts</w:t>
      </w:r>
      <w:r>
        <w:rPr>
          <w:rFonts w:ascii="Arial" w:cs="Arial" w:eastAsia="Arial" w:hAnsi="Arial"/>
          <w:sz w:val="13"/>
          <w:szCs w:val="13"/>
          <w:color w:val="auto"/>
        </w:rPr>
        <w:t>. All terms not specifically defined in this Amendment shall have the same meaning as in the Agreement. In the event of a conflict between the terms of this Amendment and the Agreement, this Amendment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have executed this Amendment to be effective as of the date first set forth above.</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By: /s/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263398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Its: Executive Vice President, General Counsel and</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Corporate Secretary</w:t>
      </w: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WILLIAM P. FOLEY, II</w:t>
      </w:r>
    </w:p>
    <w:p>
      <w:pPr>
        <w:spacing w:after="0" w:line="165"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279654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ectPr>
          <w:pgSz w:w="11900" w:h="16838" w:orient="portrait"/>
          <w:cols w:equalWidth="0" w:num="1">
            <w:col w:w="11460"/>
          </w:cols>
          <w:pgMar w:left="220" w:top="721"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3"/>
          <w:szCs w:val="13"/>
          <w:b w:val="1"/>
          <w:bCs w:val="1"/>
          <w:color w:val="auto"/>
        </w:rPr>
        <w:t>Exhibit 10.19</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EMPLOYMENT AGREEMENT</w:t>
      </w:r>
    </w:p>
    <w:p>
      <w:pPr>
        <w:spacing w:after="0" w:line="75" w:lineRule="exact"/>
        <w:rPr>
          <w:sz w:val="20"/>
          <w:szCs w:val="20"/>
          <w:color w:val="auto"/>
        </w:rPr>
      </w:pPr>
    </w:p>
    <w:p>
      <w:pPr>
        <w:ind w:right="400" w:firstLine="161"/>
        <w:spacing w:after="0" w:line="283" w:lineRule="auto"/>
        <w:rPr>
          <w:sz w:val="20"/>
          <w:szCs w:val="20"/>
          <w:color w:val="auto"/>
        </w:rPr>
      </w:pPr>
      <w:r>
        <w:rPr>
          <w:rFonts w:ascii="Arial" w:cs="Arial" w:eastAsia="Arial" w:hAnsi="Arial"/>
          <w:sz w:val="13"/>
          <w:szCs w:val="13"/>
          <w:color w:val="auto"/>
        </w:rPr>
        <w:t xml:space="preserve">THIS AMENDMENT (the “Amendment”) is effective as of February 4, 2010 and amends the January 1, 2009 Amended and Restated Employment Agreement (the “Agreement”) by and between </w:t>
      </w:r>
      <w:r>
        <w:rPr>
          <w:rFonts w:ascii="Arial" w:cs="Arial" w:eastAsia="Arial" w:hAnsi="Arial"/>
          <w:sz w:val="13"/>
          <w:szCs w:val="13"/>
          <w:b w:val="1"/>
          <w:bCs w:val="1"/>
          <w:color w:val="auto"/>
        </w:rPr>
        <w:t>FIDELITY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NATIONAL FINANCIAL, INC., </w:t>
      </w:r>
      <w:r>
        <w:rPr>
          <w:rFonts w:ascii="Arial" w:cs="Arial" w:eastAsia="Arial" w:hAnsi="Arial"/>
          <w:sz w:val="13"/>
          <w:szCs w:val="13"/>
          <w:color w:val="auto"/>
        </w:rPr>
        <w:t>a Delaware corporation (the “Company”), and</w:t>
      </w:r>
      <w:r>
        <w:rPr>
          <w:rFonts w:ascii="Arial" w:cs="Arial" w:eastAsia="Arial" w:hAnsi="Arial"/>
          <w:sz w:val="13"/>
          <w:szCs w:val="13"/>
          <w:b w:val="1"/>
          <w:bCs w:val="1"/>
          <w:color w:val="auto"/>
        </w:rPr>
        <w:t xml:space="preserve"> ALAN L. STINSON </w:t>
      </w:r>
      <w:r>
        <w:rPr>
          <w:rFonts w:ascii="Arial" w:cs="Arial" w:eastAsia="Arial" w:hAnsi="Arial"/>
          <w:sz w:val="13"/>
          <w:szCs w:val="13"/>
          <w:color w:val="auto"/>
        </w:rPr>
        <w:t>(the “Employee”) as follows: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Salary</w:t>
      </w:r>
      <w:r>
        <w:rPr>
          <w:rFonts w:ascii="Arial" w:cs="Arial" w:eastAsia="Arial" w:hAnsi="Arial"/>
          <w:sz w:val="13"/>
          <w:szCs w:val="13"/>
          <w:color w:val="auto"/>
        </w:rPr>
        <w:t>. The first two sentences of Section 4 of the Agreement is replaced in its entirety with the following:</w:t>
      </w:r>
    </w:p>
    <w:p>
      <w:pPr>
        <w:spacing w:after="0" w:line="86" w:lineRule="exact"/>
        <w:rPr>
          <w:sz w:val="20"/>
          <w:szCs w:val="20"/>
          <w:color w:val="auto"/>
        </w:rPr>
      </w:pPr>
    </w:p>
    <w:p>
      <w:pPr>
        <w:ind w:left="220" w:right="16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Salary</w:t>
      </w:r>
      <w:r>
        <w:rPr>
          <w:rFonts w:ascii="Arial" w:cs="Arial" w:eastAsia="Arial" w:hAnsi="Arial"/>
          <w:sz w:val="13"/>
          <w:szCs w:val="13"/>
          <w:color w:val="auto"/>
        </w:rPr>
        <w:t>. The Company shall pay Employee an annual base salary, before deducting all applicable withholdings, of no less than $600,000 per year, payable at the time and in the manner dictated by the Company’s standard payroll policies.”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Other Compensation and Fringe Benefits</w:t>
      </w:r>
      <w:r>
        <w:rPr>
          <w:rFonts w:ascii="Arial" w:cs="Arial" w:eastAsia="Arial" w:hAnsi="Arial"/>
          <w:sz w:val="13"/>
          <w:szCs w:val="13"/>
          <w:color w:val="auto"/>
        </w:rPr>
        <w:t>. Section 5(d) of the Agreement is replaced in its entirety with the following:</w:t>
      </w:r>
    </w:p>
    <w:p>
      <w:pPr>
        <w:spacing w:after="0" w:line="86" w:lineRule="exact"/>
        <w:rPr>
          <w:sz w:val="20"/>
          <w:szCs w:val="20"/>
          <w:color w:val="auto"/>
        </w:rPr>
      </w:pPr>
    </w:p>
    <w:p>
      <w:pPr>
        <w:ind w:left="220" w:right="18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Compensation and Fringe Benefits</w:t>
      </w:r>
      <w:r>
        <w:rPr>
          <w:rFonts w:ascii="Arial" w:cs="Arial" w:eastAsia="Arial" w:hAnsi="Arial"/>
          <w:sz w:val="13"/>
          <w:szCs w:val="13"/>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49" w:lineRule="exact"/>
        <w:rPr>
          <w:sz w:val="20"/>
          <w:szCs w:val="20"/>
          <w:color w:val="auto"/>
        </w:rPr>
      </w:pPr>
    </w:p>
    <w:p>
      <w:pPr>
        <w:ind w:left="220" w:right="240" w:firstLine="8"/>
        <w:spacing w:after="0" w:line="258" w:lineRule="auto"/>
        <w:tabs>
          <w:tab w:leader="none" w:pos="405" w:val="left"/>
        </w:tabs>
        <w:numPr>
          <w:ilvl w:val="1"/>
          <w:numId w:val="109"/>
        </w:numPr>
        <w:rPr>
          <w:rFonts w:ascii="Arial" w:cs="Arial" w:eastAsia="Arial" w:hAnsi="Arial"/>
          <w:sz w:val="13"/>
          <w:szCs w:val="13"/>
          <w:color w:val="auto"/>
        </w:rPr>
      </w:pPr>
      <w:r>
        <w:rPr>
          <w:rFonts w:ascii="Arial" w:cs="Arial" w:eastAsia="Arial" w:hAnsi="Arial"/>
          <w:sz w:val="13"/>
          <w:szCs w:val="13"/>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125%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11"/>
          <w:szCs w:val="11"/>
          <w:color w:val="auto"/>
        </w:rPr>
        <w:t>th</w:t>
      </w:r>
      <w:r>
        <w:rPr>
          <w:rFonts w:ascii="Arial" w:cs="Arial" w:eastAsia="Arial" w:hAnsi="Arial"/>
          <w:sz w:val="13"/>
          <w:szCs w:val="13"/>
          <w:color w:val="auto"/>
        </w:rPr>
        <w:t xml:space="preserve"> first following the calendar year to which the Annual Bonus relates; and”</w:t>
      </w:r>
    </w:p>
    <w:p>
      <w:pPr>
        <w:spacing w:after="0" w:line="61" w:lineRule="exact"/>
        <w:rPr>
          <w:rFonts w:ascii="Arial" w:cs="Arial" w:eastAsia="Arial" w:hAnsi="Arial"/>
          <w:sz w:val="13"/>
          <w:szCs w:val="13"/>
          <w:color w:val="auto"/>
        </w:rPr>
      </w:pPr>
    </w:p>
    <w:p>
      <w:pPr>
        <w:ind w:left="300" w:hanging="138"/>
        <w:spacing w:after="0"/>
        <w:tabs>
          <w:tab w:leader="none" w:pos="300"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Excise Taxes</w:t>
      </w:r>
      <w:r>
        <w:rPr>
          <w:rFonts w:ascii="Arial" w:cs="Arial" w:eastAsia="Arial" w:hAnsi="Arial"/>
          <w:sz w:val="13"/>
          <w:szCs w:val="13"/>
          <w:color w:val="auto"/>
        </w:rPr>
        <w:t>. Section 10 of the Agreement is replaced in its entirety with the following:</w:t>
      </w:r>
    </w:p>
    <w:p>
      <w:pPr>
        <w:spacing w:after="0" w:line="86" w:lineRule="exact"/>
        <w:rPr>
          <w:sz w:val="20"/>
          <w:szCs w:val="20"/>
          <w:color w:val="auto"/>
        </w:rPr>
      </w:pPr>
    </w:p>
    <w:p>
      <w:pPr>
        <w:ind w:left="220" w:right="140"/>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Excise Taxes</w:t>
      </w:r>
      <w:r>
        <w:rPr>
          <w:rFonts w:ascii="Arial" w:cs="Arial" w:eastAsia="Arial" w:hAnsi="Arial"/>
          <w:sz w:val="12"/>
          <w:szCs w:val="12"/>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0" w:name="page161"/>
    <w:bookmarkEnd w:id="160"/>
    <w:p>
      <w:pPr>
        <w:ind w:left="180"/>
        <w:spacing w:after="0" w:line="280" w:lineRule="auto"/>
        <w:rPr>
          <w:sz w:val="20"/>
          <w:szCs w:val="20"/>
          <w:color w:val="auto"/>
        </w:rPr>
      </w:pPr>
      <w:r>
        <w:rPr>
          <w:rFonts w:ascii="Arial" w:cs="Arial" w:eastAsia="Arial" w:hAnsi="Arial"/>
          <w:sz w:val="12"/>
          <w:szCs w:val="12"/>
          <w:color w:val="auto"/>
        </w:rPr>
        <w:t>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w:t>
      </w:r>
    </w:p>
    <w:p>
      <w:pPr>
        <w:ind w:left="180" w:right="260" w:firstLine="8"/>
        <w:spacing w:after="0" w:line="264" w:lineRule="auto"/>
        <w:tabs>
          <w:tab w:leader="none" w:pos="409" w:val="left"/>
        </w:tabs>
        <w:numPr>
          <w:ilvl w:val="1"/>
          <w:numId w:val="111"/>
        </w:numPr>
        <w:rPr>
          <w:rFonts w:ascii="Arial" w:cs="Arial" w:eastAsia="Arial" w:hAnsi="Arial"/>
          <w:sz w:val="13"/>
          <w:szCs w:val="13"/>
          <w:color w:val="auto"/>
        </w:rPr>
      </w:pPr>
      <w:r>
        <w:rPr>
          <w:rFonts w:ascii="Arial" w:cs="Arial" w:eastAsia="Arial" w:hAnsi="Arial"/>
          <w:sz w:val="13"/>
          <w:szCs w:val="13"/>
          <w:color w:val="auto"/>
        </w:rPr>
        <w:t>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56" w:lineRule="exact"/>
        <w:rPr>
          <w:rFonts w:ascii="Arial" w:cs="Arial" w:eastAsia="Arial" w:hAnsi="Arial"/>
          <w:sz w:val="13"/>
          <w:szCs w:val="13"/>
          <w:color w:val="auto"/>
        </w:rPr>
      </w:pPr>
    </w:p>
    <w:p>
      <w:pPr>
        <w:ind w:left="-40" w:right="540" w:firstLine="162"/>
        <w:spacing w:after="0" w:line="276" w:lineRule="auto"/>
        <w:tabs>
          <w:tab w:leader="none" w:pos="255" w:val="left"/>
        </w:tabs>
        <w:numPr>
          <w:ilvl w:val="0"/>
          <w:numId w:val="112"/>
        </w:numPr>
        <w:rPr>
          <w:rFonts w:ascii="Arial" w:cs="Arial" w:eastAsia="Arial" w:hAnsi="Arial"/>
          <w:sz w:val="13"/>
          <w:szCs w:val="13"/>
          <w:color w:val="auto"/>
        </w:rPr>
      </w:pPr>
      <w:r>
        <w:rPr>
          <w:rFonts w:ascii="Arial" w:cs="Arial" w:eastAsia="Arial" w:hAnsi="Arial"/>
          <w:sz w:val="13"/>
          <w:szCs w:val="13"/>
          <w:u w:val="single" w:color="auto"/>
          <w:color w:val="auto"/>
        </w:rPr>
        <w:t>Definitions and Conflicts</w:t>
      </w:r>
      <w:r>
        <w:rPr>
          <w:rFonts w:ascii="Arial" w:cs="Arial" w:eastAsia="Arial" w:hAnsi="Arial"/>
          <w:sz w:val="13"/>
          <w:szCs w:val="13"/>
          <w:color w:val="auto"/>
        </w:rPr>
        <w:t>. All terms not specifically defined in this Amendment shall have the same meaning as in the Agreement. In the event of a conflict between the terms of this Amendment and the Agreement, this Amendment shall control.</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 WITNESS WHEREOF the parties have executed this Amendment to be effective as of the date first set forth above.</w:t>
      </w:r>
    </w:p>
    <w:p>
      <w:pPr>
        <w:spacing w:after="0" w:line="16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By: /s/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10795</wp:posOffset>
            </wp:positionV>
            <wp:extent cx="263398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3"/>
          <w:szCs w:val="13"/>
          <w:color w:val="auto"/>
        </w:rPr>
        <w:t>Its: Executive Vice President, General Counsel and</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Corporate Secretary</w:t>
      </w:r>
    </w:p>
    <w:p>
      <w:pPr>
        <w:spacing w:after="0" w:line="3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ALAN L. STINSON</w:t>
      </w:r>
    </w:p>
    <w:p>
      <w:pPr>
        <w:spacing w:after="0" w:line="165" w:lineRule="exact"/>
        <w:rPr>
          <w:sz w:val="20"/>
          <w:szCs w:val="20"/>
          <w:color w:val="auto"/>
        </w:rPr>
      </w:pPr>
    </w:p>
    <w:p>
      <w:pPr>
        <w:jc w:val="center"/>
        <w:ind w:left="280"/>
        <w:spacing w:after="0"/>
        <w:rPr>
          <w:sz w:val="20"/>
          <w:szCs w:val="20"/>
          <w:color w:val="auto"/>
        </w:rPr>
      </w:pPr>
      <w:r>
        <w:rPr>
          <w:rFonts w:ascii="Arial" w:cs="Arial" w:eastAsia="Arial" w:hAnsi="Arial"/>
          <w:sz w:val="13"/>
          <w:szCs w:val="13"/>
          <w:color w:val="auto"/>
        </w:rPr>
        <w:t>/s/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10795</wp:posOffset>
            </wp:positionV>
            <wp:extent cx="279654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ectPr>
          <w:pgSz w:w="11900" w:h="16838" w:orient="portrait"/>
          <w:cols w:equalWidth="0" w:num="1">
            <w:col w:w="11400"/>
          </w:cols>
          <w:pgMar w:left="260" w:top="7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b w:val="1"/>
          <w:bCs w:val="1"/>
          <w:color w:val="auto"/>
        </w:rPr>
        <w:t>Exhibit 10.21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EMPLOYMENT AGREEMENT</w:t>
      </w:r>
    </w:p>
    <w:p>
      <w:pPr>
        <w:spacing w:after="0" w:line="75" w:lineRule="exact"/>
        <w:rPr>
          <w:sz w:val="20"/>
          <w:szCs w:val="20"/>
          <w:color w:val="auto"/>
        </w:rPr>
      </w:pPr>
    </w:p>
    <w:p>
      <w:pPr>
        <w:ind w:right="320" w:firstLine="161"/>
        <w:spacing w:after="0" w:line="283" w:lineRule="auto"/>
        <w:rPr>
          <w:sz w:val="20"/>
          <w:szCs w:val="20"/>
          <w:color w:val="auto"/>
        </w:rPr>
      </w:pPr>
      <w:r>
        <w:rPr>
          <w:rFonts w:ascii="Arial" w:cs="Arial" w:eastAsia="Arial" w:hAnsi="Arial"/>
          <w:sz w:val="13"/>
          <w:szCs w:val="13"/>
          <w:color w:val="auto"/>
        </w:rPr>
        <w:t xml:space="preserve">THIS AMENDMENT (the “Amendment”) is effective as of February 4, 2010 and amends the October 10, 2008 Amended and Restated Employment Agreement (the “Agreement”) by and between </w:t>
      </w:r>
      <w:r>
        <w:rPr>
          <w:rFonts w:ascii="Arial" w:cs="Arial" w:eastAsia="Arial" w:hAnsi="Arial"/>
          <w:sz w:val="13"/>
          <w:szCs w:val="13"/>
          <w:b w:val="1"/>
          <w:bCs w:val="1"/>
          <w:color w:val="auto"/>
        </w:rPr>
        <w:t>FIDELITY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NATIONAL FINANCIAL, INC., </w:t>
      </w:r>
      <w:r>
        <w:rPr>
          <w:rFonts w:ascii="Arial" w:cs="Arial" w:eastAsia="Arial" w:hAnsi="Arial"/>
          <w:sz w:val="13"/>
          <w:szCs w:val="13"/>
          <w:color w:val="auto"/>
        </w:rPr>
        <w:t>a Delaware corporation (the “Company”), and</w:t>
      </w:r>
      <w:r>
        <w:rPr>
          <w:rFonts w:ascii="Arial" w:cs="Arial" w:eastAsia="Arial" w:hAnsi="Arial"/>
          <w:sz w:val="13"/>
          <w:szCs w:val="13"/>
          <w:b w:val="1"/>
          <w:bCs w:val="1"/>
          <w:color w:val="auto"/>
        </w:rPr>
        <w:t xml:space="preserve"> RAYMOND R. QUIRK </w:t>
      </w:r>
      <w:r>
        <w:rPr>
          <w:rFonts w:ascii="Arial" w:cs="Arial" w:eastAsia="Arial" w:hAnsi="Arial"/>
          <w:sz w:val="13"/>
          <w:szCs w:val="13"/>
          <w:color w:val="auto"/>
        </w:rPr>
        <w:t>(the “Employee”) as follows: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Excise Taxes</w:t>
      </w:r>
      <w:r>
        <w:rPr>
          <w:rFonts w:ascii="Arial" w:cs="Arial" w:eastAsia="Arial" w:hAnsi="Arial"/>
          <w:sz w:val="13"/>
          <w:szCs w:val="13"/>
          <w:color w:val="auto"/>
        </w:rPr>
        <w:t>. Section 9 of the Agreement is replaced in its entirety with the following:</w:t>
      </w:r>
    </w:p>
    <w:p>
      <w:pPr>
        <w:spacing w:after="0" w:line="86" w:lineRule="exact"/>
        <w:rPr>
          <w:sz w:val="20"/>
          <w:szCs w:val="20"/>
          <w:color w:val="auto"/>
        </w:rPr>
      </w:pPr>
    </w:p>
    <w:p>
      <w:pPr>
        <w:ind w:left="220"/>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Excise Taxes</w:t>
      </w:r>
      <w:r>
        <w:rPr>
          <w:rFonts w:ascii="Arial" w:cs="Arial" w:eastAsia="Arial" w:hAnsi="Arial"/>
          <w:sz w:val="12"/>
          <w:szCs w:val="12"/>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49" w:lineRule="exact"/>
        <w:rPr>
          <w:sz w:val="20"/>
          <w:szCs w:val="20"/>
          <w:color w:val="auto"/>
        </w:rPr>
      </w:pPr>
    </w:p>
    <w:p>
      <w:pPr>
        <w:ind w:right="560" w:firstLine="162"/>
        <w:spacing w:after="0" w:line="276" w:lineRule="auto"/>
        <w:tabs>
          <w:tab w:leader="none" w:pos="295"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Definitions and Conflicts</w:t>
      </w:r>
      <w:r>
        <w:rPr>
          <w:rFonts w:ascii="Arial" w:cs="Arial" w:eastAsia="Arial" w:hAnsi="Arial"/>
          <w:sz w:val="13"/>
          <w:szCs w:val="13"/>
          <w:color w:val="auto"/>
        </w:rPr>
        <w:t>. All terms not specifically defined in this Amendment shall have the same meaning as in the Agreement. In the event of a conflict between the terms of this Amendment and the Agreement, this Amendment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have executed this Amendment to be effective as of the date first set forth above.</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By: /s/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263398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Its: Executive Vice President, General Counsel and</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Corporate Secretary</w:t>
      </w: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RAYMOND R. QUIRK</w:t>
      </w:r>
    </w:p>
    <w:p>
      <w:pPr>
        <w:spacing w:after="0" w:line="165"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279654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10.22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THIS AMENDED AND RESTATED EMPLOYMENT AGREEMENT (the “Agreement”) is effective as of January 1, 2010 (the “Effective Date”), by and between </w:t>
      </w:r>
      <w:r>
        <w:rPr>
          <w:rFonts w:ascii="Arial" w:cs="Arial" w:eastAsia="Arial" w:hAnsi="Arial"/>
          <w:sz w:val="12"/>
          <w:szCs w:val="12"/>
          <w:b w:val="1"/>
          <w:bCs w:val="1"/>
          <w:color w:val="auto"/>
        </w:rPr>
        <w:t>FIDELITY NATIONAL FINANCIAL, INC.</w:t>
      </w:r>
      <w:r>
        <w:rPr>
          <w:rFonts w:ascii="Arial" w:cs="Arial" w:eastAsia="Arial" w:hAnsi="Arial"/>
          <w:sz w:val="12"/>
          <w:szCs w:val="12"/>
          <w:color w:val="auto"/>
        </w:rPr>
        <w:t>, a</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Delaware corporation (the “Company”), and </w:t>
      </w:r>
      <w:r>
        <w:rPr>
          <w:rFonts w:ascii="Arial" w:cs="Arial" w:eastAsia="Arial" w:hAnsi="Arial"/>
          <w:sz w:val="13"/>
          <w:szCs w:val="13"/>
          <w:b w:val="1"/>
          <w:bCs w:val="1"/>
          <w:color w:val="auto"/>
        </w:rPr>
        <w:t>MICHAEL L. GRAVELLE</w:t>
      </w:r>
      <w:r>
        <w:rPr>
          <w:rFonts w:ascii="Arial" w:cs="Arial" w:eastAsia="Arial" w:hAnsi="Arial"/>
          <w:sz w:val="13"/>
          <w:szCs w:val="13"/>
          <w:color w:val="auto"/>
        </w:rPr>
        <w:t xml:space="preserve"> (the “Employee”). In consideration of the mutual covenants and agreements set forth herein, the parties agree as follows:</w:t>
      </w:r>
    </w:p>
    <w:p>
      <w:pPr>
        <w:spacing w:after="0" w:line="79" w:lineRule="exact"/>
        <w:rPr>
          <w:sz w:val="20"/>
          <w:szCs w:val="20"/>
          <w:color w:val="auto"/>
        </w:rPr>
      </w:pPr>
    </w:p>
    <w:p>
      <w:pPr>
        <w:ind w:right="120" w:firstLine="162"/>
        <w:spacing w:after="0" w:line="296" w:lineRule="auto"/>
        <w:tabs>
          <w:tab w:leader="none" w:pos="295" w:val="left"/>
        </w:tabs>
        <w:numPr>
          <w:ilvl w:val="0"/>
          <w:numId w:val="114"/>
        </w:numPr>
        <w:rPr>
          <w:rFonts w:ascii="Arial" w:cs="Arial" w:eastAsia="Arial" w:hAnsi="Arial"/>
          <w:sz w:val="12"/>
          <w:szCs w:val="12"/>
          <w:color w:val="auto"/>
        </w:rPr>
      </w:pPr>
      <w:r>
        <w:rPr>
          <w:rFonts w:ascii="Arial" w:cs="Arial" w:eastAsia="Arial" w:hAnsi="Arial"/>
          <w:sz w:val="12"/>
          <w:szCs w:val="12"/>
          <w:u w:val="single" w:color="auto"/>
          <w:color w:val="auto"/>
        </w:rPr>
        <w:t>Purpose</w:t>
      </w:r>
      <w:r>
        <w:rPr>
          <w:rFonts w:ascii="Arial" w:cs="Arial" w:eastAsia="Arial" w:hAnsi="Arial"/>
          <w:sz w:val="12"/>
          <w:szCs w:val="12"/>
          <w:color w:val="auto"/>
        </w:rPr>
        <w:t>. This Agreement amends and restates, in its entirety, the obligations of the parties under the agreement between the Company and the Employee, dated as of October 24, 2006, as amended by that certain Amended and Restated Employment Agreement dated as of July 2, 2008 (the “Prior Agreement”). The purpose of this Agreement is to recognize the Employee’s significant contributions to the overall financial performance and success of the Company and to provide a single, integrated document which shall provide the basis for the Employee’s continued employment by the Company.</w:t>
      </w:r>
    </w:p>
    <w:p>
      <w:pPr>
        <w:spacing w:after="0" w:line="39" w:lineRule="exact"/>
        <w:rPr>
          <w:rFonts w:ascii="Arial" w:cs="Arial" w:eastAsia="Arial" w:hAnsi="Arial"/>
          <w:sz w:val="12"/>
          <w:szCs w:val="12"/>
          <w:color w:val="auto"/>
        </w:rPr>
      </w:pPr>
    </w:p>
    <w:p>
      <w:pPr>
        <w:ind w:right="80" w:firstLine="162"/>
        <w:spacing w:after="0" w:line="312" w:lineRule="auto"/>
        <w:tabs>
          <w:tab w:leader="none" w:pos="295" w:val="left"/>
        </w:tabs>
        <w:numPr>
          <w:ilvl w:val="0"/>
          <w:numId w:val="114"/>
        </w:numPr>
        <w:rPr>
          <w:rFonts w:ascii="Arial" w:cs="Arial" w:eastAsia="Arial" w:hAnsi="Arial"/>
          <w:sz w:val="11"/>
          <w:szCs w:val="11"/>
          <w:color w:val="auto"/>
        </w:rPr>
      </w:pPr>
      <w:r>
        <w:rPr>
          <w:rFonts w:ascii="Arial" w:cs="Arial" w:eastAsia="Arial" w:hAnsi="Arial"/>
          <w:sz w:val="11"/>
          <w:szCs w:val="11"/>
          <w:u w:val="single" w:color="auto"/>
          <w:color w:val="auto"/>
        </w:rPr>
        <w:t>Employment and Duties</w:t>
      </w:r>
      <w:r>
        <w:rPr>
          <w:rFonts w:ascii="Arial" w:cs="Arial" w:eastAsia="Arial" w:hAnsi="Arial"/>
          <w:sz w:val="11"/>
          <w:szCs w:val="11"/>
          <w:color w:val="auto"/>
        </w:rPr>
        <w:t>. Subject to the terms and conditions of this Agreement, the Company agrees to continue to employ the Employee to serve in an executive capacity as Executive Vice President, General Counsel and Corporate Secretary. The Employee accepts such continued employment and agrees to undertake and discharge the duties, functions and responsibilities commensurate with the aforesaid position and such other duties, functions and responsibilities as may be prescribed from time to time by the Chief Executive Officer (the “CEO”) or the Chairman of the Board of Directors of the Company. Except as expressly provided in Subsection 13(c), the Employee shall devote approximately half of his business time, attention and effort to the performance of his duties hereunder and, except has described below, shall not engage in any business, profession or occupation, for compensation or otherwise without the express written consent of the CEO, other than personal, personal investment, charitable, or civic activities or other matters that do not conflict with the Employee’s duties. The Company acknowledges and agrees that Employee is now and may continue to serve as an officer of Fidelity National Information Services, Inc. and other non-competitor companies.</w:t>
      </w:r>
    </w:p>
    <w:p>
      <w:pPr>
        <w:spacing w:after="0" w:line="35" w:lineRule="exact"/>
        <w:rPr>
          <w:rFonts w:ascii="Arial" w:cs="Arial" w:eastAsia="Arial" w:hAnsi="Arial"/>
          <w:sz w:val="11"/>
          <w:szCs w:val="11"/>
          <w:color w:val="auto"/>
        </w:rPr>
      </w:pPr>
    </w:p>
    <w:p>
      <w:pPr>
        <w:ind w:right="20" w:firstLine="162"/>
        <w:spacing w:after="0" w:line="285" w:lineRule="auto"/>
        <w:tabs>
          <w:tab w:leader="none" w:pos="295" w:val="left"/>
        </w:tabs>
        <w:numPr>
          <w:ilvl w:val="0"/>
          <w:numId w:val="114"/>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8 through 28 shall remain in effect until all parties’ obligations and benefits are satisfied thereunder.</w:t>
      </w:r>
    </w:p>
    <w:p>
      <w:pPr>
        <w:spacing w:after="0" w:line="45" w:lineRule="exact"/>
        <w:rPr>
          <w:rFonts w:ascii="Arial" w:cs="Arial" w:eastAsia="Arial" w:hAnsi="Arial"/>
          <w:sz w:val="12"/>
          <w:szCs w:val="12"/>
          <w:color w:val="auto"/>
        </w:rPr>
      </w:pPr>
    </w:p>
    <w:p>
      <w:pPr>
        <w:ind w:left="300" w:hanging="138"/>
        <w:spacing w:after="0"/>
        <w:tabs>
          <w:tab w:leader="none" w:pos="300"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Salary</w:t>
      </w:r>
      <w:r>
        <w:rPr>
          <w:rFonts w:ascii="Arial" w:cs="Arial" w:eastAsia="Arial" w:hAnsi="Arial"/>
          <w:sz w:val="13"/>
          <w:szCs w:val="13"/>
          <w:color w:val="auto"/>
        </w:rPr>
        <w:t>. During the Employment Term, the Company shall pay the Employee a base salary at an annual rate, before deducting all applicable withholdings, of no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3" w:name="page164"/>
    <w:bookmarkEnd w:id="163"/>
    <w:p>
      <w:pPr>
        <w:jc w:val="both"/>
        <w:ind w:right="100"/>
        <w:spacing w:after="0" w:line="264" w:lineRule="auto"/>
        <w:rPr>
          <w:sz w:val="20"/>
          <w:szCs w:val="20"/>
          <w:color w:val="auto"/>
        </w:rPr>
      </w:pPr>
      <w:r>
        <w:rPr>
          <w:rFonts w:ascii="Arial" w:cs="Arial" w:eastAsia="Arial" w:hAnsi="Arial"/>
          <w:sz w:val="13"/>
          <w:szCs w:val="13"/>
          <w:color w:val="auto"/>
        </w:rPr>
        <w:t>$230,000 per year, payable at the time and in the manner dictated by the Company’s standard payroll policies. Such minimum annual base salary may be periodically reviewed and increased (but not decreased without the Employee’s express written consent) at the discretion of the Compensation Committee of the Board of Directors (the “Committee”) to reflect, among other matters, cost of living increases and performance results (such annual base salary, including any increases pursuant to this Section 4, the “Annual Base Salary”).</w:t>
      </w:r>
    </w:p>
    <w:p>
      <w:pPr>
        <w:spacing w:after="0" w:line="57" w:lineRule="exact"/>
        <w:rPr>
          <w:sz w:val="20"/>
          <w:szCs w:val="20"/>
          <w:color w:val="auto"/>
        </w:rPr>
      </w:pPr>
    </w:p>
    <w:p>
      <w:pPr>
        <w:ind w:right="160" w:firstLine="162"/>
        <w:spacing w:after="0" w:line="276" w:lineRule="auto"/>
        <w:tabs>
          <w:tab w:leader="none" w:pos="295" w:val="left"/>
        </w:tabs>
        <w:numPr>
          <w:ilvl w:val="0"/>
          <w:numId w:val="115"/>
        </w:numPr>
        <w:rPr>
          <w:rFonts w:ascii="Arial" w:cs="Arial" w:eastAsia="Arial" w:hAnsi="Arial"/>
          <w:sz w:val="13"/>
          <w:szCs w:val="13"/>
          <w:color w:val="auto"/>
        </w:rPr>
      </w:pPr>
      <w:r>
        <w:rPr>
          <w:rFonts w:ascii="Arial" w:cs="Arial" w:eastAsia="Arial" w:hAnsi="Arial"/>
          <w:sz w:val="13"/>
          <w:szCs w:val="13"/>
          <w:u w:val="single" w:color="auto"/>
          <w:color w:val="auto"/>
        </w:rPr>
        <w:t>Other Compensation and Fringe Benefits</w:t>
      </w:r>
      <w:r>
        <w:rPr>
          <w:rFonts w:ascii="Arial" w:cs="Arial" w:eastAsia="Arial" w:hAnsi="Arial"/>
          <w:sz w:val="13"/>
          <w:szCs w:val="13"/>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49" w:lineRule="exact"/>
        <w:rPr>
          <w:rFonts w:ascii="Arial" w:cs="Arial" w:eastAsia="Arial" w:hAnsi="Arial"/>
          <w:sz w:val="13"/>
          <w:szCs w:val="13"/>
          <w:color w:val="auto"/>
        </w:rPr>
      </w:pPr>
    </w:p>
    <w:p>
      <w:pPr>
        <w:ind w:left="680" w:hanging="455"/>
        <w:spacing w:after="0"/>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the standard Company benefits enjoyed by provided by Company to executives with the same corporate title (i.e., Executive Vice President);</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medical and other insurance coverage (for the Employee and any covered dependents) provided by the Company;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eligibility to elect and purchase supplemental disability insurance sufficient to provide two-thirds of the Employee’s pre-disability Annual Base Salary;</w:t>
      </w:r>
    </w:p>
    <w:p>
      <w:pPr>
        <w:spacing w:after="0" w:line="96" w:lineRule="exact"/>
        <w:rPr>
          <w:rFonts w:ascii="Arial" w:cs="Arial" w:eastAsia="Arial" w:hAnsi="Arial"/>
          <w:sz w:val="13"/>
          <w:szCs w:val="13"/>
          <w:color w:val="auto"/>
        </w:rPr>
      </w:pPr>
    </w:p>
    <w:p>
      <w:pPr>
        <w:ind w:left="680" w:right="160" w:hanging="455"/>
        <w:spacing w:after="0" w:line="282" w:lineRule="auto"/>
        <w:tabs>
          <w:tab w:leader="none" w:pos="68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100% of the Employee’s Annual Base Salary, with a maximum of up to 200%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10"/>
          <w:szCs w:val="10"/>
          <w:color w:val="auto"/>
        </w:rPr>
        <w:t>th</w:t>
      </w:r>
      <w:r>
        <w:rPr>
          <w:rFonts w:ascii="Arial" w:cs="Arial" w:eastAsia="Arial" w:hAnsi="Arial"/>
          <w:sz w:val="12"/>
          <w:szCs w:val="12"/>
          <w:color w:val="auto"/>
        </w:rPr>
        <w:t xml:space="preserve"> first following the calendar year to which the Annual Bonus relates. Unless provided otherwise herein or the Committee determines otherwise, no Annual Bonus shall be paid to the Employee unless the Employee is employed by the Company, or an affiliate thereof, on the Annual Bonus payment date; and</w:t>
      </w:r>
    </w:p>
    <w:p>
      <w:pPr>
        <w:spacing w:after="0" w:line="59" w:lineRule="exact"/>
        <w:rPr>
          <w:rFonts w:ascii="Arial" w:cs="Arial" w:eastAsia="Arial" w:hAnsi="Arial"/>
          <w:sz w:val="12"/>
          <w:szCs w:val="12"/>
          <w:color w:val="auto"/>
        </w:rPr>
      </w:pPr>
    </w:p>
    <w:p>
      <w:pPr>
        <w:ind w:left="680" w:right="180" w:hanging="455"/>
        <w:spacing w:after="0" w:line="276" w:lineRule="auto"/>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participation in the Company’s equity incentive plans and all other benefits and incentive opportunities customarily provided by Company to executives with the same corporate title (i.e., Executive Vice President).</w:t>
      </w:r>
    </w:p>
    <w:p>
      <w:pPr>
        <w:spacing w:after="0" w:line="49" w:lineRule="exact"/>
        <w:rPr>
          <w:rFonts w:ascii="Arial" w:cs="Arial" w:eastAsia="Arial" w:hAnsi="Arial"/>
          <w:sz w:val="13"/>
          <w:szCs w:val="13"/>
          <w:color w:val="auto"/>
        </w:rPr>
      </w:pPr>
    </w:p>
    <w:p>
      <w:pPr>
        <w:ind w:firstLine="162"/>
        <w:spacing w:after="0" w:line="264" w:lineRule="auto"/>
        <w:tabs>
          <w:tab w:leader="none" w:pos="295" w:val="left"/>
        </w:tabs>
        <w:numPr>
          <w:ilvl w:val="0"/>
          <w:numId w:val="115"/>
        </w:numPr>
        <w:rPr>
          <w:rFonts w:ascii="Arial" w:cs="Arial" w:eastAsia="Arial" w:hAnsi="Arial"/>
          <w:sz w:val="13"/>
          <w:szCs w:val="13"/>
          <w:color w:val="auto"/>
        </w:rPr>
      </w:pPr>
      <w:r>
        <w:rPr>
          <w:rFonts w:ascii="Arial" w:cs="Arial" w:eastAsia="Arial" w:hAnsi="Arial"/>
          <w:sz w:val="13"/>
          <w:szCs w:val="13"/>
          <w:u w:val="single" w:color="auto"/>
          <w:color w:val="auto"/>
        </w:rPr>
        <w:t>Vacation</w:t>
      </w:r>
      <w:r>
        <w:rPr>
          <w:rFonts w:ascii="Arial" w:cs="Arial" w:eastAsia="Arial" w:hAnsi="Arial"/>
          <w:sz w:val="13"/>
          <w:szCs w:val="13"/>
          <w:color w:val="auto"/>
        </w:rPr>
        <w:t>. For and during each calendar year within the Employment Term, the Employee shall be entitled to reasonable paid vacation periods consistent with the Employee’s position and in accordance with the Company’s standard policies, or as the Committee may approve. In addition, the Employee shall be entitled to such holidays consistent with the Company’s standard policies or as the Board of Directors (the “Board”) or the Committee may approve.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4" w:name="page165"/>
    <w:bookmarkEnd w:id="164"/>
    <w:p>
      <w:pPr>
        <w:ind w:left="-20" w:right="320" w:firstLine="162"/>
        <w:spacing w:after="0" w:line="320" w:lineRule="auto"/>
        <w:tabs>
          <w:tab w:leader="none" w:pos="275"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Expense Reimbursement</w:t>
      </w:r>
      <w:r>
        <w:rPr>
          <w:rFonts w:ascii="Arial" w:cs="Arial" w:eastAsia="Arial" w:hAnsi="Arial"/>
          <w:sz w:val="12"/>
          <w:szCs w:val="12"/>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25" w:lineRule="exact"/>
        <w:rPr>
          <w:rFonts w:ascii="Arial" w:cs="Arial" w:eastAsia="Arial" w:hAnsi="Arial"/>
          <w:sz w:val="12"/>
          <w:szCs w:val="12"/>
          <w:color w:val="auto"/>
        </w:rPr>
      </w:pPr>
    </w:p>
    <w:p>
      <w:pPr>
        <w:ind w:left="-20" w:right="100" w:firstLine="162"/>
        <w:spacing w:after="0" w:line="276" w:lineRule="auto"/>
        <w:tabs>
          <w:tab w:leader="none" w:pos="275"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49" w:lineRule="exact"/>
        <w:rPr>
          <w:rFonts w:ascii="Arial" w:cs="Arial" w:eastAsia="Arial" w:hAnsi="Arial"/>
          <w:sz w:val="13"/>
          <w:szCs w:val="13"/>
          <w:color w:val="auto"/>
        </w:rPr>
      </w:pPr>
    </w:p>
    <w:p>
      <w:pPr>
        <w:ind w:left="660" w:hanging="455"/>
        <w:spacing w:after="0" w:line="257" w:lineRule="auto"/>
        <w:tabs>
          <w:tab w:leader="none" w:pos="660" w:val="left"/>
        </w:tabs>
        <w:numPr>
          <w:ilvl w:val="1"/>
          <w:numId w:val="116"/>
        </w:numPr>
        <w:rPr>
          <w:rFonts w:ascii="Arial" w:cs="Arial" w:eastAsia="Arial" w:hAnsi="Arial"/>
          <w:sz w:val="13"/>
          <w:szCs w:val="13"/>
          <w:color w:val="auto"/>
        </w:rPr>
      </w:pPr>
      <w:r>
        <w:rPr>
          <w:rFonts w:ascii="Arial" w:cs="Arial" w:eastAsia="Arial" w:hAnsi="Arial"/>
          <w:sz w:val="13"/>
          <w:szCs w:val="13"/>
          <w:u w:val="single" w:color="auto"/>
          <w:color w:val="auto"/>
        </w:rPr>
        <w:t>Notice of Termination</w:t>
      </w:r>
      <w:r>
        <w:rPr>
          <w:rFonts w:ascii="Arial" w:cs="Arial" w:eastAsia="Arial" w:hAnsi="Arial"/>
          <w:sz w:val="13"/>
          <w:szCs w:val="13"/>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69" w:lineRule="exact"/>
        <w:rPr>
          <w:rFonts w:ascii="Arial" w:cs="Arial" w:eastAsia="Arial" w:hAnsi="Arial"/>
          <w:sz w:val="13"/>
          <w:szCs w:val="13"/>
          <w:color w:val="auto"/>
        </w:rPr>
      </w:pPr>
    </w:p>
    <w:p>
      <w:pPr>
        <w:ind w:left="660" w:right="40" w:hanging="455"/>
        <w:spacing w:after="0" w:line="259" w:lineRule="auto"/>
        <w:tabs>
          <w:tab w:leader="none" w:pos="660" w:val="left"/>
        </w:tabs>
        <w:numPr>
          <w:ilvl w:val="1"/>
          <w:numId w:val="116"/>
        </w:numPr>
        <w:rPr>
          <w:rFonts w:ascii="Arial" w:cs="Arial" w:eastAsia="Arial" w:hAnsi="Arial"/>
          <w:sz w:val="13"/>
          <w:szCs w:val="13"/>
          <w:color w:val="auto"/>
        </w:rPr>
      </w:pPr>
      <w:r>
        <w:rPr>
          <w:rFonts w:ascii="Arial" w:cs="Arial" w:eastAsia="Arial" w:hAnsi="Arial"/>
          <w:sz w:val="13"/>
          <w:szCs w:val="13"/>
          <w:u w:val="single" w:color="auto"/>
          <w:color w:val="auto"/>
        </w:rPr>
        <w:t>Date of Termination</w:t>
      </w:r>
      <w:r>
        <w:rPr>
          <w:rFonts w:ascii="Arial" w:cs="Arial" w:eastAsia="Arial" w:hAnsi="Arial"/>
          <w:sz w:val="13"/>
          <w:szCs w:val="13"/>
          <w:color w:val="auto"/>
        </w:rPr>
        <w:t>. For purposes of this Agreement, “Date of Termination” shall mean the date specified in the Notice of Termination (but in no event shall such date be earlier than the thirtieth (30</w:t>
      </w:r>
      <w:r>
        <w:rPr>
          <w:rFonts w:ascii="Arial" w:cs="Arial" w:eastAsia="Arial" w:hAnsi="Arial"/>
          <w:sz w:val="11"/>
          <w:szCs w:val="11"/>
          <w:color w:val="auto"/>
        </w:rPr>
        <w:t>th</w:t>
      </w:r>
      <w:r>
        <w:rPr>
          <w:rFonts w:ascii="Arial" w:cs="Arial" w:eastAsia="Arial" w:hAnsi="Arial"/>
          <w:sz w:val="13"/>
          <w:szCs w:val="13"/>
          <w:color w:val="auto"/>
        </w:rPr>
        <w:t>) day following the date the Notice of Termination is given) or the date of the Employee’s death. Notwithstanding the foregoing, in no event shall the Date of Termination occur until the Employee experiences a “separation of service” within the meaning of Code Section 409A (as defined in Section 28 of the Agreement), and notwithstanding anything contained herein to the contrary, the date on which such separation from service takes place shall be the “Date of Termination,” and all references herein to a “termination of employment” (or words of similar meaning) shall mean a “separation of service” within the meaning of Code Section 409A.</w:t>
      </w:r>
    </w:p>
    <w:p>
      <w:pPr>
        <w:spacing w:after="0" w:line="70" w:lineRule="exact"/>
        <w:rPr>
          <w:rFonts w:ascii="Arial" w:cs="Arial" w:eastAsia="Arial" w:hAnsi="Arial"/>
          <w:sz w:val="13"/>
          <w:szCs w:val="13"/>
          <w:color w:val="auto"/>
        </w:rPr>
      </w:pPr>
    </w:p>
    <w:p>
      <w:pPr>
        <w:ind w:left="660" w:right="80" w:hanging="455"/>
        <w:spacing w:after="0" w:line="276" w:lineRule="auto"/>
        <w:tabs>
          <w:tab w:leader="none" w:pos="660" w:val="left"/>
        </w:tabs>
        <w:numPr>
          <w:ilvl w:val="1"/>
          <w:numId w:val="116"/>
        </w:numPr>
        <w:rPr>
          <w:rFonts w:ascii="Arial" w:cs="Arial" w:eastAsia="Arial" w:hAnsi="Arial"/>
          <w:sz w:val="13"/>
          <w:szCs w:val="13"/>
          <w:color w:val="auto"/>
        </w:rPr>
      </w:pPr>
      <w:r>
        <w:rPr>
          <w:rFonts w:ascii="Arial" w:cs="Arial" w:eastAsia="Arial" w:hAnsi="Arial"/>
          <w:sz w:val="13"/>
          <w:szCs w:val="13"/>
          <w:u w:val="single" w:color="auto"/>
          <w:color w:val="auto"/>
        </w:rPr>
        <w:t>No Waiver</w:t>
      </w:r>
      <w:r>
        <w:rPr>
          <w:rFonts w:ascii="Arial" w:cs="Arial" w:eastAsia="Arial" w:hAnsi="Arial"/>
          <w:sz w:val="13"/>
          <w:szCs w:val="13"/>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59" w:lineRule="exact"/>
        <w:rPr>
          <w:rFonts w:ascii="Arial" w:cs="Arial" w:eastAsia="Arial" w:hAnsi="Arial"/>
          <w:sz w:val="13"/>
          <w:szCs w:val="13"/>
          <w:color w:val="auto"/>
        </w:rPr>
      </w:pPr>
    </w:p>
    <w:p>
      <w:pPr>
        <w:ind w:left="660" w:right="140" w:hanging="455"/>
        <w:spacing w:after="0" w:line="276" w:lineRule="auto"/>
        <w:tabs>
          <w:tab w:leader="none" w:pos="660" w:val="left"/>
        </w:tabs>
        <w:numPr>
          <w:ilvl w:val="1"/>
          <w:numId w:val="116"/>
        </w:numPr>
        <w:rPr>
          <w:rFonts w:ascii="Arial" w:cs="Arial" w:eastAsia="Arial" w:hAnsi="Arial"/>
          <w:sz w:val="13"/>
          <w:szCs w:val="13"/>
          <w:color w:val="auto"/>
        </w:rPr>
      </w:pPr>
      <w:r>
        <w:rPr>
          <w:rFonts w:ascii="Arial" w:cs="Arial" w:eastAsia="Arial" w:hAnsi="Arial"/>
          <w:sz w:val="13"/>
          <w:szCs w:val="13"/>
          <w:u w:val="single" w:color="auto"/>
          <w:color w:val="auto"/>
        </w:rPr>
        <w:t>Cause</w:t>
      </w:r>
      <w:r>
        <w:rPr>
          <w:rFonts w:ascii="Arial" w:cs="Arial" w:eastAsia="Arial" w:hAnsi="Arial"/>
          <w:sz w:val="13"/>
          <w:szCs w:val="13"/>
          <w:color w:val="auto"/>
        </w:rPr>
        <w:t>. For purposes of this Agreement, a termination for “Cause” means a termination of the Employee’s employment by the Company based upon the Employee’s: (i) persistent failure to perform duties consistent with a commercially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65" w:name="page166"/>
    <w:bookmarkEnd w:id="165"/>
    <w:p>
      <w:pPr>
        <w:ind w:left="460" w:right="60"/>
        <w:spacing w:after="0" w:line="276" w:lineRule="auto"/>
        <w:rPr>
          <w:sz w:val="20"/>
          <w:szCs w:val="20"/>
          <w:color w:val="auto"/>
        </w:rPr>
      </w:pPr>
      <w:r>
        <w:rPr>
          <w:rFonts w:ascii="Arial" w:cs="Arial" w:eastAsia="Arial" w:hAnsi="Arial"/>
          <w:sz w:val="12"/>
          <w:szCs w:val="12"/>
          <w:color w:val="auto"/>
        </w:rPr>
        <w:t>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or moral turpitude; (iv) material breach of this Agreement; (v) material breach of the Company’s business policies, accounting practices or standards of ethics; or (vi) failure to materially cooperate with or impeding an investigation authorized by the Board. Provided, however, that the Employee shall have been given a thirty</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(30) day period following the receipt by the Employee of the Notice of Termination to cure any act or omission that constitutes Cause, if capable of cure, prior to termination.</w:t>
      </w:r>
    </w:p>
    <w:p>
      <w:pPr>
        <w:spacing w:after="0" w:line="88" w:lineRule="exact"/>
        <w:rPr>
          <w:sz w:val="20"/>
          <w:szCs w:val="20"/>
          <w:color w:val="auto"/>
        </w:rPr>
      </w:pPr>
    </w:p>
    <w:p>
      <w:pPr>
        <w:ind w:left="460" w:hanging="455"/>
        <w:spacing w:after="0" w:line="260"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xml:space="preserve">. For purposes of this Agreement, a termination based upon “Disability” means a termination by the Company based upon the Employee’s entitlement to long-term disability benefits under the Company’s long-term disability plan or policy, as the case may be, as in effect on the Date of Termination;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Employee is not a participant in the Company’s long-term disability plan or policy on the Date of Termination, he shall still be considered terminated based upon Disability if he would have been entitled to benefits under the Company’s long-term disability plan or policy had he been a participant on his Date of Termination.</w:t>
      </w:r>
    </w:p>
    <w:p>
      <w:pPr>
        <w:spacing w:after="0" w:line="69" w:lineRule="exact"/>
        <w:rPr>
          <w:rFonts w:ascii="Arial" w:cs="Arial" w:eastAsia="Arial" w:hAnsi="Arial"/>
          <w:sz w:val="13"/>
          <w:szCs w:val="13"/>
          <w:color w:val="auto"/>
        </w:rPr>
      </w:pPr>
    </w:p>
    <w:p>
      <w:pPr>
        <w:ind w:left="460" w:right="140" w:hanging="455"/>
        <w:spacing w:after="0" w:line="276"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Good Reason</w:t>
      </w:r>
      <w:r>
        <w:rPr>
          <w:rFonts w:ascii="Arial" w:cs="Arial" w:eastAsia="Arial" w:hAnsi="Arial"/>
          <w:sz w:val="13"/>
          <w:szCs w:val="13"/>
          <w:color w:val="auto"/>
        </w:rPr>
        <w:t>. For purposes of this Agreement, a termination for “Good Reason” means a termination by Employee based upon the occurrence (without Employee’s express written consent) of any of the following:</w:t>
      </w:r>
    </w:p>
    <w:p>
      <w:pPr>
        <w:spacing w:after="0" w:line="49" w:lineRule="exact"/>
        <w:rPr>
          <w:sz w:val="20"/>
          <w:szCs w:val="20"/>
          <w:color w:val="auto"/>
        </w:rPr>
      </w:pPr>
    </w:p>
    <w:p>
      <w:pPr>
        <w:ind w:left="920" w:right="380" w:hanging="453"/>
        <w:spacing w:after="0" w:line="320" w:lineRule="auto"/>
        <w:tabs>
          <w:tab w:leader="none" w:pos="92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a material adverse change in Employee’s position or title, or a material diminution in Employee’s managerial authority, duties or responsibilities or the conditions under which such duties or responsibilities are performed (e.g., a material reduction in the number or scope of department(s), functional group(s) or personnel over which Employee has managerial authority);</w:t>
      </w:r>
    </w:p>
    <w:p>
      <w:pPr>
        <w:spacing w:after="0" w:line="35" w:lineRule="exact"/>
        <w:rPr>
          <w:rFonts w:ascii="Arial" w:cs="Arial" w:eastAsia="Arial" w:hAnsi="Arial"/>
          <w:sz w:val="12"/>
          <w:szCs w:val="12"/>
          <w:color w:val="auto"/>
        </w:rPr>
      </w:pPr>
    </w:p>
    <w:p>
      <w:pPr>
        <w:ind w:left="920" w:right="100" w:hanging="453"/>
        <w:spacing w:after="0" w:line="276" w:lineRule="auto"/>
        <w:tabs>
          <w:tab w:leader="none" w:pos="9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 material adverse change in the position to whom Employee reports (e.g., CEO and Chairman), or a material diminution in the managerial authority, duties or responsibilities of the person in that position;</w:t>
      </w:r>
    </w:p>
    <w:p>
      <w:pPr>
        <w:spacing w:after="0" w:line="59" w:lineRule="exact"/>
        <w:rPr>
          <w:rFonts w:ascii="Arial" w:cs="Arial" w:eastAsia="Arial" w:hAnsi="Arial"/>
          <w:sz w:val="13"/>
          <w:szCs w:val="13"/>
          <w:color w:val="auto"/>
        </w:rPr>
      </w:pPr>
    </w:p>
    <w:p>
      <w:pPr>
        <w:ind w:left="920" w:right="100" w:hanging="453"/>
        <w:spacing w:after="0" w:line="276" w:lineRule="auto"/>
        <w:tabs>
          <w:tab w:leader="none" w:pos="9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 material change in the geographic location of Employee’s principal working location (currently, 601 Riverside Avenue, Jacksonville, Florida), which Company has determined to be a relocation of more than thirty-five (35) miles;</w:t>
      </w:r>
    </w:p>
    <w:p>
      <w:pPr>
        <w:spacing w:after="0" w:line="59" w:lineRule="exact"/>
        <w:rPr>
          <w:rFonts w:ascii="Arial" w:cs="Arial" w:eastAsia="Arial" w:hAnsi="Arial"/>
          <w:sz w:val="13"/>
          <w:szCs w:val="13"/>
          <w:color w:val="auto"/>
        </w:rPr>
      </w:pPr>
    </w:p>
    <w:p>
      <w:pPr>
        <w:ind w:left="920" w:hanging="453"/>
        <w:spacing w:after="0"/>
        <w:tabs>
          <w:tab w:leader="none" w:pos="9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 material diminution in Employee’s Annual Base Salary or Annual Bonus Opportunity; or</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166" w:name="page167"/>
    <w:bookmarkEnd w:id="166"/>
    <w:p>
      <w:pPr>
        <w:ind w:left="980" w:hanging="453"/>
        <w:spacing w:after="0"/>
        <w:tabs>
          <w:tab w:leader="none" w:pos="980" w:val="left"/>
        </w:tabs>
        <w:numPr>
          <w:ilvl w:val="2"/>
          <w:numId w:val="119"/>
        </w:numPr>
        <w:rPr>
          <w:rFonts w:ascii="Arial" w:cs="Arial" w:eastAsia="Arial" w:hAnsi="Arial"/>
          <w:sz w:val="13"/>
          <w:szCs w:val="13"/>
          <w:color w:val="auto"/>
        </w:rPr>
      </w:pPr>
      <w:r>
        <w:rPr>
          <w:rFonts w:ascii="Arial" w:cs="Arial" w:eastAsia="Arial" w:hAnsi="Arial"/>
          <w:sz w:val="13"/>
          <w:szCs w:val="13"/>
          <w:color w:val="auto"/>
        </w:rPr>
        <w:t>a material breach by Company of any of its obligations under this Agreement.</w:t>
      </w:r>
    </w:p>
    <w:p>
      <w:pPr>
        <w:spacing w:after="0" w:line="86" w:lineRule="exact"/>
        <w:rPr>
          <w:rFonts w:ascii="Arial" w:cs="Arial" w:eastAsia="Arial" w:hAnsi="Arial"/>
          <w:sz w:val="13"/>
          <w:szCs w:val="13"/>
          <w:color w:val="auto"/>
        </w:rPr>
      </w:pPr>
    </w:p>
    <w:p>
      <w:pPr>
        <w:ind w:left="520" w:right="40" w:hanging="455"/>
        <w:spacing w:after="0" w:line="322" w:lineRule="auto"/>
        <w:tabs>
          <w:tab w:leader="none" w:pos="520" w:val="left"/>
        </w:tabs>
        <w:numPr>
          <w:ilvl w:val="1"/>
          <w:numId w:val="120"/>
        </w:numPr>
        <w:rPr>
          <w:rFonts w:ascii="Arial" w:cs="Arial" w:eastAsia="Arial" w:hAnsi="Arial"/>
          <w:sz w:val="11"/>
          <w:szCs w:val="11"/>
          <w:color w:val="auto"/>
        </w:rPr>
      </w:pPr>
      <w:r>
        <w:rPr>
          <w:rFonts w:ascii="Arial" w:cs="Arial" w:eastAsia="Arial" w:hAnsi="Arial"/>
          <w:sz w:val="11"/>
          <w:szCs w:val="11"/>
          <w:color w:val="auto"/>
        </w:rPr>
        <w:t>Notwithstanding the foregoing, Employee being placed on a paid leave for up to sixty (60) days pending a determination of whether there is a basis to terminate Employee for Cause shall not constitute Good Reason. Employee’s continued employment shall not constitute consent to, or a waiver of rights with respect to, any act or failure to act constituting Good Reason hereunder; provided, however, that no such event described above shall constitute Good Reason unless: (1) Employee gives Notice of Termination to Company specifying the condition or event relied upon for such termination within ninety (90) days of the initial existence of such event and (2) Company fails to cure the condition or event constituting Good Reason within thirty (30) days following receipt of Employee’s Notice of Termination.</w:t>
      </w:r>
    </w:p>
    <w:p>
      <w:pPr>
        <w:spacing w:after="0" w:line="28" w:lineRule="exact"/>
        <w:rPr>
          <w:rFonts w:ascii="Arial" w:cs="Arial" w:eastAsia="Arial" w:hAnsi="Arial"/>
          <w:sz w:val="11"/>
          <w:szCs w:val="11"/>
          <w:color w:val="auto"/>
        </w:rPr>
      </w:pPr>
    </w:p>
    <w:p>
      <w:pPr>
        <w:ind w:left="140" w:hanging="138"/>
        <w:spacing w:after="0"/>
        <w:tabs>
          <w:tab w:leader="none" w:pos="140" w:val="left"/>
        </w:tabs>
        <w:numPr>
          <w:ilvl w:val="0"/>
          <w:numId w:val="121"/>
        </w:numPr>
        <w:rPr>
          <w:rFonts w:ascii="Arial" w:cs="Arial" w:eastAsia="Arial" w:hAnsi="Arial"/>
          <w:sz w:val="13"/>
          <w:szCs w:val="13"/>
          <w:color w:val="auto"/>
        </w:rPr>
      </w:pPr>
      <w:r>
        <w:rPr>
          <w:rFonts w:ascii="Arial" w:cs="Arial" w:eastAsia="Arial" w:hAnsi="Arial"/>
          <w:sz w:val="13"/>
          <w:szCs w:val="13"/>
          <w:u w:val="single" w:color="auto"/>
          <w:color w:val="auto"/>
        </w:rPr>
        <w:t>Obligations of the Company Upon Termination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0" w:right="100" w:hanging="455"/>
        <w:spacing w:after="0" w:line="276" w:lineRule="auto"/>
        <w:tabs>
          <w:tab w:leader="none" w:pos="520" w:val="left"/>
        </w:tabs>
        <w:numPr>
          <w:ilvl w:val="1"/>
          <w:numId w:val="121"/>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for a Reason Other than Cause, Death or Disability and Termination by the Employee for Good Reason</w:t>
      </w:r>
      <w:r>
        <w:rPr>
          <w:rFonts w:ascii="Arial" w:cs="Arial" w:eastAsia="Arial" w:hAnsi="Arial"/>
          <w:sz w:val="13"/>
          <w:szCs w:val="13"/>
          <w:color w:val="auto"/>
        </w:rPr>
        <w:t>. If the Employee’s employment is terminated by: (1) the Company for any reason other than Cause, Death or Disability; or (2) the Employee for Good Reason:</w:t>
      </w:r>
    </w:p>
    <w:p>
      <w:pPr>
        <w:spacing w:after="0" w:line="49" w:lineRule="exact"/>
        <w:rPr>
          <w:rFonts w:ascii="Arial" w:cs="Arial" w:eastAsia="Arial" w:hAnsi="Arial"/>
          <w:sz w:val="13"/>
          <w:szCs w:val="13"/>
          <w:color w:val="auto"/>
        </w:rPr>
      </w:pPr>
    </w:p>
    <w:p>
      <w:pPr>
        <w:ind w:left="980" w:right="100" w:hanging="453"/>
        <w:spacing w:after="0" w:line="260" w:lineRule="auto"/>
        <w:tabs>
          <w:tab w:leader="none" w:pos="980" w:val="left"/>
        </w:tabs>
        <w:numPr>
          <w:ilvl w:val="2"/>
          <w:numId w:val="121"/>
        </w:numPr>
        <w:rPr>
          <w:rFonts w:ascii="Arial" w:cs="Arial" w:eastAsia="Arial" w:hAnsi="Arial"/>
          <w:sz w:val="13"/>
          <w:szCs w:val="13"/>
          <w:color w:val="auto"/>
        </w:rPr>
      </w:pPr>
      <w:r>
        <w:rPr>
          <w:rFonts w:ascii="Arial" w:cs="Arial" w:eastAsia="Arial" w:hAnsi="Arial"/>
          <w:sz w:val="13"/>
          <w:szCs w:val="13"/>
          <w:color w:val="auto"/>
        </w:rPr>
        <w:t>the Company shall pay the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the Employee for expenses incurred prior to the Date of Termination; and (C) no later than March 15</w:t>
      </w:r>
      <w:r>
        <w:rPr>
          <w:rFonts w:ascii="Arial" w:cs="Arial" w:eastAsia="Arial" w:hAnsi="Arial"/>
          <w:sz w:val="11"/>
          <w:szCs w:val="11"/>
          <w:color w:val="auto"/>
        </w:rPr>
        <w:t>th</w:t>
      </w:r>
      <w:r>
        <w:rPr>
          <w:rFonts w:ascii="Arial" w:cs="Arial" w:eastAsia="Arial" w:hAnsi="Arial"/>
          <w:sz w:val="13"/>
          <w:szCs w:val="13"/>
          <w:color w:val="auto"/>
        </w:rPr>
        <w:t xml:space="preserve"> of the year in which the Date of Termination occurs, any earned but unpaid Annual Bonus payments relating to the calendar year prior to the year in which the Date of Termination occurs;</w:t>
      </w:r>
    </w:p>
    <w:p>
      <w:pPr>
        <w:spacing w:after="0" w:line="68" w:lineRule="exact"/>
        <w:rPr>
          <w:sz w:val="20"/>
          <w:szCs w:val="20"/>
          <w:color w:val="auto"/>
        </w:rPr>
      </w:pPr>
    </w:p>
    <w:p>
      <w:pPr>
        <w:ind w:left="980" w:hanging="453"/>
        <w:spacing w:after="0" w:line="290" w:lineRule="auto"/>
        <w:tabs>
          <w:tab w:leader="none" w:pos="9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Company shall pay the Employee no later than March 15</w:t>
      </w:r>
      <w:r>
        <w:rPr>
          <w:rFonts w:ascii="Arial" w:cs="Arial" w:eastAsia="Arial" w:hAnsi="Arial"/>
          <w:sz w:val="10"/>
          <w:szCs w:val="10"/>
          <w:color w:val="auto"/>
        </w:rPr>
        <w:t>th</w:t>
      </w:r>
      <w:r>
        <w:rPr>
          <w:rFonts w:ascii="Arial" w:cs="Arial" w:eastAsia="Arial" w:hAnsi="Arial"/>
          <w:sz w:val="12"/>
          <w:szCs w:val="12"/>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50" w:lineRule="exact"/>
        <w:rPr>
          <w:rFonts w:ascii="Arial" w:cs="Arial" w:eastAsia="Arial" w:hAnsi="Arial"/>
          <w:sz w:val="12"/>
          <w:szCs w:val="12"/>
          <w:color w:val="auto"/>
        </w:rPr>
      </w:pPr>
    </w:p>
    <w:p>
      <w:pPr>
        <w:ind w:left="980" w:right="100" w:hanging="453"/>
        <w:spacing w:after="0" w:line="280" w:lineRule="auto"/>
        <w:tabs>
          <w:tab w:leader="none" w:pos="9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Company shall pay the Employee, no later than the sixty-fifth (65</w:t>
      </w:r>
      <w:r>
        <w:rPr>
          <w:rFonts w:ascii="Arial" w:cs="Arial" w:eastAsia="Arial" w:hAnsi="Arial"/>
          <w:sz w:val="11"/>
          <w:szCs w:val="11"/>
          <w:color w:val="auto"/>
        </w:rPr>
        <w:t>th</w:t>
      </w:r>
      <w:r>
        <w:rPr>
          <w:rFonts w:ascii="Arial" w:cs="Arial" w:eastAsia="Arial" w:hAnsi="Arial"/>
          <w:sz w:val="13"/>
          <w:szCs w:val="13"/>
          <w:color w:val="auto"/>
        </w:rPr>
        <w:t>) calendar day after the Date of Termination, a lump-sum payment equal to 200% of the sum of: (A) the Employee’s Annual Base Salary in effect</w:t>
      </w:r>
    </w:p>
    <w:p>
      <w:pPr>
        <w:spacing w:after="0" w:line="10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67" w:name="page168"/>
    <w:bookmarkEnd w:id="167"/>
    <w:p>
      <w:pPr>
        <w:ind w:left="453" w:right="220"/>
        <w:spacing w:after="0" w:line="264" w:lineRule="auto"/>
        <w:rPr>
          <w:sz w:val="20"/>
          <w:szCs w:val="20"/>
          <w:color w:val="auto"/>
        </w:rPr>
      </w:pPr>
      <w:r>
        <w:rPr>
          <w:rFonts w:ascii="Arial" w:cs="Arial" w:eastAsia="Arial" w:hAnsi="Arial"/>
          <w:sz w:val="13"/>
          <w:szCs w:val="13"/>
          <w:color w:val="auto"/>
        </w:rPr>
        <w:t>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67" w:lineRule="exact"/>
        <w:rPr>
          <w:sz w:val="20"/>
          <w:szCs w:val="20"/>
          <w:color w:val="auto"/>
        </w:rPr>
      </w:pPr>
    </w:p>
    <w:p>
      <w:pPr>
        <w:ind w:left="453" w:right="100" w:hanging="453"/>
        <w:spacing w:after="0" w:line="258" w:lineRule="auto"/>
        <w:tabs>
          <w:tab w:leader="none" w:pos="4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all stock option, restricted stock and other equity-based incentive awards granted by the Company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provided, however, that any such equity awards that are vested pursuant to this provision and that constitute a non-qualified deferred compensation arrangement within the meaning of Code Section 409A shall be paid or settled on the earliest date coinciding with or following the Date of Termination that does not result in a violation of or penalties under Section 409A; and</w:t>
      </w:r>
    </w:p>
    <w:p>
      <w:pPr>
        <w:spacing w:after="0" w:line="71" w:lineRule="exact"/>
        <w:rPr>
          <w:rFonts w:ascii="Arial" w:cs="Arial" w:eastAsia="Arial" w:hAnsi="Arial"/>
          <w:sz w:val="13"/>
          <w:szCs w:val="13"/>
          <w:color w:val="auto"/>
        </w:rPr>
      </w:pPr>
    </w:p>
    <w:p>
      <w:pPr>
        <w:ind w:left="453" w:hanging="453"/>
        <w:spacing w:after="0"/>
        <w:tabs>
          <w:tab w:leader="none" w:pos="4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Company shall provide the Employee with certain continued welfare benefits as follows:</w:t>
      </w:r>
    </w:p>
    <w:p>
      <w:pPr>
        <w:spacing w:after="0" w:line="86" w:lineRule="exact"/>
        <w:rPr>
          <w:rFonts w:ascii="Arial" w:cs="Arial" w:eastAsia="Arial" w:hAnsi="Arial"/>
          <w:sz w:val="13"/>
          <w:szCs w:val="13"/>
          <w:color w:val="auto"/>
        </w:rPr>
      </w:pPr>
    </w:p>
    <w:p>
      <w:pPr>
        <w:ind w:left="913" w:right="20" w:hanging="461"/>
        <w:spacing w:after="0" w:line="285" w:lineRule="auto"/>
        <w:tabs>
          <w:tab w:leader="none" w:pos="913" w:val="left"/>
        </w:tabs>
        <w:numPr>
          <w:ilvl w:val="1"/>
          <w:numId w:val="123"/>
        </w:numPr>
        <w:rPr>
          <w:rFonts w:ascii="Arial" w:cs="Arial" w:eastAsia="Arial" w:hAnsi="Arial"/>
          <w:sz w:val="12"/>
          <w:szCs w:val="12"/>
          <w:color w:val="auto"/>
        </w:rPr>
      </w:pPr>
      <w:r>
        <w:rPr>
          <w:rFonts w:ascii="Arial" w:cs="Arial" w:eastAsia="Arial" w:hAnsi="Arial"/>
          <w:sz w:val="12"/>
          <w:szCs w:val="12"/>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sixty-five (65)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55" w:lineRule="exact"/>
        <w:rPr>
          <w:rFonts w:ascii="Arial" w:cs="Arial" w:eastAsia="Arial" w:hAnsi="Arial"/>
          <w:sz w:val="12"/>
          <w:szCs w:val="12"/>
          <w:color w:val="auto"/>
        </w:rPr>
      </w:pPr>
    </w:p>
    <w:p>
      <w:pPr>
        <w:ind w:left="913" w:hanging="461"/>
        <w:spacing w:after="0" w:line="260" w:lineRule="auto"/>
        <w:tabs>
          <w:tab w:leader="none" w:pos="913" w:val="left"/>
        </w:tabs>
        <w:numPr>
          <w:ilvl w:val="1"/>
          <w:numId w:val="123"/>
        </w:numPr>
        <w:rPr>
          <w:rFonts w:ascii="Arial" w:cs="Arial" w:eastAsia="Arial" w:hAnsi="Arial"/>
          <w:sz w:val="13"/>
          <w:szCs w:val="13"/>
          <w:color w:val="auto"/>
        </w:rPr>
      </w:pPr>
      <w:r>
        <w:rPr>
          <w:rFonts w:ascii="Arial" w:cs="Arial" w:eastAsia="Arial" w:hAnsi="Arial"/>
          <w:sz w:val="13"/>
          <w:szCs w:val="13"/>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sixty-five (65) days after the Date</w:t>
      </w:r>
    </w:p>
    <w:p>
      <w:pPr>
        <w:spacing w:after="0" w:line="119" w:lineRule="exact"/>
        <w:rPr>
          <w:sz w:val="20"/>
          <w:szCs w:val="20"/>
          <w:color w:val="auto"/>
        </w:rPr>
      </w:pPr>
    </w:p>
    <w:p>
      <w:pPr>
        <w:ind w:left="5013"/>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73"/>
          </w:cols>
          <w:pgMar w:left="907" w:top="720" w:right="219" w:bottom="1440" w:gutter="0" w:footer="0" w:header="0"/>
        </w:sectPr>
      </w:pPr>
    </w:p>
    <w:bookmarkStart w:id="168" w:name="page169"/>
    <w:bookmarkEnd w:id="168"/>
    <w:p>
      <w:pPr>
        <w:ind w:left="1600" w:right="160"/>
        <w:spacing w:after="0" w:line="276" w:lineRule="auto"/>
        <w:rPr>
          <w:sz w:val="20"/>
          <w:szCs w:val="20"/>
          <w:color w:val="auto"/>
        </w:rPr>
      </w:pPr>
      <w:r>
        <w:rPr>
          <w:rFonts w:ascii="Arial" w:cs="Arial" w:eastAsia="Arial" w:hAnsi="Arial"/>
          <w:sz w:val="13"/>
          <w:szCs w:val="13"/>
          <w:color w:val="auto"/>
        </w:rPr>
        <w:t>of Termination, the Company shall pay the Employee a lump sum cash payment equal to thirty-six (36) monthly medical and dental COBRA premiums based on the level of coverage in effect for the Employee (</w:t>
      </w:r>
      <w:r>
        <w:rPr>
          <w:rFonts w:ascii="Arial" w:cs="Arial" w:eastAsia="Arial" w:hAnsi="Arial"/>
          <w:sz w:val="13"/>
          <w:szCs w:val="13"/>
          <w:i w:val="1"/>
          <w:iCs w:val="1"/>
          <w:color w:val="auto"/>
        </w:rPr>
        <w:t>e.g.</w:t>
      </w:r>
      <w:r>
        <w:rPr>
          <w:rFonts w:ascii="Arial" w:cs="Arial" w:eastAsia="Arial" w:hAnsi="Arial"/>
          <w:sz w:val="13"/>
          <w:szCs w:val="13"/>
          <w:color w:val="auto"/>
        </w:rPr>
        <w:t>, employee only or family coverage) on the Date of Termination.</w:t>
      </w:r>
    </w:p>
    <w:p>
      <w:pPr>
        <w:spacing w:after="0" w:line="49" w:lineRule="exact"/>
        <w:rPr>
          <w:sz w:val="20"/>
          <w:szCs w:val="20"/>
          <w:color w:val="auto"/>
        </w:rPr>
      </w:pPr>
    </w:p>
    <w:p>
      <w:pPr>
        <w:ind w:left="680" w:right="380" w:hanging="455"/>
        <w:spacing w:after="0" w:line="276" w:lineRule="auto"/>
        <w:tabs>
          <w:tab w:leader="none" w:pos="680" w:val="left"/>
        </w:tabs>
        <w:numPr>
          <w:ilvl w:val="1"/>
          <w:numId w:val="124"/>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for Cause and by the Employee without Good Reason</w:t>
      </w:r>
      <w:r>
        <w:rPr>
          <w:rFonts w:ascii="Arial" w:cs="Arial" w:eastAsia="Arial" w:hAnsi="Arial"/>
          <w:sz w:val="13"/>
          <w:szCs w:val="13"/>
          <w:color w:val="auto"/>
        </w:rPr>
        <w:t>. If the Employee’s employment is terminated (i) by the Company for Cause or (ii) by the Employee without Good Reason, the Company’s only obligation under this Agreement shall be payment of any Accrued Obligations.</w:t>
      </w:r>
    </w:p>
    <w:p>
      <w:pPr>
        <w:spacing w:after="0" w:line="59" w:lineRule="exact"/>
        <w:rPr>
          <w:rFonts w:ascii="Arial" w:cs="Arial" w:eastAsia="Arial" w:hAnsi="Arial"/>
          <w:sz w:val="13"/>
          <w:szCs w:val="13"/>
          <w:color w:val="auto"/>
        </w:rPr>
      </w:pPr>
    </w:p>
    <w:p>
      <w:pPr>
        <w:ind w:left="680" w:hanging="455"/>
        <w:spacing w:after="0" w:line="258" w:lineRule="auto"/>
        <w:tabs>
          <w:tab w:leader="none" w:pos="680" w:val="left"/>
        </w:tabs>
        <w:numPr>
          <w:ilvl w:val="1"/>
          <w:numId w:val="124"/>
        </w:numPr>
        <w:rPr>
          <w:rFonts w:ascii="Arial" w:cs="Arial" w:eastAsia="Arial" w:hAnsi="Arial"/>
          <w:sz w:val="13"/>
          <w:szCs w:val="13"/>
          <w:color w:val="auto"/>
        </w:rPr>
      </w:pPr>
      <w:r>
        <w:rPr>
          <w:rFonts w:ascii="Arial" w:cs="Arial" w:eastAsia="Arial" w:hAnsi="Arial"/>
          <w:sz w:val="13"/>
          <w:szCs w:val="13"/>
          <w:u w:val="single" w:color="auto"/>
          <w:color w:val="auto"/>
        </w:rPr>
        <w:t>Termination due to Death or Disability</w:t>
      </w:r>
      <w:r>
        <w:rPr>
          <w:rFonts w:ascii="Arial" w:cs="Arial" w:eastAsia="Arial" w:hAnsi="Arial"/>
          <w:sz w:val="13"/>
          <w:szCs w:val="13"/>
          <w:color w:val="auto"/>
        </w:rPr>
        <w:t>. If the Employee’s employment is terminated due to death or Disability, the Company shall pay the Employee (or to the Employee’s estate or personal representative in the case of death), within sixty-five (65) days after the Date of Termination: (i) any Accrued Obligations. In addition, the Company shall pay to Employee (or to the Employee’s estate or personal representative in the case of death) no later than sixty-five (65) calendar days after the Date of Termination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 plus (ii) the unpaid portion of the Annual Base Salary for the remainder of the Employment Term.</w:t>
      </w:r>
    </w:p>
    <w:p>
      <w:pPr>
        <w:spacing w:after="0" w:line="71" w:lineRule="exact"/>
        <w:rPr>
          <w:rFonts w:ascii="Arial" w:cs="Arial" w:eastAsia="Arial" w:hAnsi="Arial"/>
          <w:sz w:val="13"/>
          <w:szCs w:val="13"/>
          <w:color w:val="auto"/>
        </w:rPr>
      </w:pPr>
    </w:p>
    <w:p>
      <w:pPr>
        <w:ind w:left="680" w:hanging="455"/>
        <w:spacing w:after="0" w:line="310" w:lineRule="auto"/>
        <w:tabs>
          <w:tab w:leader="none" w:pos="680" w:val="left"/>
        </w:tabs>
        <w:numPr>
          <w:ilvl w:val="1"/>
          <w:numId w:val="124"/>
        </w:numPr>
        <w:rPr>
          <w:rFonts w:ascii="Arial" w:cs="Arial" w:eastAsia="Arial" w:hAnsi="Arial"/>
          <w:sz w:val="11"/>
          <w:szCs w:val="11"/>
          <w:color w:val="auto"/>
        </w:rPr>
      </w:pPr>
      <w:r>
        <w:rPr>
          <w:rFonts w:ascii="Arial" w:cs="Arial" w:eastAsia="Arial" w:hAnsi="Arial"/>
          <w:sz w:val="11"/>
          <w:szCs w:val="11"/>
          <w:u w:val="single" w:color="auto"/>
          <w:color w:val="auto"/>
        </w:rPr>
        <w:t>Six-Month Delay</w:t>
      </w:r>
      <w:r>
        <w:rPr>
          <w:rFonts w:ascii="Arial" w:cs="Arial" w:eastAsia="Arial" w:hAnsi="Arial"/>
          <w:sz w:val="11"/>
          <w:szCs w:val="11"/>
          <w:color w:val="auto"/>
        </w:rPr>
        <w:t>. To the extent the Employee is a “specified employee,” as defined in Section 409A(a)(2)(B)(i) of the Internal Revenue Code of 1986, as amended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distributable or settled during the six (6) month period after separation from service, will be made during such six (6) month period, and any such payment, distribution or benefit will instead be paid on the first business day after such six (6) month period, provided, however, that if the Employee dies following the Date of Termination and prior to the payment, distribution, settlement or provision of any payments, distributions or benefits delayed on account of Code Section 409A, such payments, distributions or benefits shall be paid or provided to the personal representative of the Employee’s estate within 30 days after the date of Employee’s death.</w:t>
      </w:r>
    </w:p>
    <w:p>
      <w:pPr>
        <w:spacing w:after="0" w:line="35" w:lineRule="exact"/>
        <w:rPr>
          <w:rFonts w:ascii="Arial" w:cs="Arial" w:eastAsia="Arial" w:hAnsi="Arial"/>
          <w:sz w:val="11"/>
          <w:szCs w:val="11"/>
          <w:color w:val="auto"/>
        </w:rPr>
      </w:pPr>
    </w:p>
    <w:p>
      <w:pPr>
        <w:ind w:right="60" w:firstLine="162"/>
        <w:spacing w:after="0" w:line="276" w:lineRule="auto"/>
        <w:tabs>
          <w:tab w:leader="none" w:pos="360"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Excise Taxes</w:t>
      </w:r>
      <w:r>
        <w:rPr>
          <w:rFonts w:ascii="Arial" w:cs="Arial" w:eastAsia="Arial" w:hAnsi="Arial"/>
          <w:sz w:val="13"/>
          <w:szCs w:val="13"/>
          <w:color w:val="auto"/>
        </w:rPr>
        <w:t>. If any payments or benefits paid or provided or to be paid or provided to the Employee or for Employee’s benefit pursuant to the terms of this Agreement or otherwise in connection with, or arising out of, his employment with the Company or its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9" w:name="page170"/>
    <w:bookmarkEnd w:id="169"/>
    <w:p>
      <w:pPr>
        <w:ind w:right="40"/>
        <w:spacing w:after="0" w:line="280" w:lineRule="auto"/>
        <w:rPr>
          <w:sz w:val="20"/>
          <w:szCs w:val="20"/>
          <w:color w:val="auto"/>
        </w:rPr>
      </w:pPr>
      <w:r>
        <w:rPr>
          <w:rFonts w:ascii="Arial" w:cs="Arial" w:eastAsia="Arial" w:hAnsi="Arial"/>
          <w:sz w:val="12"/>
          <w:szCs w:val="12"/>
          <w:color w:val="auto"/>
        </w:rPr>
        <w:t>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 Notwithstanding the order of priority of reduction set forth above, the Employee may include in the Employee’s election for a Scaled Back Amount a change to the order of such Payment reduction. The Company shall follow such revised reduction order, if and only if, the Company, in its sole judgment, determines such change does not violate the provisions of Code Section 409A.</w:t>
      </w:r>
    </w:p>
    <w:p>
      <w:pPr>
        <w:spacing w:after="0" w:line="49" w:lineRule="exact"/>
        <w:rPr>
          <w:sz w:val="20"/>
          <w:szCs w:val="20"/>
          <w:color w:val="auto"/>
        </w:rPr>
      </w:pPr>
    </w:p>
    <w:p>
      <w:pPr>
        <w:ind w:right="120" w:firstLine="162"/>
        <w:spacing w:after="0" w:line="276" w:lineRule="auto"/>
        <w:tabs>
          <w:tab w:leader="none" w:pos="355"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Non-Delegation of the Employee’s Rights</w:t>
      </w:r>
      <w:r>
        <w:rPr>
          <w:rFonts w:ascii="Arial" w:cs="Arial" w:eastAsia="Arial" w:hAnsi="Arial"/>
          <w:sz w:val="13"/>
          <w:szCs w:val="13"/>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49" w:lineRule="exact"/>
        <w:rPr>
          <w:rFonts w:ascii="Arial" w:cs="Arial" w:eastAsia="Arial" w:hAnsi="Arial"/>
          <w:sz w:val="13"/>
          <w:szCs w:val="13"/>
          <w:color w:val="auto"/>
        </w:rPr>
      </w:pPr>
    </w:p>
    <w:p>
      <w:pPr>
        <w:ind w:firstLine="162"/>
        <w:spacing w:after="0" w:line="255" w:lineRule="auto"/>
        <w:tabs>
          <w:tab w:leader="none" w:pos="360"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66" w:lineRule="exact"/>
        <w:rPr>
          <w:rFonts w:ascii="Arial" w:cs="Arial" w:eastAsia="Arial" w:hAnsi="Arial"/>
          <w:sz w:val="13"/>
          <w:szCs w:val="13"/>
          <w:color w:val="auto"/>
        </w:rPr>
      </w:pPr>
    </w:p>
    <w:p>
      <w:pPr>
        <w:ind w:left="360" w:hanging="198"/>
        <w:spacing w:after="0"/>
        <w:tabs>
          <w:tab w:leader="none" w:pos="360"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Non-Competition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0" w:right="80" w:hanging="455"/>
        <w:spacing w:after="0" w:line="276" w:lineRule="auto"/>
        <w:tabs>
          <w:tab w:leader="none" w:pos="680"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During Employment Term</w:t>
      </w:r>
      <w:r>
        <w:rPr>
          <w:rFonts w:ascii="Arial" w:cs="Arial" w:eastAsia="Arial" w:hAnsi="Arial"/>
          <w:sz w:val="13"/>
          <w:szCs w:val="13"/>
          <w:color w:val="auto"/>
        </w:rPr>
        <w:t>. The Employee agrees that, during the Employment Term, he will devote such business time, attention and energies reasonably necessary to the diligent and faithful performance of the services to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jc w:val="both"/>
        <w:ind w:left="660"/>
        <w:spacing w:after="0" w:line="289" w:lineRule="auto"/>
        <w:rPr>
          <w:sz w:val="20"/>
          <w:szCs w:val="20"/>
          <w:color w:val="auto"/>
        </w:rPr>
      </w:pPr>
      <w:r>
        <w:rPr>
          <w:rFonts w:ascii="Arial" w:cs="Arial" w:eastAsia="Arial" w:hAnsi="Arial"/>
          <w:sz w:val="12"/>
          <w:szCs w:val="12"/>
          <w:color w:val="auto"/>
        </w:rPr>
        <w:t>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53" w:lineRule="exact"/>
        <w:rPr>
          <w:sz w:val="20"/>
          <w:szCs w:val="20"/>
          <w:color w:val="auto"/>
        </w:rPr>
      </w:pPr>
    </w:p>
    <w:p>
      <w:pPr>
        <w:ind w:left="660" w:right="80" w:hanging="455"/>
        <w:spacing w:after="0" w:line="277" w:lineRule="auto"/>
        <w:tabs>
          <w:tab w:leader="none" w:pos="660" w:val="left"/>
        </w:tabs>
        <w:numPr>
          <w:ilvl w:val="1"/>
          <w:numId w:val="127"/>
        </w:numPr>
        <w:rPr>
          <w:rFonts w:ascii="Arial" w:cs="Arial" w:eastAsia="Arial" w:hAnsi="Arial"/>
          <w:sz w:val="12"/>
          <w:szCs w:val="12"/>
          <w:color w:val="auto"/>
        </w:rPr>
      </w:pPr>
      <w:r>
        <w:rPr>
          <w:rFonts w:ascii="Arial" w:cs="Arial" w:eastAsia="Arial" w:hAnsi="Arial"/>
          <w:sz w:val="12"/>
          <w:szCs w:val="12"/>
          <w:u w:val="single" w:color="auto"/>
          <w:color w:val="auto"/>
        </w:rPr>
        <w:t>After Employment Term</w:t>
      </w:r>
      <w:r>
        <w:rPr>
          <w:rFonts w:ascii="Arial" w:cs="Arial" w:eastAsia="Arial" w:hAnsi="Arial"/>
          <w:sz w:val="12"/>
          <w:szCs w:val="12"/>
          <w:color w:val="auto"/>
        </w:rPr>
        <w:t>. The parties acknowledge that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the Employee in that business after the Employment Term would severely injure the Company and its affiliates. Accordingly, for a period of one</w:t>
      </w:r>
    </w:p>
    <w:p>
      <w:pPr>
        <w:spacing w:after="0" w:line="1" w:lineRule="exact"/>
        <w:rPr>
          <w:rFonts w:ascii="Arial" w:cs="Arial" w:eastAsia="Arial" w:hAnsi="Arial"/>
          <w:sz w:val="12"/>
          <w:szCs w:val="12"/>
          <w:color w:val="auto"/>
        </w:rPr>
      </w:pPr>
    </w:p>
    <w:p>
      <w:pPr>
        <w:ind w:left="660"/>
        <w:spacing w:after="0" w:line="255" w:lineRule="auto"/>
        <w:rPr>
          <w:rFonts w:ascii="Arial" w:cs="Arial" w:eastAsia="Arial" w:hAnsi="Arial"/>
          <w:sz w:val="12"/>
          <w:szCs w:val="12"/>
          <w:color w:val="auto"/>
        </w:rPr>
      </w:pPr>
      <w:r>
        <w:rPr>
          <w:rFonts w:ascii="Arial" w:cs="Arial" w:eastAsia="Arial" w:hAnsi="Arial"/>
          <w:sz w:val="13"/>
          <w:szCs w:val="13"/>
          <w:color w:val="auto"/>
        </w:rPr>
        <w:t>(1) year after the Employee’s employment terminates for any reason whatsoever, except as otherwise stated herein below, the Employee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Subsection 13(b) if the Employee’s employment is terminated by the Company without Cause.</w:t>
      </w:r>
    </w:p>
    <w:p>
      <w:pPr>
        <w:spacing w:after="0" w:line="73" w:lineRule="exact"/>
        <w:rPr>
          <w:rFonts w:ascii="Arial" w:cs="Arial" w:eastAsia="Arial" w:hAnsi="Arial"/>
          <w:sz w:val="12"/>
          <w:szCs w:val="12"/>
          <w:color w:val="auto"/>
        </w:rPr>
      </w:pPr>
    </w:p>
    <w:p>
      <w:pPr>
        <w:ind w:left="660" w:right="420" w:hanging="455"/>
        <w:spacing w:after="0" w:line="320" w:lineRule="auto"/>
        <w:tabs>
          <w:tab w:leader="none" w:pos="660" w:val="left"/>
        </w:tabs>
        <w:numPr>
          <w:ilvl w:val="1"/>
          <w:numId w:val="127"/>
        </w:numPr>
        <w:rPr>
          <w:rFonts w:ascii="Arial" w:cs="Arial" w:eastAsia="Arial" w:hAnsi="Arial"/>
          <w:sz w:val="12"/>
          <w:szCs w:val="12"/>
          <w:color w:val="auto"/>
        </w:rPr>
      </w:pPr>
      <w:r>
        <w:rPr>
          <w:rFonts w:ascii="Arial" w:cs="Arial" w:eastAsia="Arial" w:hAnsi="Arial"/>
          <w:sz w:val="12"/>
          <w:szCs w:val="12"/>
          <w:u w:val="single" w:color="auto"/>
          <w:color w:val="auto"/>
        </w:rPr>
        <w:t>Exclusion</w:t>
      </w:r>
      <w:r>
        <w:rPr>
          <w:rFonts w:ascii="Arial" w:cs="Arial" w:eastAsia="Arial" w:hAnsi="Arial"/>
          <w:sz w:val="12"/>
          <w:szCs w:val="12"/>
          <w:color w:val="auto"/>
        </w:rPr>
        <w:t>. Working, directly or indirectly, for any of the following entities shall not be considered competitive to the Company or its affiliates for the purpose of this Section 13: (i) Fidelity National Information Services, Inc., its affiliates or their successors; or (ii) the Company, its affiliates or their successors if this Agreement is assumed by a third party as contemplated in Section 21.</w:t>
      </w:r>
    </w:p>
    <w:p>
      <w:pPr>
        <w:spacing w:after="0" w:line="25" w:lineRule="exact"/>
        <w:rPr>
          <w:rFonts w:ascii="Arial" w:cs="Arial" w:eastAsia="Arial" w:hAnsi="Arial"/>
          <w:sz w:val="12"/>
          <w:szCs w:val="12"/>
          <w:color w:val="auto"/>
        </w:rPr>
      </w:pPr>
    </w:p>
    <w:p>
      <w:pPr>
        <w:ind w:left="-20" w:right="180" w:firstLine="162"/>
        <w:spacing w:after="0" w:line="276" w:lineRule="auto"/>
        <w:tabs>
          <w:tab w:leader="none" w:pos="340"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Return of Company Documents</w:t>
      </w:r>
      <w:r>
        <w:rPr>
          <w:rFonts w:ascii="Arial" w:cs="Arial" w:eastAsia="Arial" w:hAnsi="Arial"/>
          <w:sz w:val="13"/>
          <w:szCs w:val="13"/>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49" w:lineRule="exact"/>
        <w:rPr>
          <w:rFonts w:ascii="Arial" w:cs="Arial" w:eastAsia="Arial" w:hAnsi="Arial"/>
          <w:sz w:val="13"/>
          <w:szCs w:val="13"/>
          <w:color w:val="auto"/>
        </w:rPr>
      </w:pPr>
    </w:p>
    <w:p>
      <w:pPr>
        <w:ind w:left="-20" w:right="120" w:firstLine="162"/>
        <w:spacing w:after="0" w:line="264" w:lineRule="auto"/>
        <w:tabs>
          <w:tab w:leader="none" w:pos="340"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Improvements and Inventions</w:t>
      </w:r>
      <w:r>
        <w:rPr>
          <w:rFonts w:ascii="Arial" w:cs="Arial" w:eastAsia="Arial" w:hAnsi="Arial"/>
          <w:sz w:val="13"/>
          <w:szCs w:val="13"/>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 The Employee shall, whenever requested by the Company, execute and deliver any and all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71" w:name="page172"/>
    <w:bookmarkEnd w:id="171"/>
    <w:p>
      <w:pPr>
        <w:ind w:right="20"/>
        <w:spacing w:after="0" w:line="276" w:lineRule="auto"/>
        <w:rPr>
          <w:sz w:val="20"/>
          <w:szCs w:val="20"/>
          <w:color w:val="auto"/>
        </w:rPr>
      </w:pPr>
      <w:r>
        <w:rPr>
          <w:rFonts w:ascii="Arial" w:cs="Arial" w:eastAsia="Arial" w:hAnsi="Arial"/>
          <w:sz w:val="13"/>
          <w:szCs w:val="13"/>
          <w:color w:val="auto"/>
        </w:rPr>
        <w:t>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49" w:lineRule="exact"/>
        <w:rPr>
          <w:sz w:val="20"/>
          <w:szCs w:val="20"/>
          <w:color w:val="auto"/>
        </w:rPr>
      </w:pPr>
    </w:p>
    <w:p>
      <w:pPr>
        <w:ind w:right="120" w:firstLine="162"/>
        <w:spacing w:after="0" w:line="322" w:lineRule="auto"/>
        <w:tabs>
          <w:tab w:leader="none" w:pos="360" w:val="left"/>
        </w:tabs>
        <w:numPr>
          <w:ilvl w:val="0"/>
          <w:numId w:val="129"/>
        </w:numPr>
        <w:rPr>
          <w:rFonts w:ascii="Arial" w:cs="Arial" w:eastAsia="Arial" w:hAnsi="Arial"/>
          <w:sz w:val="11"/>
          <w:szCs w:val="11"/>
          <w:color w:val="auto"/>
        </w:rPr>
      </w:pPr>
      <w:r>
        <w:rPr>
          <w:rFonts w:ascii="Arial" w:cs="Arial" w:eastAsia="Arial" w:hAnsi="Arial"/>
          <w:sz w:val="11"/>
          <w:szCs w:val="11"/>
          <w:u w:val="single" w:color="auto"/>
          <w:color w:val="auto"/>
        </w:rPr>
        <w:t>Actions</w:t>
      </w:r>
      <w:r>
        <w:rPr>
          <w:rFonts w:ascii="Arial" w:cs="Arial" w:eastAsia="Arial" w:hAnsi="Arial"/>
          <w:sz w:val="11"/>
          <w:szCs w:val="11"/>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Therefore, it is agreed between and hereby acknowledged by the parties that, in the event of a breach by the Employee of any of the obligations of this Agreement, the Company shall have the right, among other rights, to damages sustained thereby and to obtain an injunction or decree of specific performance from any court of competent jurisdiction to restrain or compel the Employee to perform as agreed herein. Nothing herein shall in any way limit or exclude any other right granted by law or equity to the Company.</w:t>
      </w:r>
    </w:p>
    <w:p>
      <w:pPr>
        <w:spacing w:after="0" w:line="28" w:lineRule="exact"/>
        <w:rPr>
          <w:rFonts w:ascii="Arial" w:cs="Arial" w:eastAsia="Arial" w:hAnsi="Arial"/>
          <w:sz w:val="11"/>
          <w:szCs w:val="11"/>
          <w:color w:val="auto"/>
        </w:rPr>
      </w:pPr>
    </w:p>
    <w:p>
      <w:pPr>
        <w:ind w:right="180" w:firstLine="162"/>
        <w:spacing w:after="0" w:line="257" w:lineRule="auto"/>
        <w:tabs>
          <w:tab w:leader="none" w:pos="36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Release</w:t>
      </w:r>
      <w:r>
        <w:rPr>
          <w:rFonts w:ascii="Arial" w:cs="Arial" w:eastAsia="Arial" w:hAnsi="Arial"/>
          <w:sz w:val="13"/>
          <w:szCs w:val="13"/>
          <w:color w:val="auto"/>
        </w:rPr>
        <w:t xml:space="preserve">. Notwithstanding any provision herein to the contrary, the Company may require that, prior to payment of any amount or provision of any benefit under Section 9 (other than due to the Employee’s death), the Employee shall have executed a complete release of the Company and its affiliates and related parties in such form as is reasonably required by the Company, and any waiting periods contained in such release shall have expired;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release shall not apply to the Employee’s rights under the benefit plans and programs of the Company and its affiliates, which rights shall be determined in accordance with the terms of such plans and programs.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61" w:lineRule="exact"/>
        <w:rPr>
          <w:rFonts w:ascii="Arial" w:cs="Arial" w:eastAsia="Arial" w:hAnsi="Arial"/>
          <w:sz w:val="13"/>
          <w:szCs w:val="13"/>
          <w:color w:val="auto"/>
        </w:rPr>
      </w:pPr>
    </w:p>
    <w:p>
      <w:pPr>
        <w:jc w:val="both"/>
        <w:ind w:firstLine="162"/>
        <w:spacing w:after="0" w:line="264" w:lineRule="auto"/>
        <w:tabs>
          <w:tab w:leader="none" w:pos="36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No Mitigation</w:t>
      </w:r>
      <w:r>
        <w:rPr>
          <w:rFonts w:ascii="Arial" w:cs="Arial" w:eastAsia="Arial" w:hAnsi="Arial"/>
          <w:sz w:val="13"/>
          <w:szCs w:val="13"/>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57" w:lineRule="exact"/>
        <w:rPr>
          <w:rFonts w:ascii="Arial" w:cs="Arial" w:eastAsia="Arial" w:hAnsi="Arial"/>
          <w:sz w:val="13"/>
          <w:szCs w:val="13"/>
          <w:color w:val="auto"/>
        </w:rPr>
      </w:pPr>
    </w:p>
    <w:p>
      <w:pPr>
        <w:jc w:val="both"/>
        <w:ind w:right="20" w:firstLine="162"/>
        <w:spacing w:after="0" w:line="264" w:lineRule="auto"/>
        <w:tabs>
          <w:tab w:leader="none" w:pos="36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Entire Agreement and Amendment</w:t>
      </w:r>
      <w:r>
        <w:rPr>
          <w:rFonts w:ascii="Arial" w:cs="Arial" w:eastAsia="Arial" w:hAnsi="Arial"/>
          <w:sz w:val="13"/>
          <w:szCs w:val="13"/>
          <w:color w:val="auto"/>
        </w:rPr>
        <w:t>. This Agreement embodies the entire agreement and understanding of the parties hereto in respect of the subject matter of this Agreement, and supersedes and replaces all prior agreements, understandings and commitments with respect to such subject matter, including without limitation the Prior Agreement. This Agreement may be amended only by a written document signed by both parties to this Agreement.</w:t>
      </w:r>
    </w:p>
    <w:p>
      <w:pPr>
        <w:spacing w:after="0" w:line="57" w:lineRule="exact"/>
        <w:rPr>
          <w:rFonts w:ascii="Arial" w:cs="Arial" w:eastAsia="Arial" w:hAnsi="Arial"/>
          <w:sz w:val="13"/>
          <w:szCs w:val="13"/>
          <w:color w:val="auto"/>
        </w:rPr>
      </w:pPr>
    </w:p>
    <w:p>
      <w:pPr>
        <w:ind w:right="320" w:firstLine="162"/>
        <w:spacing w:after="0" w:line="276" w:lineRule="auto"/>
        <w:tabs>
          <w:tab w:leader="none" w:pos="36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laws of the State of Florida, excluding any conflicts or choice of law rule or principle that might otherwise refer construction or interpretation of this Agreement to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color w:val="auto"/>
        </w:rPr>
        <w:t>substantive law of another jurisdiction. Any litigation pertaining to this Agreement shall be adjudicated in courts located in Duval County, Florida.</w:t>
      </w:r>
    </w:p>
    <w:p>
      <w:pPr>
        <w:spacing w:after="0" w:line="86" w:lineRule="exact"/>
        <w:rPr>
          <w:sz w:val="20"/>
          <w:szCs w:val="20"/>
          <w:color w:val="auto"/>
        </w:rPr>
      </w:pPr>
    </w:p>
    <w:p>
      <w:pPr>
        <w:ind w:firstLine="162"/>
        <w:spacing w:after="0" w:line="282" w:lineRule="auto"/>
        <w:tabs>
          <w:tab w:leader="none" w:pos="360" w:val="left"/>
        </w:tabs>
        <w:numPr>
          <w:ilvl w:val="0"/>
          <w:numId w:val="130"/>
        </w:numPr>
        <w:rPr>
          <w:rFonts w:ascii="Arial" w:cs="Arial" w:eastAsia="Arial" w:hAnsi="Arial"/>
          <w:sz w:val="12"/>
          <w:szCs w:val="12"/>
          <w:color w:val="auto"/>
        </w:rPr>
      </w:pPr>
      <w:r>
        <w:rPr>
          <w:rFonts w:ascii="Arial" w:cs="Arial" w:eastAsia="Arial" w:hAnsi="Arial"/>
          <w:sz w:val="12"/>
          <w:szCs w:val="12"/>
          <w:u w:val="single" w:color="auto"/>
          <w:color w:val="auto"/>
        </w:rPr>
        <w:t>Successors</w:t>
      </w:r>
      <w:r>
        <w:rPr>
          <w:rFonts w:ascii="Arial" w:cs="Arial" w:eastAsia="Arial" w:hAnsi="Arial"/>
          <w:sz w:val="12"/>
          <w:szCs w:val="12"/>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49" w:lineRule="exact"/>
        <w:rPr>
          <w:rFonts w:ascii="Arial" w:cs="Arial" w:eastAsia="Arial" w:hAnsi="Arial"/>
          <w:sz w:val="12"/>
          <w:szCs w:val="12"/>
          <w:color w:val="auto"/>
        </w:rPr>
      </w:pPr>
    </w:p>
    <w:p>
      <w:pPr>
        <w:ind w:left="360" w:hanging="198"/>
        <w:spacing w:after="0"/>
        <w:tabs>
          <w:tab w:leader="none" w:pos="360"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an original, but all of which together shall constitute one and the same instrument.</w:t>
      </w:r>
    </w:p>
    <w:p>
      <w:pPr>
        <w:spacing w:after="0" w:line="86" w:lineRule="exact"/>
        <w:rPr>
          <w:rFonts w:ascii="Arial" w:cs="Arial" w:eastAsia="Arial" w:hAnsi="Arial"/>
          <w:sz w:val="13"/>
          <w:szCs w:val="13"/>
          <w:color w:val="auto"/>
        </w:rPr>
      </w:pPr>
    </w:p>
    <w:p>
      <w:pPr>
        <w:ind w:firstLine="162"/>
        <w:spacing w:after="0" w:line="278" w:lineRule="auto"/>
        <w:tabs>
          <w:tab w:leader="none" w:pos="360" w:val="left"/>
        </w:tabs>
        <w:numPr>
          <w:ilvl w:val="0"/>
          <w:numId w:val="130"/>
        </w:numPr>
        <w:rPr>
          <w:rFonts w:ascii="Arial" w:cs="Arial" w:eastAsia="Arial" w:hAnsi="Arial"/>
          <w:sz w:val="12"/>
          <w:szCs w:val="12"/>
          <w:color w:val="auto"/>
        </w:rPr>
      </w:pPr>
      <w:r>
        <w:rPr>
          <w:rFonts w:ascii="Arial" w:cs="Arial" w:eastAsia="Arial" w:hAnsi="Arial"/>
          <w:sz w:val="12"/>
          <w:szCs w:val="12"/>
          <w:u w:val="single" w:color="auto"/>
          <w:color w:val="auto"/>
        </w:rPr>
        <w:t>Attorneys’ Fees</w:t>
      </w:r>
      <w:r>
        <w:rPr>
          <w:rFonts w:ascii="Arial" w:cs="Arial" w:eastAsia="Arial" w:hAnsi="Arial"/>
          <w:sz w:val="12"/>
          <w:szCs w:val="12"/>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52" w:lineRule="exact"/>
        <w:rPr>
          <w:rFonts w:ascii="Arial" w:cs="Arial" w:eastAsia="Arial" w:hAnsi="Arial"/>
          <w:sz w:val="12"/>
          <w:szCs w:val="12"/>
          <w:color w:val="auto"/>
        </w:rPr>
      </w:pPr>
    </w:p>
    <w:p>
      <w:pPr>
        <w:ind w:right="140" w:firstLine="162"/>
        <w:spacing w:after="0" w:line="276" w:lineRule="auto"/>
        <w:tabs>
          <w:tab w:leader="none" w:pos="360"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section, subsection or provision hereof is found for any reason whatsoever to be invalid or inoperative, that section, subsection or provision shall be deemed severable and shall not affect the force and validity of any other provision of this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3" w:name="page174"/>
    <w:bookmarkEnd w:id="173"/>
    <w:p>
      <w:pPr>
        <w:ind w:right="100"/>
        <w:spacing w:after="0" w:line="289" w:lineRule="auto"/>
        <w:rPr>
          <w:sz w:val="20"/>
          <w:szCs w:val="20"/>
          <w:color w:val="auto"/>
        </w:rPr>
      </w:pPr>
      <w:r>
        <w:rPr>
          <w:rFonts w:ascii="Arial" w:cs="Arial" w:eastAsia="Arial" w:hAnsi="Arial"/>
          <w:sz w:val="12"/>
          <w:szCs w:val="12"/>
          <w:color w:val="auto"/>
        </w:rPr>
        <w:t>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43" w:lineRule="exact"/>
        <w:rPr>
          <w:sz w:val="20"/>
          <w:szCs w:val="20"/>
          <w:color w:val="auto"/>
        </w:rPr>
      </w:pPr>
    </w:p>
    <w:p>
      <w:pPr>
        <w:ind w:right="400" w:firstLine="162"/>
        <w:spacing w:after="0" w:line="276" w:lineRule="auto"/>
        <w:tabs>
          <w:tab w:leader="none" w:pos="360"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 the Company:</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601 Riverside Avenue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 32204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Chief Executive Officer</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 the Employee:</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Michael L. Gravelle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601 Riverside Ave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 32204</w:t>
      </w:r>
    </w:p>
    <w:p>
      <w:pPr>
        <w:spacing w:after="0" w:line="79" w:lineRule="exact"/>
        <w:rPr>
          <w:sz w:val="20"/>
          <w:szCs w:val="20"/>
          <w:color w:val="auto"/>
        </w:rPr>
      </w:pPr>
    </w:p>
    <w:p>
      <w:pPr>
        <w:ind w:left="360" w:hanging="198"/>
        <w:spacing w:after="0"/>
        <w:tabs>
          <w:tab w:leader="none" w:pos="360" w:val="left"/>
        </w:tabs>
        <w:numPr>
          <w:ilvl w:val="0"/>
          <w:numId w:val="132"/>
        </w:numPr>
        <w:rPr>
          <w:rFonts w:ascii="Arial" w:cs="Arial" w:eastAsia="Arial" w:hAnsi="Arial"/>
          <w:sz w:val="13"/>
          <w:szCs w:val="13"/>
          <w:color w:val="auto"/>
        </w:rPr>
      </w:pPr>
      <w:r>
        <w:rPr>
          <w:rFonts w:ascii="Arial" w:cs="Arial" w:eastAsia="Arial" w:hAnsi="Arial"/>
          <w:sz w:val="13"/>
          <w:szCs w:val="13"/>
          <w:u w:val="single" w:color="auto"/>
          <w:color w:val="auto"/>
        </w:rPr>
        <w:t>Waiver of Breach</w:t>
      </w:r>
      <w:r>
        <w:rPr>
          <w:rFonts w:ascii="Arial" w:cs="Arial" w:eastAsia="Arial" w:hAnsi="Arial"/>
          <w:sz w:val="13"/>
          <w:szCs w:val="13"/>
          <w:color w:val="auto"/>
        </w:rPr>
        <w:t>. The waiver by any party of any provisions of this Agreement shall not operate or be construed as a waiver of any prior or subsequent breach by the other party.</w:t>
      </w:r>
    </w:p>
    <w:p>
      <w:pPr>
        <w:spacing w:after="0" w:line="86" w:lineRule="exact"/>
        <w:rPr>
          <w:rFonts w:ascii="Arial" w:cs="Arial" w:eastAsia="Arial" w:hAnsi="Arial"/>
          <w:sz w:val="13"/>
          <w:szCs w:val="13"/>
          <w:color w:val="auto"/>
        </w:rPr>
      </w:pPr>
    </w:p>
    <w:p>
      <w:pPr>
        <w:ind w:firstLine="162"/>
        <w:spacing w:after="0" w:line="276" w:lineRule="auto"/>
        <w:tabs>
          <w:tab w:leader="none" w:pos="360" w:val="left"/>
        </w:tabs>
        <w:numPr>
          <w:ilvl w:val="0"/>
          <w:numId w:val="132"/>
        </w:numPr>
        <w:rPr>
          <w:rFonts w:ascii="Arial" w:cs="Arial" w:eastAsia="Arial" w:hAnsi="Arial"/>
          <w:sz w:val="13"/>
          <w:szCs w:val="13"/>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 The Company or an affiliate may deduct from all compensation and benefits payable under this Agreement any taxes or withholdings the Company is required to deduct pursuant to state, federal or local laws.</w:t>
      </w:r>
    </w:p>
    <w:p>
      <w:pPr>
        <w:spacing w:after="0" w:line="49" w:lineRule="exact"/>
        <w:rPr>
          <w:rFonts w:ascii="Arial" w:cs="Arial" w:eastAsia="Arial" w:hAnsi="Arial"/>
          <w:sz w:val="13"/>
          <w:szCs w:val="13"/>
          <w:color w:val="auto"/>
        </w:rPr>
      </w:pPr>
    </w:p>
    <w:p>
      <w:pPr>
        <w:ind w:right="40" w:firstLine="162"/>
        <w:spacing w:after="0" w:line="285" w:lineRule="auto"/>
        <w:tabs>
          <w:tab w:leader="none" w:pos="360" w:val="left"/>
        </w:tabs>
        <w:numPr>
          <w:ilvl w:val="0"/>
          <w:numId w:val="132"/>
        </w:numPr>
        <w:rPr>
          <w:rFonts w:ascii="Arial" w:cs="Arial" w:eastAsia="Arial" w:hAnsi="Arial"/>
          <w:sz w:val="12"/>
          <w:szCs w:val="12"/>
          <w:color w:val="auto"/>
        </w:rPr>
      </w:pPr>
      <w:r>
        <w:rPr>
          <w:rFonts w:ascii="Arial" w:cs="Arial" w:eastAsia="Arial" w:hAnsi="Arial"/>
          <w:sz w:val="12"/>
          <w:szCs w:val="12"/>
          <w:u w:val="single" w:color="auto"/>
          <w:color w:val="auto"/>
        </w:rPr>
        <w:t>Code Section 409A</w:t>
      </w:r>
      <w:r>
        <w:rPr>
          <w:rFonts w:ascii="Arial" w:cs="Arial" w:eastAsia="Arial" w:hAnsi="Arial"/>
          <w:sz w:val="12"/>
          <w:szCs w:val="12"/>
          <w:color w:val="auto"/>
        </w:rPr>
        <w:t>. To the extent applicable, it is intended that this Agreement and any payment made hereunder shall comply with the requirements of Section 409A of the Code, or an exemption or exclusion therefrom and any related regulations or other guidance promulgated with respect to such Section by the U.S. Department of the Treasury or the Internal Revenue Service (“Code Section 409A”), provided that for the avoidance of doubt, this provision shall not be construed to require a gross-up payment in respect of any taxes, interest or penalties imposed on the Employee as a result of Code Section 409A. Any provision that would cause the Agreement or any payment hereof to fail to satisfy Code Section 409A shall have no force or effect until amended in the least restrictive manner necessary to comply with Code Section 409A, which amendment may be retroactive to the extent permitted by Code Section 409A. Each payment under this Agreement shall be treated as a separate payment for purposes of Code Section 409A.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4" w:name="page175"/>
    <w:bookmarkEnd w:id="174"/>
    <w:p>
      <w:pPr>
        <w:spacing w:after="0" w:line="279" w:lineRule="auto"/>
        <w:rPr>
          <w:sz w:val="20"/>
          <w:szCs w:val="20"/>
          <w:color w:val="auto"/>
        </w:rPr>
      </w:pPr>
      <w:r>
        <w:rPr>
          <w:rFonts w:ascii="Arial" w:cs="Arial" w:eastAsia="Arial" w:hAnsi="Arial"/>
          <w:sz w:val="12"/>
          <w:szCs w:val="12"/>
          <w:color w:val="auto"/>
        </w:rPr>
        <w:t>In no event may Employee, directly or indirectly, designate the calendar year of any payment to be made under this Agreement. All reimbursements and in-kind benefits provided under this Agreement shall be made or provided in accordance with the requirements of Code Section 409A, including, without limitation, that (i) in no event shall reimbursements by the Company under this Agreement be made later than the end of the calendar year next following the calendar year in which the applicable fees and expenses were incurred; (ii) the amount of in-kind benefits that the Company is obligated to pay or provide in any given calendar year shall not affect the in-kind benefits that the Company is obligated to pay or provide in any other calendar year; (iii) the Employee’s right to have the Company pay or provide such reimbursements and in-kind benefits may not be liquidated or exchanged for any other benefit; and (iv) in no event shall the Company’s obligations to make such reimbursements or to provide such in-kind benefits apply later than the Employee’s remaining lifetime. The Employee acknowledges that he has been advised to consult with an attorney and any other advisors of Employee’s choice prior to executing this Agreement, and the Employee further acknowledges that, in entering into this Agreement, he has not relied upon any representation or statement made by any agent or representative of Company or its affiliates that is not expressly set forth in this Agreement, including, without limitation, any representation with respect to the consequences or characterization (including for purpose of tax withholding and reporting) of the payment of any compensation or benefits hereunder under Section 409A of the Code and any similar sections of state tax law.</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have executed this Agreement to be effective as of the date first set forth above.</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By: /s/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263398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Its: Executive Chairman of the Board</w:t>
      </w: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MICHAEL L. GRAVELLE</w:t>
      </w:r>
    </w:p>
    <w:p>
      <w:pPr>
        <w:spacing w:after="0" w:line="165" w:lineRule="exact"/>
        <w:rPr>
          <w:sz w:val="20"/>
          <w:szCs w:val="20"/>
          <w:color w:val="auto"/>
        </w:rPr>
      </w:pPr>
    </w:p>
    <w:p>
      <w:pPr>
        <w:jc w:val="center"/>
        <w:ind w:left="520"/>
        <w:spacing w:after="0"/>
        <w:rPr>
          <w:sz w:val="20"/>
          <w:szCs w:val="20"/>
          <w:color w:val="auto"/>
        </w:rPr>
      </w:pPr>
      <w:r>
        <w:rPr>
          <w:rFonts w:ascii="Arial" w:cs="Arial" w:eastAsia="Arial" w:hAnsi="Arial"/>
          <w:sz w:val="13"/>
          <w:szCs w:val="13"/>
          <w:color w:val="auto"/>
        </w:rPr>
        <w:t>/s/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279654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60"/>
          </w:cols>
          <w:pgMar w:left="220" w:top="721"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3"/>
          <w:szCs w:val="13"/>
          <w:b w:val="1"/>
          <w:bCs w:val="1"/>
          <w:color w:val="auto"/>
        </w:rPr>
        <w:t>Exhibit 10.23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AGREEMENT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THIS AMENDED AND RESTATED EMPLOYMENT AGREEMENT (the “Agreement”) is effective as of July 23, 2008 (the “Effective Date”), by and between </w:t>
      </w:r>
      <w:r>
        <w:rPr>
          <w:rFonts w:ascii="Arial" w:cs="Arial" w:eastAsia="Arial" w:hAnsi="Arial"/>
          <w:sz w:val="12"/>
          <w:szCs w:val="12"/>
          <w:b w:val="1"/>
          <w:bCs w:val="1"/>
          <w:color w:val="auto"/>
        </w:rPr>
        <w:t>FIDELITY NATIONAL FINANCIAL, INC.</w:t>
      </w:r>
      <w:r>
        <w:rPr>
          <w:rFonts w:ascii="Arial" w:cs="Arial" w:eastAsia="Arial" w:hAnsi="Arial"/>
          <w:sz w:val="12"/>
          <w:szCs w:val="12"/>
          <w:color w:val="auto"/>
        </w:rPr>
        <w:t>, a</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Delaware corporation (the “Company”), and </w:t>
      </w:r>
      <w:r>
        <w:rPr>
          <w:rFonts w:ascii="Arial" w:cs="Arial" w:eastAsia="Arial" w:hAnsi="Arial"/>
          <w:sz w:val="13"/>
          <w:szCs w:val="13"/>
          <w:b w:val="1"/>
          <w:bCs w:val="1"/>
          <w:color w:val="auto"/>
        </w:rPr>
        <w:t>PETER T. SADOWSKI</w:t>
      </w:r>
      <w:r>
        <w:rPr>
          <w:rFonts w:ascii="Arial" w:cs="Arial" w:eastAsia="Arial" w:hAnsi="Arial"/>
          <w:sz w:val="13"/>
          <w:szCs w:val="13"/>
          <w:color w:val="auto"/>
        </w:rPr>
        <w:t xml:space="preserve"> (the “Employee”). In consideration of the mutual covenants and agreements set forth herein, the parties agree as follows:</w:t>
      </w:r>
    </w:p>
    <w:p>
      <w:pPr>
        <w:spacing w:after="0" w:line="79" w:lineRule="exact"/>
        <w:rPr>
          <w:sz w:val="20"/>
          <w:szCs w:val="20"/>
          <w:color w:val="auto"/>
        </w:rPr>
      </w:pPr>
    </w:p>
    <w:p>
      <w:pPr>
        <w:ind w:firstLine="162"/>
        <w:spacing w:after="0" w:line="264" w:lineRule="auto"/>
        <w:tabs>
          <w:tab w:leader="none" w:pos="295"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Purpose</w:t>
      </w:r>
      <w:r>
        <w:rPr>
          <w:rFonts w:ascii="Arial" w:cs="Arial" w:eastAsia="Arial" w:hAnsi="Arial"/>
          <w:sz w:val="13"/>
          <w:szCs w:val="13"/>
          <w:color w:val="auto"/>
        </w:rPr>
        <w:t>. This Agreement amends and restates, in its entirety, the obligations of the parties under the agreement between the Company and the Employee, dated as of October 24, 2006 (the “Prior Agreement”). The purpose of this Agreement is to recognize the Employee’s significant contributions to the overall financial performance and success of the Company and to provide a single, integrated document which shall provide the basis for the Employee’s continued employment by the Company.</w:t>
      </w:r>
    </w:p>
    <w:p>
      <w:pPr>
        <w:spacing w:after="0" w:line="57" w:lineRule="exact"/>
        <w:rPr>
          <w:rFonts w:ascii="Arial" w:cs="Arial" w:eastAsia="Arial" w:hAnsi="Arial"/>
          <w:sz w:val="13"/>
          <w:szCs w:val="13"/>
          <w:color w:val="auto"/>
        </w:rPr>
      </w:pPr>
    </w:p>
    <w:p>
      <w:pPr>
        <w:jc w:val="both"/>
        <w:ind w:right="40" w:firstLine="162"/>
        <w:spacing w:after="0" w:line="285" w:lineRule="auto"/>
        <w:tabs>
          <w:tab w:leader="none" w:pos="295" w:val="left"/>
        </w:tabs>
        <w:numPr>
          <w:ilvl w:val="0"/>
          <w:numId w:val="133"/>
        </w:numPr>
        <w:rPr>
          <w:rFonts w:ascii="Arial" w:cs="Arial" w:eastAsia="Arial" w:hAnsi="Arial"/>
          <w:sz w:val="12"/>
          <w:szCs w:val="12"/>
          <w:color w:val="auto"/>
        </w:rPr>
      </w:pPr>
      <w:r>
        <w:rPr>
          <w:rFonts w:ascii="Arial" w:cs="Arial" w:eastAsia="Arial" w:hAnsi="Arial"/>
          <w:sz w:val="12"/>
          <w:szCs w:val="12"/>
          <w:u w:val="single" w:color="auto"/>
          <w:color w:val="auto"/>
        </w:rPr>
        <w:t>Employment and Duties</w:t>
      </w:r>
      <w:r>
        <w:rPr>
          <w:rFonts w:ascii="Arial" w:cs="Arial" w:eastAsia="Arial" w:hAnsi="Arial"/>
          <w:sz w:val="12"/>
          <w:szCs w:val="12"/>
          <w:color w:val="auto"/>
        </w:rPr>
        <w:t>. Subject to the terms and conditions of this Agreement, the Company employs the Employee to serve in an executive capacity as Executive Vice President, Chief Legal Officer. The Employee accepts such employment and agrees to undertake and discharge the duties, functions and responsibilities commensurate with the aforesaid position and such other duties and responsibilities as may be prescribed from time to time by the Chief Executive Officer (“CEO”) or the Board of Directors of the Company (the “Board”). Except as expressly provided in Subsection 13(c), the Employee shall devote substantially all of his business time, attention and effort to the performance of his duties hereunder and shall not engage in any business, profession or occupation, for compensation or otherwise without the express written consent of the CEO, other than personal, personal investment, charitable, or civic activities or other matters that do not conflict with the Employee’s duties.</w:t>
      </w:r>
    </w:p>
    <w:p>
      <w:pPr>
        <w:spacing w:after="0" w:line="45" w:lineRule="exact"/>
        <w:rPr>
          <w:rFonts w:ascii="Arial" w:cs="Arial" w:eastAsia="Arial" w:hAnsi="Arial"/>
          <w:sz w:val="12"/>
          <w:szCs w:val="12"/>
          <w:color w:val="auto"/>
        </w:rPr>
      </w:pPr>
    </w:p>
    <w:p>
      <w:pPr>
        <w:ind w:right="20" w:firstLine="162"/>
        <w:spacing w:after="0" w:line="285" w:lineRule="auto"/>
        <w:tabs>
          <w:tab w:leader="none" w:pos="295" w:val="left"/>
        </w:tabs>
        <w:numPr>
          <w:ilvl w:val="0"/>
          <w:numId w:val="133"/>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45" w:lineRule="exact"/>
        <w:rPr>
          <w:rFonts w:ascii="Arial" w:cs="Arial" w:eastAsia="Arial" w:hAnsi="Arial"/>
          <w:sz w:val="12"/>
          <w:szCs w:val="12"/>
          <w:color w:val="auto"/>
        </w:rPr>
      </w:pPr>
    </w:p>
    <w:p>
      <w:pPr>
        <w:jc w:val="both"/>
        <w:ind w:right="200" w:firstLine="162"/>
        <w:spacing w:after="0" w:line="264" w:lineRule="auto"/>
        <w:tabs>
          <w:tab w:leader="none" w:pos="295"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Salary</w:t>
      </w:r>
      <w:r>
        <w:rPr>
          <w:rFonts w:ascii="Arial" w:cs="Arial" w:eastAsia="Arial" w:hAnsi="Arial"/>
          <w:sz w:val="13"/>
          <w:szCs w:val="13"/>
          <w:color w:val="auto"/>
        </w:rPr>
        <w:t>. During the Employment Term, the Company shall pay the Employee an annual base salary, before deducting all applicable withholdings, of no less than $460,000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color w:val="auto"/>
        </w:rPr>
        <w:t>of living increases and performance results (such annual base salary, including any increases pursuant to this Section 4, the “Annual Base Salary”).</w:t>
      </w:r>
    </w:p>
    <w:p>
      <w:pPr>
        <w:spacing w:after="0" w:line="86" w:lineRule="exact"/>
        <w:rPr>
          <w:sz w:val="20"/>
          <w:szCs w:val="20"/>
          <w:color w:val="auto"/>
        </w:rPr>
      </w:pPr>
    </w:p>
    <w:p>
      <w:pPr>
        <w:ind w:right="40" w:firstLine="162"/>
        <w:spacing w:after="0" w:line="276" w:lineRule="auto"/>
        <w:tabs>
          <w:tab w:leader="none" w:pos="295" w:val="left"/>
        </w:tabs>
        <w:numPr>
          <w:ilvl w:val="0"/>
          <w:numId w:val="134"/>
        </w:numPr>
        <w:rPr>
          <w:rFonts w:ascii="Arial" w:cs="Arial" w:eastAsia="Arial" w:hAnsi="Arial"/>
          <w:sz w:val="13"/>
          <w:szCs w:val="13"/>
          <w:color w:val="auto"/>
        </w:rPr>
      </w:pPr>
      <w:r>
        <w:rPr>
          <w:rFonts w:ascii="Arial" w:cs="Arial" w:eastAsia="Arial" w:hAnsi="Arial"/>
          <w:sz w:val="13"/>
          <w:szCs w:val="13"/>
          <w:u w:val="single" w:color="auto"/>
          <w:color w:val="auto"/>
        </w:rPr>
        <w:t>Other Compensation and Fringe Benefits</w:t>
      </w:r>
      <w:r>
        <w:rPr>
          <w:rFonts w:ascii="Arial" w:cs="Arial" w:eastAsia="Arial" w:hAnsi="Arial"/>
          <w:sz w:val="13"/>
          <w:szCs w:val="13"/>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49" w:lineRule="exact"/>
        <w:rPr>
          <w:rFonts w:ascii="Arial" w:cs="Arial" w:eastAsia="Arial" w:hAnsi="Arial"/>
          <w:sz w:val="13"/>
          <w:szCs w:val="13"/>
          <w:color w:val="auto"/>
        </w:rPr>
      </w:pPr>
    </w:p>
    <w:p>
      <w:pPr>
        <w:ind w:left="680" w:hanging="455"/>
        <w:spacing w:after="0"/>
        <w:tabs>
          <w:tab w:leader="none" w:pos="6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the standard Company benefits enjoyed by the Company’s other top executives as a group;</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payment by the Company of the Employee’s Rock Creek Cattle Company annual dues;</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medical and other insurance coverage (for the Employee and any covered dependents) provided by the Company to its other top executives as a group;</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supplemental disability insurance sufficient to provide two-thirds of the Employee’s pre-disability Annual Base Salary;</w:t>
      </w:r>
    </w:p>
    <w:p>
      <w:pPr>
        <w:spacing w:after="0" w:line="96" w:lineRule="exact"/>
        <w:rPr>
          <w:rFonts w:ascii="Arial" w:cs="Arial" w:eastAsia="Arial" w:hAnsi="Arial"/>
          <w:sz w:val="13"/>
          <w:szCs w:val="13"/>
          <w:color w:val="auto"/>
        </w:rPr>
      </w:pPr>
    </w:p>
    <w:p>
      <w:pPr>
        <w:ind w:left="680" w:right="40" w:hanging="455"/>
        <w:spacing w:after="0" w:line="282" w:lineRule="auto"/>
        <w:tabs>
          <w:tab w:leader="none" w:pos="680" w:val="left"/>
        </w:tabs>
        <w:numPr>
          <w:ilvl w:val="1"/>
          <w:numId w:val="134"/>
        </w:numPr>
        <w:rPr>
          <w:rFonts w:ascii="Arial" w:cs="Arial" w:eastAsia="Arial" w:hAnsi="Arial"/>
          <w:sz w:val="12"/>
          <w:szCs w:val="12"/>
          <w:color w:val="auto"/>
        </w:rPr>
      </w:pPr>
      <w:r>
        <w:rPr>
          <w:rFonts w:ascii="Arial" w:cs="Arial" w:eastAsia="Arial" w:hAnsi="Arial"/>
          <w:sz w:val="12"/>
          <w:szCs w:val="12"/>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150%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10"/>
          <w:szCs w:val="10"/>
          <w:color w:val="auto"/>
        </w:rPr>
        <w:t>th</w:t>
      </w:r>
      <w:r>
        <w:rPr>
          <w:rFonts w:ascii="Arial" w:cs="Arial" w:eastAsia="Arial" w:hAnsi="Arial"/>
          <w:sz w:val="12"/>
          <w:szCs w:val="12"/>
          <w:color w:val="auto"/>
        </w:rPr>
        <w:t xml:space="preserve">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59" w:lineRule="exact"/>
        <w:rPr>
          <w:rFonts w:ascii="Arial" w:cs="Arial" w:eastAsia="Arial" w:hAnsi="Arial"/>
          <w:sz w:val="12"/>
          <w:szCs w:val="12"/>
          <w:color w:val="auto"/>
        </w:rPr>
      </w:pPr>
    </w:p>
    <w:p>
      <w:pPr>
        <w:ind w:left="680" w:hanging="455"/>
        <w:spacing w:after="0"/>
        <w:tabs>
          <w:tab w:leader="none" w:pos="680" w:val="left"/>
        </w:tabs>
        <w:numPr>
          <w:ilvl w:val="1"/>
          <w:numId w:val="134"/>
        </w:numPr>
        <w:rPr>
          <w:rFonts w:ascii="Arial" w:cs="Arial" w:eastAsia="Arial" w:hAnsi="Arial"/>
          <w:sz w:val="13"/>
          <w:szCs w:val="13"/>
          <w:color w:val="auto"/>
        </w:rPr>
      </w:pPr>
      <w:r>
        <w:rPr>
          <w:rFonts w:ascii="Arial" w:cs="Arial" w:eastAsia="Arial" w:hAnsi="Arial"/>
          <w:sz w:val="13"/>
          <w:szCs w:val="13"/>
          <w:color w:val="auto"/>
        </w:rPr>
        <w:t>participation in the Company’s equity incentive plans.</w:t>
      </w:r>
    </w:p>
    <w:p>
      <w:pPr>
        <w:spacing w:after="0" w:line="86" w:lineRule="exact"/>
        <w:rPr>
          <w:rFonts w:ascii="Arial" w:cs="Arial" w:eastAsia="Arial" w:hAnsi="Arial"/>
          <w:sz w:val="13"/>
          <w:szCs w:val="13"/>
          <w:color w:val="auto"/>
        </w:rPr>
      </w:pPr>
    </w:p>
    <w:p>
      <w:pPr>
        <w:ind w:firstLine="162"/>
        <w:spacing w:after="0" w:line="371" w:lineRule="auto"/>
        <w:tabs>
          <w:tab w:leader="none" w:pos="295" w:val="left"/>
        </w:tabs>
        <w:numPr>
          <w:ilvl w:val="0"/>
          <w:numId w:val="134"/>
        </w:numPr>
        <w:rPr>
          <w:rFonts w:ascii="Arial" w:cs="Arial" w:eastAsia="Arial" w:hAnsi="Arial"/>
          <w:sz w:val="11"/>
          <w:szCs w:val="11"/>
          <w:color w:val="auto"/>
        </w:rPr>
      </w:pPr>
      <w:r>
        <w:rPr>
          <w:rFonts w:ascii="Arial" w:cs="Arial" w:eastAsia="Arial" w:hAnsi="Arial"/>
          <w:sz w:val="11"/>
          <w:szCs w:val="11"/>
          <w:u w:val="single" w:color="auto"/>
          <w:color w:val="auto"/>
        </w:rPr>
        <w:t>Vacation</w:t>
      </w:r>
      <w:r>
        <w:rPr>
          <w:rFonts w:ascii="Arial" w:cs="Arial" w:eastAsia="Arial" w:hAnsi="Arial"/>
          <w:sz w:val="11"/>
          <w:szCs w:val="11"/>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2" w:lineRule="exact"/>
        <w:rPr>
          <w:rFonts w:ascii="Arial" w:cs="Arial" w:eastAsia="Arial" w:hAnsi="Arial"/>
          <w:sz w:val="11"/>
          <w:szCs w:val="11"/>
          <w:color w:val="auto"/>
        </w:rPr>
      </w:pPr>
    </w:p>
    <w:p>
      <w:pPr>
        <w:ind w:right="200" w:firstLine="162"/>
        <w:spacing w:after="0" w:line="320" w:lineRule="auto"/>
        <w:tabs>
          <w:tab w:leader="none" w:pos="295" w:val="left"/>
        </w:tabs>
        <w:numPr>
          <w:ilvl w:val="0"/>
          <w:numId w:val="134"/>
        </w:numPr>
        <w:rPr>
          <w:rFonts w:ascii="Arial" w:cs="Arial" w:eastAsia="Arial" w:hAnsi="Arial"/>
          <w:sz w:val="12"/>
          <w:szCs w:val="12"/>
          <w:color w:val="auto"/>
        </w:rPr>
      </w:pPr>
      <w:r>
        <w:rPr>
          <w:rFonts w:ascii="Arial" w:cs="Arial" w:eastAsia="Arial" w:hAnsi="Arial"/>
          <w:sz w:val="12"/>
          <w:szCs w:val="12"/>
          <w:u w:val="single" w:color="auto"/>
          <w:color w:val="auto"/>
        </w:rPr>
        <w:t>Expense Reimbursement</w:t>
      </w:r>
      <w:r>
        <w:rPr>
          <w:rFonts w:ascii="Arial" w:cs="Arial" w:eastAsia="Arial" w:hAnsi="Arial"/>
          <w:sz w:val="12"/>
          <w:szCs w:val="12"/>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0" w:right="339" w:bottom="1440" w:gutter="0" w:footer="0" w:header="0"/>
        </w:sectPr>
      </w:pPr>
    </w:p>
    <w:bookmarkStart w:id="177" w:name="page178"/>
    <w:bookmarkEnd w:id="177"/>
    <w:p>
      <w:pPr>
        <w:ind w:left="-20" w:right="100" w:firstLine="162"/>
        <w:spacing w:after="0" w:line="276" w:lineRule="auto"/>
        <w:tabs>
          <w:tab w:leader="none" w:pos="275" w:val="left"/>
        </w:tabs>
        <w:numPr>
          <w:ilvl w:val="0"/>
          <w:numId w:val="135"/>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49" w:lineRule="exact"/>
        <w:rPr>
          <w:rFonts w:ascii="Arial" w:cs="Arial" w:eastAsia="Arial" w:hAnsi="Arial"/>
          <w:sz w:val="13"/>
          <w:szCs w:val="13"/>
          <w:color w:val="auto"/>
        </w:rPr>
      </w:pPr>
    </w:p>
    <w:p>
      <w:pPr>
        <w:ind w:left="660" w:hanging="455"/>
        <w:spacing w:after="0" w:line="257" w:lineRule="auto"/>
        <w:tabs>
          <w:tab w:leader="none" w:pos="660" w:val="left"/>
        </w:tabs>
        <w:numPr>
          <w:ilvl w:val="1"/>
          <w:numId w:val="135"/>
        </w:numPr>
        <w:rPr>
          <w:rFonts w:ascii="Arial" w:cs="Arial" w:eastAsia="Arial" w:hAnsi="Arial"/>
          <w:sz w:val="13"/>
          <w:szCs w:val="13"/>
          <w:color w:val="auto"/>
        </w:rPr>
      </w:pPr>
      <w:r>
        <w:rPr>
          <w:rFonts w:ascii="Arial" w:cs="Arial" w:eastAsia="Arial" w:hAnsi="Arial"/>
          <w:sz w:val="13"/>
          <w:szCs w:val="13"/>
          <w:u w:val="single" w:color="auto"/>
          <w:color w:val="auto"/>
        </w:rPr>
        <w:t>Notice of Termination</w:t>
      </w:r>
      <w:r>
        <w:rPr>
          <w:rFonts w:ascii="Arial" w:cs="Arial" w:eastAsia="Arial" w:hAnsi="Arial"/>
          <w:sz w:val="13"/>
          <w:szCs w:val="13"/>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69" w:lineRule="exact"/>
        <w:rPr>
          <w:rFonts w:ascii="Arial" w:cs="Arial" w:eastAsia="Arial" w:hAnsi="Arial"/>
          <w:sz w:val="13"/>
          <w:szCs w:val="13"/>
          <w:color w:val="auto"/>
        </w:rPr>
      </w:pPr>
    </w:p>
    <w:p>
      <w:pPr>
        <w:ind w:left="660" w:right="40" w:hanging="455"/>
        <w:spacing w:after="0" w:line="280" w:lineRule="auto"/>
        <w:tabs>
          <w:tab w:leader="none" w:pos="660" w:val="left"/>
        </w:tabs>
        <w:numPr>
          <w:ilvl w:val="1"/>
          <w:numId w:val="135"/>
        </w:numPr>
        <w:rPr>
          <w:rFonts w:ascii="Arial" w:cs="Arial" w:eastAsia="Arial" w:hAnsi="Arial"/>
          <w:sz w:val="13"/>
          <w:szCs w:val="13"/>
          <w:color w:val="auto"/>
        </w:rPr>
      </w:pPr>
      <w:r>
        <w:rPr>
          <w:rFonts w:ascii="Arial" w:cs="Arial" w:eastAsia="Arial" w:hAnsi="Arial"/>
          <w:sz w:val="13"/>
          <w:szCs w:val="13"/>
          <w:u w:val="single" w:color="auto"/>
          <w:color w:val="auto"/>
        </w:rPr>
        <w:t>Date of Termination</w:t>
      </w:r>
      <w:r>
        <w:rPr>
          <w:rFonts w:ascii="Arial" w:cs="Arial" w:eastAsia="Arial" w:hAnsi="Arial"/>
          <w:sz w:val="13"/>
          <w:szCs w:val="13"/>
          <w:color w:val="auto"/>
        </w:rPr>
        <w:t>. For purposes of this Agreement, “Date of Termination” shall mean the date specified in the Notice of Termination (but in no event shall such date be earlier than the thirtieth (30</w:t>
      </w:r>
      <w:r>
        <w:rPr>
          <w:rFonts w:ascii="Arial" w:cs="Arial" w:eastAsia="Arial" w:hAnsi="Arial"/>
          <w:sz w:val="11"/>
          <w:szCs w:val="11"/>
          <w:color w:val="auto"/>
        </w:rPr>
        <w:t>th</w:t>
      </w:r>
      <w:r>
        <w:rPr>
          <w:rFonts w:ascii="Arial" w:cs="Arial" w:eastAsia="Arial" w:hAnsi="Arial"/>
          <w:sz w:val="13"/>
          <w:szCs w:val="13"/>
          <w:color w:val="auto"/>
        </w:rPr>
        <w:t>) day following the date the Notice of Termination is given) or the date of the Employee’s death.</w:t>
      </w:r>
    </w:p>
    <w:p>
      <w:pPr>
        <w:spacing w:after="0" w:line="56" w:lineRule="exact"/>
        <w:rPr>
          <w:rFonts w:ascii="Arial" w:cs="Arial" w:eastAsia="Arial" w:hAnsi="Arial"/>
          <w:sz w:val="13"/>
          <w:szCs w:val="13"/>
          <w:color w:val="auto"/>
        </w:rPr>
      </w:pPr>
    </w:p>
    <w:p>
      <w:pPr>
        <w:ind w:left="660" w:right="80" w:hanging="455"/>
        <w:spacing w:after="0" w:line="276" w:lineRule="auto"/>
        <w:tabs>
          <w:tab w:leader="none" w:pos="660" w:val="left"/>
        </w:tabs>
        <w:numPr>
          <w:ilvl w:val="1"/>
          <w:numId w:val="135"/>
        </w:numPr>
        <w:rPr>
          <w:rFonts w:ascii="Arial" w:cs="Arial" w:eastAsia="Arial" w:hAnsi="Arial"/>
          <w:sz w:val="13"/>
          <w:szCs w:val="13"/>
          <w:color w:val="auto"/>
        </w:rPr>
      </w:pPr>
      <w:r>
        <w:rPr>
          <w:rFonts w:ascii="Arial" w:cs="Arial" w:eastAsia="Arial" w:hAnsi="Arial"/>
          <w:sz w:val="13"/>
          <w:szCs w:val="13"/>
          <w:u w:val="single" w:color="auto"/>
          <w:color w:val="auto"/>
        </w:rPr>
        <w:t>No Waiver</w:t>
      </w:r>
      <w:r>
        <w:rPr>
          <w:rFonts w:ascii="Arial" w:cs="Arial" w:eastAsia="Arial" w:hAnsi="Arial"/>
          <w:sz w:val="13"/>
          <w:szCs w:val="13"/>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59" w:lineRule="exact"/>
        <w:rPr>
          <w:rFonts w:ascii="Arial" w:cs="Arial" w:eastAsia="Arial" w:hAnsi="Arial"/>
          <w:sz w:val="13"/>
          <w:szCs w:val="13"/>
          <w:color w:val="auto"/>
        </w:rPr>
      </w:pPr>
    </w:p>
    <w:p>
      <w:pPr>
        <w:ind w:left="660" w:right="80" w:hanging="455"/>
        <w:spacing w:after="0" w:line="256" w:lineRule="auto"/>
        <w:tabs>
          <w:tab w:leader="none" w:pos="660" w:val="left"/>
        </w:tabs>
        <w:numPr>
          <w:ilvl w:val="1"/>
          <w:numId w:val="135"/>
        </w:numPr>
        <w:rPr>
          <w:rFonts w:ascii="Arial" w:cs="Arial" w:eastAsia="Arial" w:hAnsi="Arial"/>
          <w:sz w:val="13"/>
          <w:szCs w:val="13"/>
          <w:color w:val="auto"/>
        </w:rPr>
      </w:pPr>
      <w:r>
        <w:rPr>
          <w:rFonts w:ascii="Arial" w:cs="Arial" w:eastAsia="Arial" w:hAnsi="Arial"/>
          <w:sz w:val="13"/>
          <w:szCs w:val="13"/>
          <w:u w:val="single" w:color="auto"/>
          <w:color w:val="auto"/>
        </w:rPr>
        <w:t>Cause</w:t>
      </w:r>
      <w:r>
        <w:rPr>
          <w:rFonts w:ascii="Arial" w:cs="Arial" w:eastAsia="Arial" w:hAnsi="Arial"/>
          <w:sz w:val="13"/>
          <w:szCs w:val="13"/>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failure to materially cooperate with or impeding an investigation authorized by the Board. The Employee’s termination for Cause shall be effective when and if a resolution is duly adopted by an affirmative vote of at least </w:t>
      </w:r>
      <w:r>
        <w:rPr>
          <w:rFonts w:ascii="Arial" w:cs="Arial" w:eastAsia="Arial" w:hAnsi="Arial"/>
          <w:sz w:val="7"/>
          <w:szCs w:val="7"/>
          <w:color w:val="auto"/>
        </w:rPr>
        <w:t>3</w:t>
      </w:r>
      <w:r>
        <w:rPr>
          <w:rFonts w:ascii="Arial" w:cs="Arial" w:eastAsia="Arial" w:hAnsi="Arial"/>
          <w:sz w:val="13"/>
          <w:szCs w:val="13"/>
          <w:color w:val="auto"/>
        </w:rPr>
        <w:t>/</w:t>
      </w:r>
      <w:r>
        <w:rPr>
          <w:rFonts w:ascii="Arial" w:cs="Arial" w:eastAsia="Arial" w:hAnsi="Arial"/>
          <w:sz w:val="7"/>
          <w:szCs w:val="7"/>
          <w:color w:val="auto"/>
        </w:rPr>
        <w:t>4</w:t>
      </w:r>
      <w:r>
        <w:rPr>
          <w:rFonts w:ascii="Arial" w:cs="Arial" w:eastAsia="Arial" w:hAnsi="Arial"/>
          <w:sz w:val="13"/>
          <w:szCs w:val="13"/>
          <w:color w:val="auto"/>
        </w:rPr>
        <w:t xml:space="preserve"> of the Board (less the Employee), stating that, in the good faith opinion of the Board, the Employee is guilty of the conduct described in the Notice of Termination and such conduct constitutes Cause under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Employee shall have been given reasonable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178" w:name="page179"/>
    <w:bookmarkEnd w:id="178"/>
    <w:p>
      <w:pPr>
        <w:ind w:left="460" w:right="80"/>
        <w:spacing w:after="0" w:line="276" w:lineRule="auto"/>
        <w:rPr>
          <w:sz w:val="20"/>
          <w:szCs w:val="20"/>
          <w:color w:val="auto"/>
        </w:rPr>
      </w:pPr>
      <w:r>
        <w:rPr>
          <w:rFonts w:ascii="Arial" w:cs="Arial" w:eastAsia="Arial" w:hAnsi="Arial"/>
          <w:sz w:val="13"/>
          <w:szCs w:val="13"/>
          <w:color w:val="auto"/>
        </w:rPr>
        <w:t>opportunity (A) to cure any act or omission that constitutes Cause if capable of cure and (B), together with counsel, during the thirty (30) day period following the receipt by the Employee of the Notice of Termination and prior to the adoption of the Board’s resolution, to be heard by the Board.</w:t>
      </w:r>
    </w:p>
    <w:p>
      <w:pPr>
        <w:spacing w:after="0" w:line="49" w:lineRule="exact"/>
        <w:rPr>
          <w:sz w:val="20"/>
          <w:szCs w:val="20"/>
          <w:color w:val="auto"/>
        </w:rPr>
      </w:pPr>
    </w:p>
    <w:p>
      <w:pPr>
        <w:ind w:left="460" w:right="200" w:hanging="455"/>
        <w:spacing w:after="0" w:line="276" w:lineRule="auto"/>
        <w:tabs>
          <w:tab w:leader="none" w:pos="460"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For purposes of this Agreement, a termination based upon “Disability” means a termination by the Company based upon the Employee’s entitlement to long-term disability benefits under the Company’s long-term disability plan or policy, as the case may be, as in effect on the Date of Termination.</w:t>
      </w:r>
    </w:p>
    <w:p>
      <w:pPr>
        <w:spacing w:after="0" w:line="59" w:lineRule="exact"/>
        <w:rPr>
          <w:rFonts w:ascii="Arial" w:cs="Arial" w:eastAsia="Arial" w:hAnsi="Arial"/>
          <w:sz w:val="13"/>
          <w:szCs w:val="13"/>
          <w:color w:val="auto"/>
        </w:rPr>
      </w:pPr>
    </w:p>
    <w:p>
      <w:pPr>
        <w:ind w:left="460" w:right="180" w:hanging="455"/>
        <w:spacing w:after="0" w:line="276" w:lineRule="auto"/>
        <w:tabs>
          <w:tab w:leader="none" w:pos="460"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Good Reason</w:t>
      </w:r>
      <w:r>
        <w:rPr>
          <w:rFonts w:ascii="Arial" w:cs="Arial" w:eastAsia="Arial" w:hAnsi="Arial"/>
          <w:sz w:val="13"/>
          <w:szCs w:val="13"/>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49" w:lineRule="exact"/>
        <w:rPr>
          <w:rFonts w:ascii="Arial" w:cs="Arial" w:eastAsia="Arial" w:hAnsi="Arial"/>
          <w:sz w:val="13"/>
          <w:szCs w:val="13"/>
          <w:color w:val="auto"/>
        </w:rPr>
      </w:pPr>
    </w:p>
    <w:p>
      <w:pPr>
        <w:ind w:left="680" w:hanging="449"/>
        <w:spacing w:after="0"/>
        <w:tabs>
          <w:tab w:leader="none" w:pos="68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 material diminution in the Employee’s position or title, or the assignment of duties to the Employee that are materially inconsistent with the Employee’s position or title;</w:t>
      </w:r>
    </w:p>
    <w:p>
      <w:pPr>
        <w:spacing w:after="0" w:line="96" w:lineRule="exact"/>
        <w:rPr>
          <w:rFonts w:ascii="Arial" w:cs="Arial" w:eastAsia="Arial" w:hAnsi="Arial"/>
          <w:sz w:val="13"/>
          <w:szCs w:val="13"/>
          <w:color w:val="auto"/>
        </w:rPr>
      </w:pPr>
    </w:p>
    <w:p>
      <w:pPr>
        <w:ind w:left="680" w:hanging="449"/>
        <w:spacing w:after="0"/>
        <w:tabs>
          <w:tab w:leader="none" w:pos="68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 material diminution in the Employee’s Annual Base Salary or Annual Bonus Opportunity;</w:t>
      </w:r>
    </w:p>
    <w:p>
      <w:pPr>
        <w:spacing w:after="0" w:line="96" w:lineRule="exact"/>
        <w:rPr>
          <w:rFonts w:ascii="Arial" w:cs="Arial" w:eastAsia="Arial" w:hAnsi="Arial"/>
          <w:sz w:val="13"/>
          <w:szCs w:val="13"/>
          <w:color w:val="auto"/>
        </w:rPr>
      </w:pPr>
    </w:p>
    <w:p>
      <w:pPr>
        <w:ind w:left="680" w:hanging="449"/>
        <w:spacing w:after="0" w:line="282" w:lineRule="auto"/>
        <w:tabs>
          <w:tab w:leader="none" w:pos="68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2"/>
          <w:szCs w:val="12"/>
          <w:i w:val="1"/>
          <w:iCs w:val="1"/>
          <w:color w:val="auto"/>
        </w:rPr>
        <w:t>e.g.</w:t>
      </w:r>
      <w:r>
        <w:rPr>
          <w:rFonts w:ascii="Arial" w:cs="Arial" w:eastAsia="Arial" w:hAnsi="Arial"/>
          <w:sz w:val="12"/>
          <w:szCs w:val="12"/>
          <w:color w:val="auto"/>
        </w:rPr>
        <w:t>, the Company has determined that a change in the department or functional group over which the Employee has managerial authority would constitute such a material adverse change); (B) a material adverse change in the position to whom the Employee reports (including any requirement that the Employee report to a corporate officer or employee instead of reporting directly to the CEO)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Arial" w:cs="Arial" w:eastAsia="Arial" w:hAnsi="Arial"/>
          <w:sz w:val="12"/>
          <w:szCs w:val="12"/>
          <w:i w:val="1"/>
          <w:iCs w:val="1"/>
          <w:color w:val="auto"/>
        </w:rPr>
        <w:t>e.g.</w:t>
      </w:r>
      <w:r>
        <w:rPr>
          <w:rFonts w:ascii="Arial" w:cs="Arial" w:eastAsia="Arial" w:hAnsi="Arial"/>
          <w:sz w:val="12"/>
          <w:szCs w:val="12"/>
          <w:color w:val="auto"/>
        </w:rPr>
        <w:t>, the Company has determined that a relocation of more than thirty-five (35) miles would constitute such a material change); or</w:t>
      </w:r>
    </w:p>
    <w:p>
      <w:pPr>
        <w:spacing w:after="0" w:line="59" w:lineRule="exact"/>
        <w:rPr>
          <w:rFonts w:ascii="Arial" w:cs="Arial" w:eastAsia="Arial" w:hAnsi="Arial"/>
          <w:sz w:val="12"/>
          <w:szCs w:val="12"/>
          <w:color w:val="auto"/>
        </w:rPr>
      </w:pPr>
    </w:p>
    <w:p>
      <w:pPr>
        <w:ind w:left="680" w:hanging="449"/>
        <w:spacing w:after="0"/>
        <w:tabs>
          <w:tab w:leader="none" w:pos="68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 material breach by the Company of any of its obligations under this Agreement.</w:t>
      </w:r>
    </w:p>
    <w:p>
      <w:pPr>
        <w:spacing w:after="0" w:line="86" w:lineRule="exact"/>
        <w:rPr>
          <w:sz w:val="20"/>
          <w:szCs w:val="20"/>
          <w:color w:val="auto"/>
        </w:rPr>
      </w:pPr>
    </w:p>
    <w:p>
      <w:pPr>
        <w:ind w:left="240" w:right="80"/>
        <w:spacing w:after="0" w:line="276" w:lineRule="auto"/>
        <w:rPr>
          <w:sz w:val="20"/>
          <w:szCs w:val="20"/>
          <w:color w:val="auto"/>
        </w:rPr>
      </w:pPr>
      <w:r>
        <w:rPr>
          <w:rFonts w:ascii="Arial" w:cs="Arial" w:eastAsia="Arial" w:hAnsi="Arial"/>
          <w:sz w:val="13"/>
          <w:szCs w:val="13"/>
          <w:color w:val="auto"/>
        </w:rPr>
        <w:t>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w:t>
      </w:r>
    </w:p>
    <w:p>
      <w:pPr>
        <w:spacing w:after="0" w:line="10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179" w:name="page180"/>
    <w:bookmarkEnd w:id="179"/>
    <w:p>
      <w:pPr>
        <w:ind w:left="300" w:right="100"/>
        <w:spacing w:after="0" w:line="260" w:lineRule="auto"/>
        <w:rPr>
          <w:sz w:val="20"/>
          <w:szCs w:val="20"/>
          <w:color w:val="auto"/>
        </w:rPr>
      </w:pPr>
      <w:r>
        <w:rPr>
          <w:rFonts w:ascii="Arial" w:cs="Arial" w:eastAsia="Arial" w:hAnsi="Arial"/>
          <w:sz w:val="13"/>
          <w:szCs w:val="13"/>
          <w:color w:val="auto"/>
        </w:rPr>
        <w:t xml:space="preserve">respect to, any act or failure to act constituting Good Reason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the Employee’s Notice of Termination.</w:t>
      </w:r>
    </w:p>
    <w:p>
      <w:pPr>
        <w:spacing w:after="0" w:line="60" w:lineRule="exact"/>
        <w:rPr>
          <w:sz w:val="20"/>
          <w:szCs w:val="20"/>
          <w:color w:val="auto"/>
        </w:rPr>
      </w:pPr>
    </w:p>
    <w:p>
      <w:pPr>
        <w:ind w:left="140" w:hanging="138"/>
        <w:spacing w:after="0"/>
        <w:tabs>
          <w:tab w:leader="none" w:pos="140"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Obligations of the Company Upon Termination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0" w:right="100" w:hanging="455"/>
        <w:spacing w:after="0" w:line="276" w:lineRule="auto"/>
        <w:tabs>
          <w:tab w:leader="none" w:pos="520" w:val="left"/>
        </w:tabs>
        <w:numPr>
          <w:ilvl w:val="1"/>
          <w:numId w:val="137"/>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for a Reason Other than Cause, Death or Disability and Termination by the Employee for Good Reason</w:t>
      </w:r>
      <w:r>
        <w:rPr>
          <w:rFonts w:ascii="Arial" w:cs="Arial" w:eastAsia="Arial" w:hAnsi="Arial"/>
          <w:sz w:val="13"/>
          <w:szCs w:val="13"/>
          <w:color w:val="auto"/>
        </w:rPr>
        <w:t>. If the Employee’s employment is terminated by: (1) the Company for any reason other than Cause, Death or Disability; or (2) the Employee for Good Reason:</w:t>
      </w:r>
    </w:p>
    <w:p>
      <w:pPr>
        <w:spacing w:after="0" w:line="49" w:lineRule="exact"/>
        <w:rPr>
          <w:rFonts w:ascii="Arial" w:cs="Arial" w:eastAsia="Arial" w:hAnsi="Arial"/>
          <w:sz w:val="13"/>
          <w:szCs w:val="13"/>
          <w:color w:val="auto"/>
        </w:rPr>
      </w:pPr>
    </w:p>
    <w:p>
      <w:pPr>
        <w:ind w:left="740" w:hanging="449"/>
        <w:spacing w:after="0"/>
        <w:tabs>
          <w:tab w:leader="none" w:pos="740" w:val="left"/>
        </w:tabs>
        <w:numPr>
          <w:ilvl w:val="2"/>
          <w:numId w:val="137"/>
        </w:numPr>
        <w:rPr>
          <w:rFonts w:ascii="Arial" w:cs="Arial" w:eastAsia="Arial" w:hAnsi="Arial"/>
          <w:sz w:val="12"/>
          <w:szCs w:val="12"/>
          <w:color w:val="auto"/>
        </w:rPr>
      </w:pPr>
      <w:r>
        <w:rPr>
          <w:rFonts w:ascii="Arial" w:cs="Arial" w:eastAsia="Arial" w:hAnsi="Arial"/>
          <w:sz w:val="12"/>
          <w:szCs w:val="12"/>
          <w:color w:val="auto"/>
        </w:rPr>
        <w:t>the Company shall pay the Employee the following (collectively, the “Accrued Obligations”): (A) within five (5) business days after the Date of Termination, any earned but unpaid Annual Base Salary;</w:t>
      </w:r>
    </w:p>
    <w:p>
      <w:pPr>
        <w:spacing w:after="0" w:line="26" w:lineRule="exact"/>
        <w:rPr>
          <w:rFonts w:ascii="Arial" w:cs="Arial" w:eastAsia="Arial" w:hAnsi="Arial"/>
          <w:sz w:val="12"/>
          <w:szCs w:val="12"/>
          <w:color w:val="auto"/>
        </w:rPr>
      </w:pPr>
    </w:p>
    <w:p>
      <w:pPr>
        <w:ind w:left="740" w:right="40"/>
        <w:spacing w:after="0" w:line="307" w:lineRule="auto"/>
        <w:rPr>
          <w:rFonts w:ascii="Arial" w:cs="Arial" w:eastAsia="Arial" w:hAnsi="Arial"/>
          <w:sz w:val="12"/>
          <w:szCs w:val="12"/>
          <w:color w:val="auto"/>
        </w:rPr>
      </w:pPr>
      <w:r>
        <w:rPr>
          <w:rFonts w:ascii="Arial" w:cs="Arial" w:eastAsia="Arial" w:hAnsi="Arial"/>
          <w:sz w:val="12"/>
          <w:szCs w:val="12"/>
          <w:color w:val="auto"/>
        </w:rPr>
        <w:t>(B) within a reasonable time following submission of all applicable documentation, any expense reimbursement payments owed to the Employee for expenses incurred prior to the Date of Termination; and (C) no later than March 15</w:t>
      </w:r>
      <w:r>
        <w:rPr>
          <w:rFonts w:ascii="Arial" w:cs="Arial" w:eastAsia="Arial" w:hAnsi="Arial"/>
          <w:sz w:val="10"/>
          <w:szCs w:val="10"/>
          <w:color w:val="auto"/>
        </w:rPr>
        <w:t>th</w:t>
      </w:r>
      <w:r>
        <w:rPr>
          <w:rFonts w:ascii="Arial" w:cs="Arial" w:eastAsia="Arial" w:hAnsi="Arial"/>
          <w:sz w:val="12"/>
          <w:szCs w:val="12"/>
          <w:color w:val="auto"/>
        </w:rPr>
        <w:t xml:space="preserve"> of the year in which the Date of Termination occurs, any earned but unpaid Annual Bonus payments relating to the prior calendar year;</w:t>
      </w:r>
    </w:p>
    <w:p>
      <w:pPr>
        <w:spacing w:after="0" w:line="40" w:lineRule="exact"/>
        <w:rPr>
          <w:rFonts w:ascii="Arial" w:cs="Arial" w:eastAsia="Arial" w:hAnsi="Arial"/>
          <w:sz w:val="12"/>
          <w:szCs w:val="12"/>
          <w:color w:val="auto"/>
        </w:rPr>
      </w:pPr>
    </w:p>
    <w:p>
      <w:pPr>
        <w:ind w:left="740" w:right="20" w:hanging="449"/>
        <w:spacing w:after="0" w:line="290" w:lineRule="auto"/>
        <w:tabs>
          <w:tab w:leader="none" w:pos="740" w:val="left"/>
        </w:tabs>
        <w:numPr>
          <w:ilvl w:val="2"/>
          <w:numId w:val="137"/>
        </w:numPr>
        <w:rPr>
          <w:rFonts w:ascii="Arial" w:cs="Arial" w:eastAsia="Arial" w:hAnsi="Arial"/>
          <w:sz w:val="12"/>
          <w:szCs w:val="12"/>
          <w:color w:val="auto"/>
        </w:rPr>
      </w:pPr>
      <w:r>
        <w:rPr>
          <w:rFonts w:ascii="Arial" w:cs="Arial" w:eastAsia="Arial" w:hAnsi="Arial"/>
          <w:sz w:val="12"/>
          <w:szCs w:val="12"/>
          <w:color w:val="auto"/>
        </w:rPr>
        <w:t>the Company shall pay the Employee no later than March 15</w:t>
      </w:r>
      <w:r>
        <w:rPr>
          <w:rFonts w:ascii="Arial" w:cs="Arial" w:eastAsia="Arial" w:hAnsi="Arial"/>
          <w:sz w:val="10"/>
          <w:szCs w:val="10"/>
          <w:color w:val="auto"/>
        </w:rPr>
        <w:t>th</w:t>
      </w:r>
      <w:r>
        <w:rPr>
          <w:rFonts w:ascii="Arial" w:cs="Arial" w:eastAsia="Arial" w:hAnsi="Arial"/>
          <w:sz w:val="12"/>
          <w:szCs w:val="12"/>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50" w:lineRule="exact"/>
        <w:rPr>
          <w:rFonts w:ascii="Arial" w:cs="Arial" w:eastAsia="Arial" w:hAnsi="Arial"/>
          <w:sz w:val="12"/>
          <w:szCs w:val="12"/>
          <w:color w:val="auto"/>
        </w:rPr>
      </w:pPr>
    </w:p>
    <w:p>
      <w:pPr>
        <w:ind w:left="740" w:hanging="449"/>
        <w:spacing w:after="0" w:line="261" w:lineRule="auto"/>
        <w:tabs>
          <w:tab w:leader="none" w:pos="740" w:val="left"/>
        </w:tabs>
        <w:numPr>
          <w:ilvl w:val="2"/>
          <w:numId w:val="137"/>
        </w:numPr>
        <w:rPr>
          <w:rFonts w:ascii="Arial" w:cs="Arial" w:eastAsia="Arial" w:hAnsi="Arial"/>
          <w:sz w:val="13"/>
          <w:szCs w:val="13"/>
          <w:color w:val="auto"/>
        </w:rPr>
      </w:pPr>
      <w:r>
        <w:rPr>
          <w:rFonts w:ascii="Arial" w:cs="Arial" w:eastAsia="Arial" w:hAnsi="Arial"/>
          <w:sz w:val="13"/>
          <w:szCs w:val="13"/>
          <w:color w:val="auto"/>
        </w:rPr>
        <w:t>the Company shall pay the Employee, no later than the sixty-fifth (65</w:t>
      </w:r>
      <w:r>
        <w:rPr>
          <w:rFonts w:ascii="Arial" w:cs="Arial" w:eastAsia="Arial" w:hAnsi="Arial"/>
          <w:sz w:val="11"/>
          <w:szCs w:val="11"/>
          <w:color w:val="auto"/>
        </w:rPr>
        <w:t>th</w:t>
      </w:r>
      <w:r>
        <w:rPr>
          <w:rFonts w:ascii="Arial" w:cs="Arial" w:eastAsia="Arial" w:hAnsi="Arial"/>
          <w:sz w:val="13"/>
          <w:szCs w:val="13"/>
          <w:color w:val="auto"/>
        </w:rPr>
        <w:t>) calendar day after the Date of Termination, a lump-sum payment equal to 200% of the sum of: (A) the Employee’s Annual Base Salary in effect 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11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80" w:name="page181"/>
    <w:bookmarkEnd w:id="180"/>
    <w:p>
      <w:pPr>
        <w:ind w:left="680" w:right="140" w:hanging="449"/>
        <w:spacing w:after="0" w:line="264" w:lineRule="auto"/>
        <w:tabs>
          <w:tab w:leader="none" w:pos="68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all stock option, restricted stock and other equity-based incentive awards granted by the Company that were outstanding but not vested as of the Date of Termination shall become immediately vested and/or payable, as the case may be, unless the equity incentive awards are based upon satisfaction of performance criteria (not based solely on the passage of time), none of which exist as of the Effective Date; in which case, they will only vest pursuant to their express terms; and</w:t>
      </w:r>
    </w:p>
    <w:p>
      <w:pPr>
        <w:spacing w:after="0" w:line="66" w:lineRule="exact"/>
        <w:rPr>
          <w:rFonts w:ascii="Arial" w:cs="Arial" w:eastAsia="Arial" w:hAnsi="Arial"/>
          <w:sz w:val="13"/>
          <w:szCs w:val="13"/>
          <w:color w:val="auto"/>
        </w:rPr>
      </w:pPr>
    </w:p>
    <w:p>
      <w:pPr>
        <w:ind w:left="680" w:hanging="449"/>
        <w:spacing w:after="0"/>
        <w:tabs>
          <w:tab w:leader="none" w:pos="680" w:val="left"/>
        </w:tabs>
        <w:numPr>
          <w:ilvl w:val="1"/>
          <w:numId w:val="138"/>
        </w:numPr>
        <w:rPr>
          <w:rFonts w:ascii="Arial" w:cs="Arial" w:eastAsia="Arial" w:hAnsi="Arial"/>
          <w:sz w:val="13"/>
          <w:szCs w:val="13"/>
          <w:color w:val="auto"/>
        </w:rPr>
      </w:pPr>
      <w:r>
        <w:rPr>
          <w:rFonts w:ascii="Arial" w:cs="Arial" w:eastAsia="Arial" w:hAnsi="Arial"/>
          <w:sz w:val="13"/>
          <w:szCs w:val="13"/>
          <w:color w:val="auto"/>
        </w:rPr>
        <w:t>the Company shall provide the Employee with certain continued welfare benefits as follows:</w:t>
      </w:r>
    </w:p>
    <w:p>
      <w:pPr>
        <w:spacing w:after="0" w:line="86" w:lineRule="exact"/>
        <w:rPr>
          <w:rFonts w:ascii="Arial" w:cs="Arial" w:eastAsia="Arial" w:hAnsi="Arial"/>
          <w:sz w:val="13"/>
          <w:szCs w:val="13"/>
          <w:color w:val="auto"/>
        </w:rPr>
      </w:pPr>
    </w:p>
    <w:p>
      <w:pPr>
        <w:ind w:left="1140" w:hanging="447"/>
        <w:spacing w:after="0" w:line="285" w:lineRule="auto"/>
        <w:tabs>
          <w:tab w:leader="none" w:pos="1140" w:val="left"/>
        </w:tabs>
        <w:numPr>
          <w:ilvl w:val="2"/>
          <w:numId w:val="138"/>
        </w:numPr>
        <w:rPr>
          <w:rFonts w:ascii="Arial" w:cs="Arial" w:eastAsia="Arial" w:hAnsi="Arial"/>
          <w:sz w:val="12"/>
          <w:szCs w:val="12"/>
          <w:color w:val="auto"/>
        </w:rPr>
      </w:pPr>
      <w:r>
        <w:rPr>
          <w:rFonts w:ascii="Arial" w:cs="Arial" w:eastAsia="Arial" w:hAnsi="Arial"/>
          <w:sz w:val="12"/>
          <w:szCs w:val="12"/>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55" w:lineRule="exact"/>
        <w:rPr>
          <w:rFonts w:ascii="Arial" w:cs="Arial" w:eastAsia="Arial" w:hAnsi="Arial"/>
          <w:sz w:val="12"/>
          <w:szCs w:val="12"/>
          <w:color w:val="auto"/>
        </w:rPr>
      </w:pPr>
    </w:p>
    <w:p>
      <w:pPr>
        <w:ind w:left="1140" w:right="80" w:hanging="447"/>
        <w:spacing w:after="0" w:line="285" w:lineRule="auto"/>
        <w:tabs>
          <w:tab w:leader="none" w:pos="1140" w:val="left"/>
        </w:tabs>
        <w:numPr>
          <w:ilvl w:val="2"/>
          <w:numId w:val="138"/>
        </w:numPr>
        <w:rPr>
          <w:rFonts w:ascii="Arial" w:cs="Arial" w:eastAsia="Arial" w:hAnsi="Arial"/>
          <w:sz w:val="12"/>
          <w:szCs w:val="12"/>
          <w:color w:val="auto"/>
        </w:rPr>
      </w:pPr>
      <w:r>
        <w:rPr>
          <w:rFonts w:ascii="Arial" w:cs="Arial" w:eastAsia="Arial" w:hAnsi="Arial"/>
          <w:sz w:val="12"/>
          <w:szCs w:val="12"/>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 dental COBRA premiums based on the level of coverage in effect for the Employee (</w:t>
      </w:r>
      <w:r>
        <w:rPr>
          <w:rFonts w:ascii="Arial" w:cs="Arial" w:eastAsia="Arial" w:hAnsi="Arial"/>
          <w:sz w:val="12"/>
          <w:szCs w:val="12"/>
          <w:i w:val="1"/>
          <w:iCs w:val="1"/>
          <w:color w:val="auto"/>
        </w:rPr>
        <w:t>e.g.</w:t>
      </w:r>
      <w:r>
        <w:rPr>
          <w:rFonts w:ascii="Arial" w:cs="Arial" w:eastAsia="Arial" w:hAnsi="Arial"/>
          <w:sz w:val="12"/>
          <w:szCs w:val="12"/>
          <w:color w:val="auto"/>
        </w:rPr>
        <w:t>, employee only or family coverage) on the Date of Termination.</w:t>
      </w:r>
    </w:p>
    <w:p>
      <w:pPr>
        <w:spacing w:after="0" w:line="45" w:lineRule="exact"/>
        <w:rPr>
          <w:rFonts w:ascii="Arial" w:cs="Arial" w:eastAsia="Arial" w:hAnsi="Arial"/>
          <w:sz w:val="12"/>
          <w:szCs w:val="12"/>
          <w:color w:val="auto"/>
        </w:rPr>
      </w:pPr>
    </w:p>
    <w:p>
      <w:pPr>
        <w:ind w:left="460" w:right="380" w:hanging="455"/>
        <w:spacing w:after="0" w:line="276" w:lineRule="auto"/>
        <w:tabs>
          <w:tab w:leader="none" w:pos="460"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Termination by the Company for Cause and by the Employee without Good Reason</w:t>
      </w:r>
      <w:r>
        <w:rPr>
          <w:rFonts w:ascii="Arial" w:cs="Arial" w:eastAsia="Arial" w:hAnsi="Arial"/>
          <w:sz w:val="13"/>
          <w:szCs w:val="13"/>
          <w:color w:val="auto"/>
        </w:rPr>
        <w:t>. If the Employee’s employment is terminated (i) by the Company for Cause or (ii) by the Employee without Good Reason, the Company’s only obligation under this Agreement shall be payment of any Accrued Obligations.</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81" w:name="page182"/>
    <w:bookmarkEnd w:id="181"/>
    <w:p>
      <w:pPr>
        <w:ind w:left="460" w:right="100" w:hanging="455"/>
        <w:spacing w:after="0" w:line="260" w:lineRule="auto"/>
        <w:tabs>
          <w:tab w:leader="none" w:pos="460"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Termination due to Death or Disability</w:t>
      </w:r>
      <w:r>
        <w:rPr>
          <w:rFonts w:ascii="Arial" w:cs="Arial" w:eastAsia="Arial" w:hAnsi="Arial"/>
          <w:sz w:val="13"/>
          <w:szCs w:val="13"/>
          <w:color w:val="auto"/>
        </w:rPr>
        <w:t>. If the Employee’s employment is terminated due to death or Disability, the Company shall pay the Employee (or to the Employee’s estate or personal representative in the case of death), within thirty (30) business days after the Date of Termination: (i) any Accrued Obligations, plus (ii)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w:t>
      </w:r>
    </w:p>
    <w:p>
      <w:pPr>
        <w:spacing w:after="0" w:line="69" w:lineRule="exact"/>
        <w:rPr>
          <w:rFonts w:ascii="Arial" w:cs="Arial" w:eastAsia="Arial" w:hAnsi="Arial"/>
          <w:sz w:val="13"/>
          <w:szCs w:val="13"/>
          <w:color w:val="auto"/>
        </w:rPr>
      </w:pPr>
    </w:p>
    <w:p>
      <w:pPr>
        <w:ind w:left="460" w:hanging="455"/>
        <w:spacing w:after="0"/>
        <w:tabs>
          <w:tab w:leader="none" w:pos="460"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Definition of Change in Control</w:t>
      </w:r>
      <w:r>
        <w:rPr>
          <w:rFonts w:ascii="Arial" w:cs="Arial" w:eastAsia="Arial" w:hAnsi="Arial"/>
          <w:sz w:val="12"/>
          <w:szCs w:val="12"/>
          <w:color w:val="auto"/>
        </w:rPr>
        <w:t>. For purposes of this Agreement, the term “Change in Control” shall mean that the conditions set forth in any one of the following subsections shall have been satisfied:</w:t>
      </w:r>
    </w:p>
    <w:p>
      <w:pPr>
        <w:spacing w:after="0" w:line="97" w:lineRule="exact"/>
        <w:rPr>
          <w:rFonts w:ascii="Arial" w:cs="Arial" w:eastAsia="Arial" w:hAnsi="Arial"/>
          <w:sz w:val="12"/>
          <w:szCs w:val="12"/>
          <w:color w:val="auto"/>
        </w:rPr>
      </w:pPr>
    </w:p>
    <w:p>
      <w:pPr>
        <w:ind w:left="680" w:right="100" w:hanging="449"/>
        <w:spacing w:after="0" w:line="264" w:lineRule="auto"/>
        <w:tabs>
          <w:tab w:leader="none" w:pos="68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66" w:lineRule="exact"/>
        <w:rPr>
          <w:rFonts w:ascii="Arial" w:cs="Arial" w:eastAsia="Arial" w:hAnsi="Arial"/>
          <w:sz w:val="13"/>
          <w:szCs w:val="13"/>
          <w:color w:val="auto"/>
        </w:rPr>
      </w:pPr>
    </w:p>
    <w:p>
      <w:pPr>
        <w:ind w:left="680" w:right="100" w:hanging="449"/>
        <w:spacing w:after="0" w:line="264" w:lineRule="auto"/>
        <w:tabs>
          <w:tab w:leader="none" w:pos="68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66" w:lineRule="exact"/>
        <w:rPr>
          <w:rFonts w:ascii="Arial" w:cs="Arial" w:eastAsia="Arial" w:hAnsi="Arial"/>
          <w:sz w:val="13"/>
          <w:szCs w:val="13"/>
          <w:color w:val="auto"/>
        </w:rPr>
      </w:pPr>
    </w:p>
    <w:p>
      <w:pPr>
        <w:ind w:left="680" w:right="20" w:hanging="449"/>
        <w:spacing w:after="0" w:line="276" w:lineRule="auto"/>
        <w:tabs>
          <w:tab w:leader="none" w:pos="68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59" w:lineRule="exact"/>
        <w:rPr>
          <w:rFonts w:ascii="Arial" w:cs="Arial" w:eastAsia="Arial" w:hAnsi="Arial"/>
          <w:sz w:val="13"/>
          <w:szCs w:val="13"/>
          <w:color w:val="auto"/>
        </w:rPr>
      </w:pPr>
    </w:p>
    <w:p>
      <w:pPr>
        <w:ind w:left="680" w:hanging="449"/>
        <w:spacing w:after="0" w:line="264" w:lineRule="auto"/>
        <w:tabs>
          <w:tab w:leader="none" w:pos="68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66" w:lineRule="exact"/>
        <w:rPr>
          <w:rFonts w:ascii="Arial" w:cs="Arial" w:eastAsia="Arial" w:hAnsi="Arial"/>
          <w:sz w:val="13"/>
          <w:szCs w:val="13"/>
          <w:color w:val="auto"/>
        </w:rPr>
      </w:pPr>
    </w:p>
    <w:p>
      <w:pPr>
        <w:ind w:left="680" w:right="200" w:hanging="449"/>
        <w:spacing w:after="0" w:line="276" w:lineRule="auto"/>
        <w:tabs>
          <w:tab w:leader="none" w:pos="68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the sale, transfer or other disposition (in one transaction or a series of related transactions) of assets of the Company that have a total fair market value equal to or more than one-third of the total fair market value of all of</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82" w:name="page183"/>
    <w:bookmarkEnd w:id="182"/>
    <w:p>
      <w:pPr>
        <w:ind w:left="740" w:right="80"/>
        <w:spacing w:after="0" w:line="260" w:lineRule="auto"/>
        <w:rPr>
          <w:sz w:val="20"/>
          <w:szCs w:val="20"/>
          <w:color w:val="auto"/>
        </w:rPr>
      </w:pPr>
      <w:r>
        <w:rPr>
          <w:rFonts w:ascii="Arial" w:cs="Arial" w:eastAsia="Arial" w:hAnsi="Arial"/>
          <w:sz w:val="13"/>
          <w:szCs w:val="13"/>
          <w:color w:val="auto"/>
        </w:rPr>
        <w:t>the assets of the Company immediately prior to such sale, transfer or other disposition, other than a sale, transfer or other disposition to an entity (A)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60" w:lineRule="exact"/>
        <w:rPr>
          <w:sz w:val="20"/>
          <w:szCs w:val="20"/>
          <w:color w:val="auto"/>
        </w:rPr>
      </w:pPr>
    </w:p>
    <w:p>
      <w:pPr>
        <w:ind w:left="740" w:hanging="449"/>
        <w:spacing w:after="0"/>
        <w:tabs>
          <w:tab w:leader="none" w:pos="740" w:val="left"/>
        </w:tabs>
        <w:numPr>
          <w:ilvl w:val="2"/>
          <w:numId w:val="141"/>
        </w:numPr>
        <w:rPr>
          <w:rFonts w:ascii="Arial" w:cs="Arial" w:eastAsia="Arial" w:hAnsi="Arial"/>
          <w:sz w:val="13"/>
          <w:szCs w:val="13"/>
          <w:color w:val="auto"/>
        </w:rPr>
      </w:pPr>
      <w:r>
        <w:rPr>
          <w:rFonts w:ascii="Arial" w:cs="Arial" w:eastAsia="Arial" w:hAnsi="Arial"/>
          <w:sz w:val="13"/>
          <w:szCs w:val="13"/>
          <w:color w:val="auto"/>
        </w:rPr>
        <w:t>the approval by the stockholders of a plan or proposal for the liquidation or dissolution of the Company.</w:t>
      </w:r>
    </w:p>
    <w:p>
      <w:pPr>
        <w:spacing w:after="0" w:line="86" w:lineRule="exact"/>
        <w:rPr>
          <w:rFonts w:ascii="Arial" w:cs="Arial" w:eastAsia="Arial" w:hAnsi="Arial"/>
          <w:sz w:val="13"/>
          <w:szCs w:val="13"/>
          <w:color w:val="auto"/>
        </w:rPr>
      </w:pPr>
    </w:p>
    <w:p>
      <w:pPr>
        <w:ind w:left="520" w:right="100" w:hanging="455"/>
        <w:spacing w:after="0" w:line="277" w:lineRule="auto"/>
        <w:tabs>
          <w:tab w:leader="none" w:pos="520" w:val="left"/>
        </w:tabs>
        <w:numPr>
          <w:ilvl w:val="1"/>
          <w:numId w:val="142"/>
        </w:numPr>
        <w:rPr>
          <w:rFonts w:ascii="Arial" w:cs="Arial" w:eastAsia="Arial" w:hAnsi="Arial"/>
          <w:sz w:val="12"/>
          <w:szCs w:val="12"/>
          <w:color w:val="auto"/>
        </w:rPr>
      </w:pPr>
      <w:r>
        <w:rPr>
          <w:rFonts w:ascii="Arial" w:cs="Arial" w:eastAsia="Arial" w:hAnsi="Arial"/>
          <w:sz w:val="12"/>
          <w:szCs w:val="12"/>
          <w:u w:val="single" w:color="auto"/>
          <w:color w:val="auto"/>
        </w:rPr>
        <w:t>Six-Month Delay</w:t>
      </w:r>
      <w:r>
        <w:rPr>
          <w:rFonts w:ascii="Arial" w:cs="Arial" w:eastAsia="Arial" w:hAnsi="Arial"/>
          <w:sz w:val="12"/>
          <w:szCs w:val="12"/>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w:t>
      </w:r>
    </w:p>
    <w:p>
      <w:pPr>
        <w:spacing w:after="0" w:line="1" w:lineRule="exact"/>
        <w:rPr>
          <w:rFonts w:ascii="Arial" w:cs="Arial" w:eastAsia="Arial" w:hAnsi="Arial"/>
          <w:sz w:val="12"/>
          <w:szCs w:val="12"/>
          <w:color w:val="auto"/>
        </w:rPr>
      </w:pPr>
    </w:p>
    <w:p>
      <w:pPr>
        <w:ind w:left="520" w:right="40"/>
        <w:spacing w:after="0" w:line="264" w:lineRule="auto"/>
        <w:rPr>
          <w:rFonts w:ascii="Arial" w:cs="Arial" w:eastAsia="Arial" w:hAnsi="Arial"/>
          <w:sz w:val="12"/>
          <w:szCs w:val="12"/>
          <w:color w:val="auto"/>
        </w:rPr>
      </w:pPr>
      <w:r>
        <w:rPr>
          <w:rFonts w:ascii="Arial" w:cs="Arial" w:eastAsia="Arial" w:hAnsi="Arial"/>
          <w:sz w:val="13"/>
          <w:szCs w:val="13"/>
          <w:color w:val="auto"/>
        </w:rPr>
        <w:t>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w:t>
      </w:r>
    </w:p>
    <w:p>
      <w:pPr>
        <w:spacing w:after="0" w:line="56" w:lineRule="exact"/>
        <w:rPr>
          <w:rFonts w:ascii="Arial" w:cs="Arial" w:eastAsia="Arial" w:hAnsi="Arial"/>
          <w:sz w:val="12"/>
          <w:szCs w:val="12"/>
          <w:color w:val="auto"/>
        </w:rPr>
      </w:pPr>
    </w:p>
    <w:p>
      <w:pPr>
        <w:ind w:left="200" w:hanging="198"/>
        <w:spacing w:after="0"/>
        <w:tabs>
          <w:tab w:leader="none" w:pos="200"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Excise Tax Gross-up Payments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0" w:hanging="455"/>
        <w:spacing w:after="0" w:line="255" w:lineRule="auto"/>
        <w:tabs>
          <w:tab w:leader="none" w:pos="520" w:val="left"/>
        </w:tabs>
        <w:numPr>
          <w:ilvl w:val="1"/>
          <w:numId w:val="143"/>
        </w:numPr>
        <w:rPr>
          <w:rFonts w:ascii="Arial" w:cs="Arial" w:eastAsia="Arial" w:hAnsi="Arial"/>
          <w:sz w:val="13"/>
          <w:szCs w:val="13"/>
          <w:color w:val="auto"/>
        </w:rPr>
      </w:pPr>
      <w:r>
        <w:rPr>
          <w:rFonts w:ascii="Arial" w:cs="Arial" w:eastAsia="Arial" w:hAnsi="Arial"/>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Subsection 10(a),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three percent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12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1" w:right="219" w:bottom="1440" w:gutter="0" w:footer="0" w:header="0"/>
        </w:sectPr>
      </w:pPr>
    </w:p>
    <w:bookmarkStart w:id="183" w:name="page184"/>
    <w:bookmarkEnd w:id="183"/>
    <w:p>
      <w:pPr>
        <w:ind w:left="460" w:hanging="455"/>
        <w:spacing w:after="0" w:line="304" w:lineRule="auto"/>
        <w:tabs>
          <w:tab w:leader="none" w:pos="4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the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Subsection 10(b) or whether a reduction to the Scaled Back Amount is required, as the case may be. If as a result of any dispute pursuant to this Subsection 10(b)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207" w:lineRule="exact"/>
        <w:rPr>
          <w:rFonts w:ascii="Arial" w:cs="Arial" w:eastAsia="Arial" w:hAnsi="Arial"/>
          <w:sz w:val="11"/>
          <w:szCs w:val="11"/>
          <w:color w:val="auto"/>
        </w:rPr>
      </w:pPr>
    </w:p>
    <w:p>
      <w:pPr>
        <w:ind w:left="460" w:right="120" w:hanging="455"/>
        <w:spacing w:after="0" w:line="260" w:lineRule="auto"/>
        <w:tabs>
          <w:tab w:leader="none" w:pos="4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the Employee’s employment, net of the maximum reduction in federal income taxes that would be obtained from deduction of those state and local taxes.</w:t>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84" w:name="page185"/>
    <w:bookmarkEnd w:id="184"/>
    <w:p>
      <w:pPr>
        <w:ind w:left="460" w:right="20" w:hanging="455"/>
        <w:spacing w:after="0" w:line="278" w:lineRule="auto"/>
        <w:tabs>
          <w:tab w:leader="none" w:pos="46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 xml:space="preserve">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the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62" w:lineRule="exact"/>
        <w:rPr>
          <w:rFonts w:ascii="Arial" w:cs="Arial" w:eastAsia="Arial" w:hAnsi="Arial"/>
          <w:sz w:val="12"/>
          <w:szCs w:val="12"/>
          <w:color w:val="auto"/>
        </w:rPr>
      </w:pPr>
    </w:p>
    <w:p>
      <w:pPr>
        <w:ind w:left="460" w:right="80" w:hanging="455"/>
        <w:spacing w:after="0" w:line="258" w:lineRule="auto"/>
        <w:tabs>
          <w:tab w:leader="none" w:pos="46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61" w:lineRule="exact"/>
        <w:rPr>
          <w:rFonts w:ascii="Arial" w:cs="Arial" w:eastAsia="Arial" w:hAnsi="Arial"/>
          <w:sz w:val="13"/>
          <w:szCs w:val="13"/>
          <w:color w:val="auto"/>
        </w:rPr>
      </w:pPr>
    </w:p>
    <w:p>
      <w:pPr>
        <w:ind w:left="680" w:hanging="449"/>
        <w:spacing w:after="0"/>
        <w:tabs>
          <w:tab w:leader="none" w:pos="68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give the Company any information reasonably requested by the Company relating to such claim,</w:t>
      </w:r>
    </w:p>
    <w:p>
      <w:pPr>
        <w:spacing w:after="0" w:line="96" w:lineRule="exact"/>
        <w:rPr>
          <w:rFonts w:ascii="Arial" w:cs="Arial" w:eastAsia="Arial" w:hAnsi="Arial"/>
          <w:sz w:val="13"/>
          <w:szCs w:val="13"/>
          <w:color w:val="auto"/>
        </w:rPr>
      </w:pPr>
    </w:p>
    <w:p>
      <w:pPr>
        <w:ind w:left="680" w:hanging="449"/>
        <w:spacing w:after="0" w:line="276" w:lineRule="auto"/>
        <w:tabs>
          <w:tab w:leader="none" w:pos="68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59" w:lineRule="exact"/>
        <w:rPr>
          <w:rFonts w:ascii="Arial" w:cs="Arial" w:eastAsia="Arial" w:hAnsi="Arial"/>
          <w:sz w:val="13"/>
          <w:szCs w:val="13"/>
          <w:color w:val="auto"/>
        </w:rPr>
      </w:pPr>
    </w:p>
    <w:p>
      <w:pPr>
        <w:ind w:left="680" w:hanging="449"/>
        <w:spacing w:after="0"/>
        <w:tabs>
          <w:tab w:leader="none" w:pos="68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cooperate with the Company in good faith in order to effectively contest such claim, and</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185" w:name="page186"/>
    <w:bookmarkEnd w:id="185"/>
    <w:p>
      <w:pPr>
        <w:ind w:left="740" w:hanging="449"/>
        <w:spacing w:after="0"/>
        <w:tabs>
          <w:tab w:leader="none" w:pos="74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permit the Company to participate in any proceeding relating to such claim;</w:t>
      </w:r>
    </w:p>
    <w:p>
      <w:pPr>
        <w:spacing w:after="0" w:line="86" w:lineRule="exact"/>
        <w:rPr>
          <w:sz w:val="20"/>
          <w:szCs w:val="20"/>
          <w:color w:val="auto"/>
        </w:rPr>
      </w:pPr>
    </w:p>
    <w:p>
      <w:pPr>
        <w:ind w:left="520"/>
        <w:spacing w:after="0" w:line="278"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Subsection 10(e),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10, and the Employee shall be entitled to settle or contest, as the case may be, any other issue raised by the Internal Revenue Service or any other taxing authority.</w:t>
      </w:r>
    </w:p>
    <w:p>
      <w:pPr>
        <w:spacing w:after="0" w:line="63" w:lineRule="exact"/>
        <w:rPr>
          <w:sz w:val="20"/>
          <w:szCs w:val="20"/>
          <w:color w:val="auto"/>
        </w:rPr>
      </w:pPr>
    </w:p>
    <w:p>
      <w:pPr>
        <w:ind w:left="520" w:right="140" w:hanging="455"/>
        <w:spacing w:after="0" w:line="258" w:lineRule="auto"/>
        <w:tabs>
          <w:tab w:leader="none" w:pos="520" w:val="left"/>
        </w:tabs>
        <w:numPr>
          <w:ilvl w:val="1"/>
          <w:numId w:val="147"/>
        </w:numPr>
        <w:rPr>
          <w:rFonts w:ascii="Arial" w:cs="Arial" w:eastAsia="Arial" w:hAnsi="Arial"/>
          <w:sz w:val="13"/>
          <w:szCs w:val="13"/>
          <w:color w:val="auto"/>
        </w:rPr>
      </w:pPr>
      <w:r>
        <w:rPr>
          <w:rFonts w:ascii="Arial" w:cs="Arial" w:eastAsia="Arial" w:hAnsi="Arial"/>
          <w:sz w:val="13"/>
          <w:szCs w:val="13"/>
          <w:color w:val="auto"/>
        </w:rPr>
        <w:t>If, after the receipt by the Employee of an amount advanced by the Company pursuant to Subsection 10(e), the Employee becomes entitled to receive any refund with respect to such claim, the Employee shall (subject to the Company’s complying with the requirements of Subsection 10(e)) promptly pay to the Company the amount of such refund (together with any interest paid or credited thereon after taxes applicable thereto). If, after the receipt by the Employee of an amount advanced by the Company pursuant to Subsection 10(e),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71" w:lineRule="exact"/>
        <w:rPr>
          <w:rFonts w:ascii="Arial" w:cs="Arial" w:eastAsia="Arial" w:hAnsi="Arial"/>
          <w:sz w:val="13"/>
          <w:szCs w:val="13"/>
          <w:color w:val="auto"/>
        </w:rPr>
      </w:pPr>
    </w:p>
    <w:p>
      <w:pPr>
        <w:ind w:left="520" w:right="520" w:hanging="455"/>
        <w:spacing w:after="0" w:line="276" w:lineRule="auto"/>
        <w:tabs>
          <w:tab w:leader="none" w:pos="520" w:val="left"/>
        </w:tabs>
        <w:numPr>
          <w:ilvl w:val="1"/>
          <w:numId w:val="147"/>
        </w:numPr>
        <w:rPr>
          <w:rFonts w:ascii="Arial" w:cs="Arial" w:eastAsia="Arial" w:hAnsi="Arial"/>
          <w:sz w:val="13"/>
          <w:szCs w:val="13"/>
          <w:color w:val="auto"/>
        </w:rPr>
      </w:pPr>
      <w:r>
        <w:rPr>
          <w:rFonts w:ascii="Arial" w:cs="Arial" w:eastAsia="Arial" w:hAnsi="Arial"/>
          <w:sz w:val="13"/>
          <w:szCs w:val="13"/>
          <w:color w:val="auto"/>
        </w:rPr>
        <w:t>Any payment under this Section 10 must be made by the Company no later than the end of the Employee’s tax year following the Employee’s tax year in which the Employee remits the related tax payments.</w:t>
      </w:r>
    </w:p>
    <w:p>
      <w:pPr>
        <w:spacing w:after="0" w:line="49" w:lineRule="exact"/>
        <w:rPr>
          <w:rFonts w:ascii="Arial" w:cs="Arial" w:eastAsia="Arial" w:hAnsi="Arial"/>
          <w:sz w:val="13"/>
          <w:szCs w:val="13"/>
          <w:color w:val="auto"/>
        </w:rPr>
      </w:pPr>
    </w:p>
    <w:p>
      <w:pPr>
        <w:ind w:left="200" w:hanging="198"/>
        <w:spacing w:after="0"/>
        <w:tabs>
          <w:tab w:leader="none" w:pos="20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Non-Delegation of the Employee’s Rights</w:t>
      </w:r>
      <w:r>
        <w:rPr>
          <w:rFonts w:ascii="Arial" w:cs="Arial" w:eastAsia="Arial" w:hAnsi="Arial"/>
          <w:sz w:val="13"/>
          <w:szCs w:val="13"/>
          <w:color w:val="auto"/>
        </w:rPr>
        <w:t>. The obligations, rights and benefits of the Employee hereunder are personal and may not be delegated, assigned or transferred in any</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1" w:right="219"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color w:val="auto"/>
        </w:rPr>
        <w:t>manner whatsoever, nor are such obligations, rights or benefits subject to involuntary alienation, assignment or transfer.</w:t>
      </w:r>
    </w:p>
    <w:p>
      <w:pPr>
        <w:spacing w:after="0" w:line="86" w:lineRule="exact"/>
        <w:rPr>
          <w:sz w:val="20"/>
          <w:szCs w:val="20"/>
          <w:color w:val="auto"/>
        </w:rPr>
      </w:pPr>
    </w:p>
    <w:p>
      <w:pPr>
        <w:ind w:firstLine="162"/>
        <w:spacing w:after="0" w:line="255" w:lineRule="auto"/>
        <w:tabs>
          <w:tab w:leader="none" w:pos="360"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66" w:lineRule="exact"/>
        <w:rPr>
          <w:rFonts w:ascii="Arial" w:cs="Arial" w:eastAsia="Arial" w:hAnsi="Arial"/>
          <w:sz w:val="13"/>
          <w:szCs w:val="13"/>
          <w:color w:val="auto"/>
        </w:rPr>
      </w:pPr>
    </w:p>
    <w:p>
      <w:pPr>
        <w:ind w:left="360" w:hanging="198"/>
        <w:spacing w:after="0"/>
        <w:tabs>
          <w:tab w:leader="none" w:pos="360"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Non-Competition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0" w:right="20" w:hanging="455"/>
        <w:spacing w:after="0" w:line="257" w:lineRule="auto"/>
        <w:tabs>
          <w:tab w:leader="none" w:pos="680" w:val="left"/>
        </w:tabs>
        <w:numPr>
          <w:ilvl w:val="1"/>
          <w:numId w:val="149"/>
        </w:numPr>
        <w:rPr>
          <w:rFonts w:ascii="Arial" w:cs="Arial" w:eastAsia="Arial" w:hAnsi="Arial"/>
          <w:sz w:val="13"/>
          <w:szCs w:val="13"/>
          <w:color w:val="auto"/>
        </w:rPr>
      </w:pPr>
      <w:r>
        <w:rPr>
          <w:rFonts w:ascii="Arial" w:cs="Arial" w:eastAsia="Arial" w:hAnsi="Arial"/>
          <w:sz w:val="13"/>
          <w:szCs w:val="13"/>
          <w:u w:val="single" w:color="auto"/>
          <w:color w:val="auto"/>
        </w:rPr>
        <w:t>During Employment Term</w:t>
      </w:r>
      <w:r>
        <w:rPr>
          <w:rFonts w:ascii="Arial" w:cs="Arial" w:eastAsia="Arial" w:hAnsi="Arial"/>
          <w:sz w:val="13"/>
          <w:szCs w:val="13"/>
          <w:color w:val="auto"/>
        </w:rPr>
        <w:t>.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1" w:lineRule="exact"/>
        <w:rPr>
          <w:rFonts w:ascii="Arial" w:cs="Arial" w:eastAsia="Arial" w:hAnsi="Arial"/>
          <w:sz w:val="13"/>
          <w:szCs w:val="13"/>
          <w:color w:val="auto"/>
        </w:rPr>
      </w:pPr>
    </w:p>
    <w:p>
      <w:pPr>
        <w:ind w:left="680" w:right="100" w:hanging="455"/>
        <w:spacing w:after="0" w:line="277" w:lineRule="auto"/>
        <w:tabs>
          <w:tab w:leader="none" w:pos="680" w:val="left"/>
        </w:tabs>
        <w:numPr>
          <w:ilvl w:val="1"/>
          <w:numId w:val="149"/>
        </w:numPr>
        <w:rPr>
          <w:rFonts w:ascii="Arial" w:cs="Arial" w:eastAsia="Arial" w:hAnsi="Arial"/>
          <w:sz w:val="12"/>
          <w:szCs w:val="12"/>
          <w:color w:val="auto"/>
        </w:rPr>
      </w:pPr>
      <w:r>
        <w:rPr>
          <w:rFonts w:ascii="Arial" w:cs="Arial" w:eastAsia="Arial" w:hAnsi="Arial"/>
          <w:sz w:val="12"/>
          <w:szCs w:val="12"/>
          <w:u w:val="single" w:color="auto"/>
          <w:color w:val="auto"/>
        </w:rPr>
        <w:t>After Employment Term</w:t>
      </w:r>
      <w:r>
        <w:rPr>
          <w:rFonts w:ascii="Arial" w:cs="Arial" w:eastAsia="Arial" w:hAnsi="Arial"/>
          <w:sz w:val="12"/>
          <w:szCs w:val="12"/>
          <w:color w:val="auto"/>
        </w:rPr>
        <w:t>. The parties acknowledge that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the Employee in that business after the Employment Term would severely injure the Company and its affiliates. Accordingly, for a period of one</w:t>
      </w:r>
    </w:p>
    <w:p>
      <w:pPr>
        <w:spacing w:after="0" w:line="1"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2"/>
          <w:szCs w:val="12"/>
          <w:color w:val="auto"/>
        </w:rPr>
        <w:t>(1) year after the Employee’s employment terminates for any reason whatsoever, except as otherwise stated herein below, the Employee agrees: (i) not to become an employee, consultant,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7" w:name="page188"/>
    <w:bookmarkEnd w:id="187"/>
    <w:p>
      <w:pPr>
        <w:ind w:left="660"/>
        <w:spacing w:after="0" w:line="301" w:lineRule="auto"/>
        <w:rPr>
          <w:sz w:val="20"/>
          <w:szCs w:val="20"/>
          <w:color w:val="auto"/>
        </w:rPr>
      </w:pPr>
      <w:r>
        <w:rPr>
          <w:rFonts w:ascii="Arial" w:cs="Arial" w:eastAsia="Arial" w:hAnsi="Arial"/>
          <w:sz w:val="11"/>
          <w:szCs w:val="11"/>
          <w:color w:val="auto"/>
        </w:rPr>
        <w:t>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 provided, however, that services provided by the Employee as a partner, member or employee of a firm authorized to enter into the practice of law in any state shall not be considered to be a violation of this Section 13. Notwithstanding any of the foregoing provisions to the contrary, the Employee shall not be subject to the restrictions set forth in this Subsection 13(b) if:</w:t>
      </w:r>
    </w:p>
    <w:p>
      <w:pPr>
        <w:spacing w:after="0" w:line="2" w:lineRule="exact"/>
        <w:rPr>
          <w:sz w:val="20"/>
          <w:szCs w:val="20"/>
          <w:color w:val="auto"/>
        </w:rPr>
      </w:pPr>
    </w:p>
    <w:p>
      <w:pPr>
        <w:ind w:left="660" w:right="140"/>
        <w:spacing w:after="0" w:line="264" w:lineRule="auto"/>
        <w:rPr>
          <w:sz w:val="20"/>
          <w:szCs w:val="20"/>
          <w:color w:val="auto"/>
        </w:rPr>
      </w:pPr>
      <w:r>
        <w:rPr>
          <w:rFonts w:ascii="Arial" w:cs="Arial" w:eastAsia="Arial" w:hAnsi="Arial"/>
          <w:sz w:val="13"/>
          <w:szCs w:val="13"/>
          <w:color w:val="auto"/>
        </w:rPr>
        <w:t>(A) the Employee’s employment is terminated by the Company without Cause; (B) the Employee terminates employment for Good Reason; or (C) the Employee’s employment is terminated as a result of the Company’s unwillingness to extend the Employment Term.</w:t>
      </w:r>
    </w:p>
    <w:p>
      <w:pPr>
        <w:spacing w:after="0" w:line="56" w:lineRule="exact"/>
        <w:rPr>
          <w:sz w:val="20"/>
          <w:szCs w:val="20"/>
          <w:color w:val="auto"/>
        </w:rPr>
      </w:pPr>
    </w:p>
    <w:p>
      <w:pPr>
        <w:ind w:left="660" w:right="200" w:hanging="455"/>
        <w:spacing w:after="0" w:line="264" w:lineRule="auto"/>
        <w:tabs>
          <w:tab w:leader="none" w:pos="660"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Exclusion</w:t>
      </w:r>
      <w:r>
        <w:rPr>
          <w:rFonts w:ascii="Arial" w:cs="Arial" w:eastAsia="Arial" w:hAnsi="Arial"/>
          <w:sz w:val="13"/>
          <w:szCs w:val="13"/>
          <w:color w:val="auto"/>
        </w:rPr>
        <w:t>. Working, directly or indirectly, for any of the following entities shall not be considered competitive to the Company or its affiliates for the purpose of this Section 13: (i) Fidelity National Information Services, Inc., its affiliates or their successors; (ii) Lender Processing Services, Inc., its affiliates or their successors; or (iii) the Company, its affiliates or their successors if this Agreement is assumed by a third party as contemplated in Section 21.</w:t>
      </w:r>
    </w:p>
    <w:p>
      <w:pPr>
        <w:spacing w:after="0" w:line="57" w:lineRule="exact"/>
        <w:rPr>
          <w:rFonts w:ascii="Arial" w:cs="Arial" w:eastAsia="Arial" w:hAnsi="Arial"/>
          <w:sz w:val="13"/>
          <w:szCs w:val="13"/>
          <w:color w:val="auto"/>
        </w:rPr>
      </w:pPr>
    </w:p>
    <w:p>
      <w:pPr>
        <w:ind w:left="-20" w:right="200" w:firstLine="162"/>
        <w:spacing w:after="0" w:line="276" w:lineRule="auto"/>
        <w:tabs>
          <w:tab w:leader="none" w:pos="3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Return of Company Documents</w:t>
      </w:r>
      <w:r>
        <w:rPr>
          <w:rFonts w:ascii="Arial" w:cs="Arial" w:eastAsia="Arial" w:hAnsi="Arial"/>
          <w:sz w:val="13"/>
          <w:szCs w:val="13"/>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49" w:lineRule="exact"/>
        <w:rPr>
          <w:rFonts w:ascii="Arial" w:cs="Arial" w:eastAsia="Arial" w:hAnsi="Arial"/>
          <w:sz w:val="13"/>
          <w:szCs w:val="13"/>
          <w:color w:val="auto"/>
        </w:rPr>
      </w:pPr>
    </w:p>
    <w:p>
      <w:pPr>
        <w:ind w:left="-20" w:right="100" w:firstLine="162"/>
        <w:spacing w:after="0" w:line="260" w:lineRule="auto"/>
        <w:tabs>
          <w:tab w:leader="none" w:pos="3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Improvements and Inventions</w:t>
      </w:r>
      <w:r>
        <w:rPr>
          <w:rFonts w:ascii="Arial" w:cs="Arial" w:eastAsia="Arial" w:hAnsi="Arial"/>
          <w:sz w:val="13"/>
          <w:szCs w:val="13"/>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59" w:lineRule="exact"/>
        <w:rPr>
          <w:rFonts w:ascii="Arial" w:cs="Arial" w:eastAsia="Arial" w:hAnsi="Arial"/>
          <w:sz w:val="13"/>
          <w:szCs w:val="13"/>
          <w:color w:val="auto"/>
        </w:rPr>
      </w:pPr>
    </w:p>
    <w:p>
      <w:pPr>
        <w:ind w:left="-20" w:right="120" w:firstLine="162"/>
        <w:spacing w:after="0" w:line="258" w:lineRule="auto"/>
        <w:tabs>
          <w:tab w:leader="none" w:pos="34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Actions</w:t>
      </w:r>
      <w:r>
        <w:rPr>
          <w:rFonts w:ascii="Arial" w:cs="Arial" w:eastAsia="Arial" w:hAnsi="Arial"/>
          <w:sz w:val="13"/>
          <w:szCs w:val="13"/>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Therefore, it is agreed between and hereby acknowledged by the parties that, in the event of a breach by the Employee of any of the obligations of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and Subsections 12, 13(b), 14, 15, 16, 17 and 18 shall survive the termination of employment and be binding by their terms at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color w:val="auto"/>
        </w:rPr>
        <w:t>all times subsequent to the termination of employment for the periods specified therein. Nothing herein shall in any way limit or exclude any other right granted by law or equity to the Company.</w:t>
      </w:r>
    </w:p>
    <w:p>
      <w:pPr>
        <w:spacing w:after="0" w:line="86" w:lineRule="exact"/>
        <w:rPr>
          <w:sz w:val="20"/>
          <w:szCs w:val="20"/>
          <w:color w:val="auto"/>
        </w:rPr>
      </w:pPr>
    </w:p>
    <w:p>
      <w:pPr>
        <w:ind w:firstLine="162"/>
        <w:spacing w:after="0" w:line="285" w:lineRule="auto"/>
        <w:tabs>
          <w:tab w:leader="none" w:pos="360"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Release</w:t>
      </w:r>
      <w:r>
        <w:rPr>
          <w:rFonts w:ascii="Arial" w:cs="Arial" w:eastAsia="Arial" w:hAnsi="Arial"/>
          <w:sz w:val="12"/>
          <w:szCs w:val="12"/>
          <w:color w:val="auto"/>
        </w:rPr>
        <w:t xml:space="preserve">. Notwithstanding any provision herein to the contrary, the Company may require that, prior to payment of any amount or provision of any benefit under Section 9 or payment of any Gross-Up Payment pursuant to Section 10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45" w:lineRule="exact"/>
        <w:rPr>
          <w:rFonts w:ascii="Arial" w:cs="Arial" w:eastAsia="Arial" w:hAnsi="Arial"/>
          <w:sz w:val="12"/>
          <w:szCs w:val="12"/>
          <w:color w:val="auto"/>
        </w:rPr>
      </w:pPr>
    </w:p>
    <w:p>
      <w:pPr>
        <w:jc w:val="both"/>
        <w:ind w:firstLine="162"/>
        <w:spacing w:after="0" w:line="264" w:lineRule="auto"/>
        <w:tabs>
          <w:tab w:leader="none" w:pos="360"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No Mitigation</w:t>
      </w:r>
      <w:r>
        <w:rPr>
          <w:rFonts w:ascii="Arial" w:cs="Arial" w:eastAsia="Arial" w:hAnsi="Arial"/>
          <w:sz w:val="13"/>
          <w:szCs w:val="13"/>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57" w:lineRule="exact"/>
        <w:rPr>
          <w:rFonts w:ascii="Arial" w:cs="Arial" w:eastAsia="Arial" w:hAnsi="Arial"/>
          <w:sz w:val="13"/>
          <w:szCs w:val="13"/>
          <w:color w:val="auto"/>
        </w:rPr>
      </w:pPr>
    </w:p>
    <w:p>
      <w:pPr>
        <w:ind w:right="20" w:firstLine="162"/>
        <w:spacing w:after="0" w:line="320" w:lineRule="auto"/>
        <w:tabs>
          <w:tab w:leader="none" w:pos="360"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Entire Agreement and Amendment</w:t>
      </w:r>
      <w:r>
        <w:rPr>
          <w:rFonts w:ascii="Arial" w:cs="Arial" w:eastAsia="Arial" w:hAnsi="Arial"/>
          <w:sz w:val="12"/>
          <w:szCs w:val="12"/>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25" w:lineRule="exact"/>
        <w:rPr>
          <w:rFonts w:ascii="Arial" w:cs="Arial" w:eastAsia="Arial" w:hAnsi="Arial"/>
          <w:sz w:val="12"/>
          <w:szCs w:val="12"/>
          <w:color w:val="auto"/>
        </w:rPr>
      </w:pPr>
    </w:p>
    <w:p>
      <w:pPr>
        <w:ind w:right="320" w:firstLine="162"/>
        <w:spacing w:after="0" w:line="320" w:lineRule="auto"/>
        <w:tabs>
          <w:tab w:leader="none" w:pos="360"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25" w:lineRule="exact"/>
        <w:rPr>
          <w:rFonts w:ascii="Arial" w:cs="Arial" w:eastAsia="Arial" w:hAnsi="Arial"/>
          <w:sz w:val="12"/>
          <w:szCs w:val="12"/>
          <w:color w:val="auto"/>
        </w:rPr>
      </w:pPr>
    </w:p>
    <w:p>
      <w:pPr>
        <w:ind w:firstLine="162"/>
        <w:spacing w:after="0" w:line="285" w:lineRule="auto"/>
        <w:tabs>
          <w:tab w:leader="none" w:pos="360"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Successors</w:t>
      </w:r>
      <w:r>
        <w:rPr>
          <w:rFonts w:ascii="Arial" w:cs="Arial" w:eastAsia="Arial" w:hAnsi="Arial"/>
          <w:sz w:val="12"/>
          <w:szCs w:val="12"/>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9" w:name="page190"/>
    <w:bookmarkEnd w:id="189"/>
    <w:p>
      <w:pPr>
        <w:spacing w:after="0"/>
        <w:rPr>
          <w:sz w:val="20"/>
          <w:szCs w:val="20"/>
          <w:color w:val="auto"/>
        </w:rPr>
      </w:pPr>
      <w:r>
        <w:rPr>
          <w:rFonts w:ascii="Arial" w:cs="Arial" w:eastAsia="Arial" w:hAnsi="Arial"/>
          <w:sz w:val="13"/>
          <w:szCs w:val="13"/>
          <w:color w:val="auto"/>
        </w:rPr>
        <w:t>its terms and provisions by operation of law. This Agreement shall be binding upon and inure to the benefit of the parties and their permitted successors or assigns.</w:t>
      </w:r>
    </w:p>
    <w:p>
      <w:pPr>
        <w:spacing w:after="0" w:line="86" w:lineRule="exact"/>
        <w:rPr>
          <w:sz w:val="20"/>
          <w:szCs w:val="20"/>
          <w:color w:val="auto"/>
        </w:rPr>
      </w:pPr>
    </w:p>
    <w:p>
      <w:pPr>
        <w:ind w:left="360" w:hanging="198"/>
        <w:spacing w:after="0"/>
        <w:tabs>
          <w:tab w:leader="none" w:pos="36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an original, but all of which together shall constitute one and the same instrument.</w:t>
      </w:r>
    </w:p>
    <w:p>
      <w:pPr>
        <w:spacing w:after="0" w:line="86" w:lineRule="exact"/>
        <w:rPr>
          <w:rFonts w:ascii="Arial" w:cs="Arial" w:eastAsia="Arial" w:hAnsi="Arial"/>
          <w:sz w:val="13"/>
          <w:szCs w:val="13"/>
          <w:color w:val="auto"/>
        </w:rPr>
      </w:pPr>
    </w:p>
    <w:p>
      <w:pPr>
        <w:ind w:right="20" w:firstLine="162"/>
        <w:spacing w:after="0" w:line="278" w:lineRule="auto"/>
        <w:tabs>
          <w:tab w:leader="none" w:pos="360"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Attorneys’ Fees</w:t>
      </w:r>
      <w:r>
        <w:rPr>
          <w:rFonts w:ascii="Arial" w:cs="Arial" w:eastAsia="Arial" w:hAnsi="Arial"/>
          <w:sz w:val="12"/>
          <w:szCs w:val="12"/>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52" w:lineRule="exact"/>
        <w:rPr>
          <w:rFonts w:ascii="Arial" w:cs="Arial" w:eastAsia="Arial" w:hAnsi="Arial"/>
          <w:sz w:val="12"/>
          <w:szCs w:val="12"/>
          <w:color w:val="auto"/>
        </w:rPr>
      </w:pPr>
    </w:p>
    <w:p>
      <w:pPr>
        <w:ind w:firstLine="162"/>
        <w:spacing w:after="0" w:line="316" w:lineRule="auto"/>
        <w:tabs>
          <w:tab w:leader="none" w:pos="360" w:val="left"/>
        </w:tabs>
        <w:numPr>
          <w:ilvl w:val="0"/>
          <w:numId w:val="153"/>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32" w:lineRule="exact"/>
        <w:rPr>
          <w:rFonts w:ascii="Arial" w:cs="Arial" w:eastAsia="Arial" w:hAnsi="Arial"/>
          <w:sz w:val="11"/>
          <w:szCs w:val="11"/>
          <w:color w:val="auto"/>
        </w:rPr>
      </w:pPr>
    </w:p>
    <w:p>
      <w:pPr>
        <w:ind w:left="360" w:hanging="198"/>
        <w:spacing w:after="0"/>
        <w:tabs>
          <w:tab w:leader="none" w:pos="36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request, or instruction to be given hereunder shall be in writing and shall be deemed given when personally delivered or three (3) days after being sent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90" w:name="page191"/>
    <w:bookmarkEnd w:id="190"/>
    <w:p>
      <w:pPr>
        <w:spacing w:after="0"/>
        <w:rPr>
          <w:sz w:val="20"/>
          <w:szCs w:val="20"/>
          <w:color w:val="auto"/>
        </w:rPr>
      </w:pPr>
      <w:r>
        <w:rPr>
          <w:rFonts w:ascii="Arial" w:cs="Arial" w:eastAsia="Arial" w:hAnsi="Arial"/>
          <w:sz w:val="13"/>
          <w:szCs w:val="13"/>
          <w:color w:val="auto"/>
        </w:rPr>
        <w:t>by United States Certified Mail, postage prepaid, with Return Receipt Requested, to the parties at their respective addresses set forth below:</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 the Company:</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601 Riverside Avenue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 32204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General Counsel</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 the Employee:</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Peter T. Sadowski</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 Fidelity National Financial,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601 Riverside Avenue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 32204</w:t>
      </w:r>
    </w:p>
    <w:p>
      <w:pPr>
        <w:spacing w:after="0" w:line="79" w:lineRule="exact"/>
        <w:rPr>
          <w:sz w:val="20"/>
          <w:szCs w:val="20"/>
          <w:color w:val="auto"/>
        </w:rPr>
      </w:pPr>
    </w:p>
    <w:p>
      <w:pPr>
        <w:ind w:left="360" w:hanging="198"/>
        <w:spacing w:after="0"/>
        <w:tabs>
          <w:tab w:leader="none" w:pos="360"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Waiver of Breach</w:t>
      </w:r>
      <w:r>
        <w:rPr>
          <w:rFonts w:ascii="Arial" w:cs="Arial" w:eastAsia="Arial" w:hAnsi="Arial"/>
          <w:sz w:val="13"/>
          <w:szCs w:val="13"/>
          <w:color w:val="auto"/>
        </w:rPr>
        <w:t>. The waiver by any party of any provisions of this Agreement shall not operate or be construed as a waiver of any prior or subsequent breach by the other party.</w:t>
      </w:r>
    </w:p>
    <w:p>
      <w:pPr>
        <w:spacing w:after="0" w:line="86" w:lineRule="exact"/>
        <w:rPr>
          <w:rFonts w:ascii="Arial" w:cs="Arial" w:eastAsia="Arial" w:hAnsi="Arial"/>
          <w:sz w:val="13"/>
          <w:szCs w:val="13"/>
          <w:color w:val="auto"/>
        </w:rPr>
      </w:pPr>
    </w:p>
    <w:p>
      <w:pPr>
        <w:ind w:firstLine="162"/>
        <w:spacing w:after="0" w:line="276" w:lineRule="auto"/>
        <w:tabs>
          <w:tab w:leader="none" w:pos="360"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 The Company or an affiliate may deduct from all compensation and benefits payable under this Agreement any taxes or withholdings the Company is required to deduct pursuant to state, federal or local laws.</w:t>
      </w:r>
    </w:p>
    <w:p>
      <w:pPr>
        <w:spacing w:after="0" w:line="49" w:lineRule="exact"/>
        <w:rPr>
          <w:rFonts w:ascii="Arial" w:cs="Arial" w:eastAsia="Arial" w:hAnsi="Arial"/>
          <w:sz w:val="13"/>
          <w:szCs w:val="13"/>
          <w:color w:val="auto"/>
        </w:rPr>
      </w:pPr>
    </w:p>
    <w:p>
      <w:pPr>
        <w:ind w:right="40" w:firstLine="162"/>
        <w:spacing w:after="0" w:line="258" w:lineRule="auto"/>
        <w:tabs>
          <w:tab w:leader="none" w:pos="360"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Code Section 409A</w:t>
      </w:r>
      <w:r>
        <w:rPr>
          <w:rFonts w:ascii="Arial" w:cs="Arial" w:eastAsia="Arial" w:hAnsi="Arial"/>
          <w:sz w:val="13"/>
          <w:szCs w:val="13"/>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In addition, the direct payment or reimbursement of expenses permitted under this Agreement or otherwise shall be made no later than the last day of the Employee’s taxable year following the taxable year in which such expense was incurred.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color w:val="auto"/>
        </w:rPr>
        <w:t>IN WITNESS WHEREOF the parties have executed this Agreement to be effective as of the date first set forth above.</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By: /s/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10795</wp:posOffset>
            </wp:positionV>
            <wp:extent cx="263398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3"/>
          <w:szCs w:val="13"/>
          <w:color w:val="auto"/>
        </w:rPr>
        <w:t>Its: Chief Executive Officer</w:t>
      </w: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PETER T. SADOWSKI</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/s/ Peter T.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10795</wp:posOffset>
            </wp:positionV>
            <wp:extent cx="279654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079"/>
          </w:cols>
          <w:pgMar w:left="380" w:top="721"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13"/>
          <w:szCs w:val="13"/>
          <w:b w:val="1"/>
          <w:bCs w:val="1"/>
          <w:color w:val="auto"/>
        </w:rPr>
        <w:t>Exhibit 10.24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EMPLOYMENT AGREEMENT</w:t>
      </w:r>
    </w:p>
    <w:p>
      <w:pPr>
        <w:spacing w:after="0" w:line="75" w:lineRule="exact"/>
        <w:rPr>
          <w:sz w:val="20"/>
          <w:szCs w:val="20"/>
          <w:color w:val="auto"/>
        </w:rPr>
      </w:pPr>
    </w:p>
    <w:p>
      <w:pPr>
        <w:ind w:right="520" w:firstLine="161"/>
        <w:spacing w:after="0" w:line="283" w:lineRule="auto"/>
        <w:rPr>
          <w:sz w:val="20"/>
          <w:szCs w:val="20"/>
          <w:color w:val="auto"/>
        </w:rPr>
      </w:pPr>
      <w:r>
        <w:rPr>
          <w:rFonts w:ascii="Arial" w:cs="Arial" w:eastAsia="Arial" w:hAnsi="Arial"/>
          <w:sz w:val="13"/>
          <w:szCs w:val="13"/>
          <w:color w:val="auto"/>
        </w:rPr>
        <w:t xml:space="preserve">THIS AMENDMENT (the “Amendment”) is effective as of February 4, 2010 and amends the July 23, 2008 Amended and Restated Employment Agreement (the “Agreement”) by and between </w:t>
      </w:r>
      <w:r>
        <w:rPr>
          <w:rFonts w:ascii="Arial" w:cs="Arial" w:eastAsia="Arial" w:hAnsi="Arial"/>
          <w:sz w:val="13"/>
          <w:szCs w:val="13"/>
          <w:b w:val="1"/>
          <w:bCs w:val="1"/>
          <w:color w:val="auto"/>
        </w:rPr>
        <w:t>FIDELITY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NATIONAL FINANCIAL, INC., </w:t>
      </w:r>
      <w:r>
        <w:rPr>
          <w:rFonts w:ascii="Arial" w:cs="Arial" w:eastAsia="Arial" w:hAnsi="Arial"/>
          <w:sz w:val="13"/>
          <w:szCs w:val="13"/>
          <w:color w:val="auto"/>
        </w:rPr>
        <w:t>a Delaware corporation (the “Company”), and</w:t>
      </w:r>
      <w:r>
        <w:rPr>
          <w:rFonts w:ascii="Arial" w:cs="Arial" w:eastAsia="Arial" w:hAnsi="Arial"/>
          <w:sz w:val="13"/>
          <w:szCs w:val="13"/>
          <w:b w:val="1"/>
          <w:bCs w:val="1"/>
          <w:color w:val="auto"/>
        </w:rPr>
        <w:t xml:space="preserve"> PETER T. SADOWSKI </w:t>
      </w:r>
      <w:r>
        <w:rPr>
          <w:rFonts w:ascii="Arial" w:cs="Arial" w:eastAsia="Arial" w:hAnsi="Arial"/>
          <w:sz w:val="13"/>
          <w:szCs w:val="13"/>
          <w:color w:val="auto"/>
        </w:rPr>
        <w:t>(the “Employee”) as follows: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Excise Taxes</w:t>
      </w:r>
      <w:r>
        <w:rPr>
          <w:rFonts w:ascii="Arial" w:cs="Arial" w:eastAsia="Arial" w:hAnsi="Arial"/>
          <w:sz w:val="13"/>
          <w:szCs w:val="13"/>
          <w:color w:val="auto"/>
        </w:rPr>
        <w:t>. Section 10 of the Agreement is replaced in its entirety with the following:</w:t>
      </w:r>
    </w:p>
    <w:p>
      <w:pPr>
        <w:spacing w:after="0" w:line="86" w:lineRule="exact"/>
        <w:rPr>
          <w:sz w:val="20"/>
          <w:szCs w:val="20"/>
          <w:color w:val="auto"/>
        </w:rPr>
      </w:pPr>
    </w:p>
    <w:p>
      <w:pPr>
        <w:ind w:left="220"/>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Excise Taxes</w:t>
      </w:r>
      <w:r>
        <w:rPr>
          <w:rFonts w:ascii="Arial" w:cs="Arial" w:eastAsia="Arial" w:hAnsi="Arial"/>
          <w:sz w:val="12"/>
          <w:szCs w:val="12"/>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49" w:lineRule="exact"/>
        <w:rPr>
          <w:sz w:val="20"/>
          <w:szCs w:val="20"/>
          <w:color w:val="auto"/>
        </w:rPr>
      </w:pPr>
    </w:p>
    <w:p>
      <w:pPr>
        <w:ind w:right="560" w:firstLine="162"/>
        <w:spacing w:after="0" w:line="276" w:lineRule="auto"/>
        <w:tabs>
          <w:tab w:leader="none" w:pos="295"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Definitions and Conflicts</w:t>
      </w:r>
      <w:r>
        <w:rPr>
          <w:rFonts w:ascii="Arial" w:cs="Arial" w:eastAsia="Arial" w:hAnsi="Arial"/>
          <w:sz w:val="13"/>
          <w:szCs w:val="13"/>
          <w:color w:val="auto"/>
        </w:rPr>
        <w:t>. All terms not specifically defined in this Amendment shall have the same meaning as in the Agreement. In the event of a conflict between the terms of this Amendment and the Agreement, this Amendment shall control.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parties have executed this Amendment to be effective as of the date first set forth above.</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FIDELITY NATIONAL FINANCIAL, INC.</w:t>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By: /s/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263398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Its: Executive Vice President, General Counsel and</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Corporate Secretary</w:t>
      </w: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PETER T. SADOWSKI</w:t>
      </w:r>
    </w:p>
    <w:p>
      <w:pPr>
        <w:spacing w:after="0" w:line="165" w:lineRule="exact"/>
        <w:rPr>
          <w:sz w:val="20"/>
          <w:szCs w:val="20"/>
          <w:color w:val="auto"/>
        </w:rPr>
      </w:pPr>
    </w:p>
    <w:p>
      <w:pPr>
        <w:jc w:val="center"/>
        <w:ind w:left="380"/>
        <w:spacing w:after="0"/>
        <w:rPr>
          <w:sz w:val="20"/>
          <w:szCs w:val="20"/>
          <w:color w:val="auto"/>
        </w:rPr>
      </w:pPr>
      <w:r>
        <w:rPr>
          <w:rFonts w:ascii="Arial" w:cs="Arial" w:eastAsia="Arial" w:hAnsi="Arial"/>
          <w:sz w:val="13"/>
          <w:szCs w:val="13"/>
          <w:color w:val="auto"/>
        </w:rPr>
        <w:t>/s/ Peter T.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279654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96540" cy="635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60"/>
          </w:cols>
          <w:pgMar w:left="220" w:top="127" w:right="219" w:bottom="1440" w:gutter="0" w:footer="0" w:header="0"/>
        </w:sectPr>
      </w:pPr>
    </w:p>
    <w:bookmarkStart w:id="193" w:name="page194"/>
    <w:bookmarkEnd w:id="193"/>
    <w:p>
      <w:pPr>
        <w:ind w:left="10640"/>
        <w:spacing w:after="0"/>
        <w:rPr>
          <w:sz w:val="20"/>
          <w:szCs w:val="20"/>
          <w:color w:val="auto"/>
        </w:rPr>
      </w:pPr>
      <w:r>
        <w:rPr>
          <w:rFonts w:ascii="Arial" w:cs="Arial" w:eastAsia="Arial" w:hAnsi="Arial"/>
          <w:sz w:val="13"/>
          <w:szCs w:val="13"/>
          <w:b w:val="1"/>
          <w:bCs w:val="1"/>
          <w:color w:val="auto"/>
        </w:rPr>
        <w:t>EXHIBIT 21.1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7960" w:type="dxa"/>
            <w:vAlign w:val="bottom"/>
            <w:gridSpan w:val="3"/>
          </w:tcPr>
          <w:p>
            <w:pPr>
              <w:jc w:val="center"/>
              <w:ind w:right="3421"/>
              <w:spacing w:after="0"/>
              <w:rPr>
                <w:sz w:val="20"/>
                <w:szCs w:val="20"/>
                <w:color w:val="auto"/>
              </w:rPr>
            </w:pPr>
            <w:r>
              <w:rPr>
                <w:rFonts w:ascii="Arial" w:cs="Arial" w:eastAsia="Arial" w:hAnsi="Arial"/>
                <w:sz w:val="13"/>
                <w:szCs w:val="13"/>
                <w:b w:val="1"/>
                <w:bCs w:val="1"/>
                <w:color w:val="auto"/>
              </w:rPr>
              <w:t>FIDELITY NATIONAL FINANCIAL, INC.</w:t>
            </w:r>
          </w:p>
        </w:tc>
      </w:tr>
      <w:tr>
        <w:trPr>
          <w:trHeight w:val="157"/>
        </w:trPr>
        <w:tc>
          <w:tcPr>
            <w:tcW w:w="3500" w:type="dxa"/>
            <w:vAlign w:val="bottom"/>
          </w:tcPr>
          <w:p>
            <w:pPr>
              <w:spacing w:after="0"/>
              <w:rPr>
                <w:sz w:val="13"/>
                <w:szCs w:val="13"/>
                <w:color w:val="auto"/>
              </w:rPr>
            </w:pPr>
          </w:p>
        </w:tc>
        <w:tc>
          <w:tcPr>
            <w:tcW w:w="7960" w:type="dxa"/>
            <w:vAlign w:val="bottom"/>
            <w:gridSpan w:val="3"/>
          </w:tcPr>
          <w:p>
            <w:pPr>
              <w:jc w:val="center"/>
              <w:ind w:right="3421"/>
              <w:spacing w:after="0"/>
              <w:rPr>
                <w:sz w:val="20"/>
                <w:szCs w:val="20"/>
                <w:color w:val="auto"/>
              </w:rPr>
            </w:pPr>
            <w:r>
              <w:rPr>
                <w:rFonts w:ascii="Arial" w:cs="Arial" w:eastAsia="Arial" w:hAnsi="Arial"/>
                <w:sz w:val="13"/>
                <w:szCs w:val="13"/>
                <w:b w:val="1"/>
                <w:bCs w:val="1"/>
                <w:color w:val="auto"/>
                <w:w w:val="90"/>
              </w:rPr>
              <w:t>List of Subsidiaries</w:t>
            </w:r>
          </w:p>
        </w:tc>
      </w:tr>
      <w:tr>
        <w:trPr>
          <w:trHeight w:val="157"/>
        </w:trPr>
        <w:tc>
          <w:tcPr>
            <w:tcW w:w="3500" w:type="dxa"/>
            <w:vAlign w:val="bottom"/>
          </w:tcPr>
          <w:p>
            <w:pPr>
              <w:spacing w:after="0"/>
              <w:rPr>
                <w:sz w:val="13"/>
                <w:szCs w:val="13"/>
                <w:color w:val="auto"/>
              </w:rPr>
            </w:pPr>
          </w:p>
        </w:tc>
        <w:tc>
          <w:tcPr>
            <w:tcW w:w="3380" w:type="dxa"/>
            <w:vAlign w:val="bottom"/>
          </w:tcPr>
          <w:p>
            <w:pPr>
              <w:jc w:val="center"/>
              <w:ind w:left="1034"/>
              <w:spacing w:after="0"/>
              <w:rPr>
                <w:sz w:val="20"/>
                <w:szCs w:val="20"/>
                <w:color w:val="auto"/>
              </w:rPr>
            </w:pPr>
            <w:r>
              <w:rPr>
                <w:rFonts w:ascii="Arial" w:cs="Arial" w:eastAsia="Arial" w:hAnsi="Arial"/>
                <w:sz w:val="13"/>
                <w:szCs w:val="13"/>
                <w:b w:val="1"/>
                <w:bCs w:val="1"/>
                <w:color w:val="auto"/>
                <w:w w:val="92"/>
              </w:rPr>
              <w:t>12/31/2009</w:t>
            </w:r>
          </w:p>
        </w:tc>
        <w:tc>
          <w:tcPr>
            <w:tcW w:w="580" w:type="dxa"/>
            <w:vAlign w:val="bottom"/>
          </w:tcPr>
          <w:p>
            <w:pPr>
              <w:spacing w:after="0"/>
              <w:rPr>
                <w:sz w:val="13"/>
                <w:szCs w:val="13"/>
                <w:color w:val="auto"/>
              </w:rPr>
            </w:pPr>
          </w:p>
        </w:tc>
        <w:tc>
          <w:tcPr>
            <w:tcW w:w="4000" w:type="dxa"/>
            <w:vAlign w:val="bottom"/>
          </w:tcPr>
          <w:p>
            <w:pPr>
              <w:spacing w:after="0"/>
              <w:rPr>
                <w:sz w:val="13"/>
                <w:szCs w:val="13"/>
                <w:color w:val="auto"/>
              </w:rPr>
            </w:pPr>
          </w:p>
        </w:tc>
      </w:tr>
      <w:tr>
        <w:trPr>
          <w:trHeight w:val="169"/>
        </w:trPr>
        <w:tc>
          <w:tcPr>
            <w:tcW w:w="3500" w:type="dxa"/>
            <w:vAlign w:val="bottom"/>
          </w:tcPr>
          <w:p>
            <w:pPr>
              <w:spacing w:after="0"/>
              <w:rPr>
                <w:sz w:val="14"/>
                <w:szCs w:val="14"/>
                <w:color w:val="auto"/>
              </w:rPr>
            </w:pPr>
          </w:p>
        </w:tc>
        <w:tc>
          <w:tcPr>
            <w:tcW w:w="7960" w:type="dxa"/>
            <w:vAlign w:val="bottom"/>
            <w:gridSpan w:val="3"/>
          </w:tcPr>
          <w:p>
            <w:pPr>
              <w:jc w:val="center"/>
              <w:ind w:right="3441"/>
              <w:spacing w:after="0"/>
              <w:rPr>
                <w:sz w:val="20"/>
                <w:szCs w:val="20"/>
                <w:color w:val="auto"/>
              </w:rPr>
            </w:pPr>
            <w:r>
              <w:rPr>
                <w:rFonts w:ascii="Arial" w:cs="Arial" w:eastAsia="Arial" w:hAnsi="Arial"/>
                <w:sz w:val="13"/>
                <w:szCs w:val="13"/>
                <w:b w:val="1"/>
                <w:bCs w:val="1"/>
                <w:color w:val="auto"/>
                <w:w w:val="90"/>
              </w:rPr>
              <w:t>Nine Significant Subsidiaries</w:t>
            </w:r>
          </w:p>
        </w:tc>
      </w:tr>
      <w:tr>
        <w:trPr>
          <w:trHeight w:val="267"/>
        </w:trPr>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COMPANY</w:t>
            </w:r>
          </w:p>
        </w:tc>
        <w:tc>
          <w:tcPr>
            <w:tcW w:w="338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4000" w:type="dxa"/>
            <w:vAlign w:val="bottom"/>
            <w:tcBorders>
              <w:bottom w:val="single" w:sz="8" w:color="auto"/>
            </w:tcBorders>
          </w:tcPr>
          <w:p>
            <w:pPr>
              <w:ind w:left="1580"/>
              <w:spacing w:after="0"/>
              <w:rPr>
                <w:sz w:val="20"/>
                <w:szCs w:val="20"/>
                <w:color w:val="auto"/>
              </w:rPr>
            </w:pPr>
            <w:r>
              <w:rPr>
                <w:rFonts w:ascii="Arial" w:cs="Arial" w:eastAsia="Arial" w:hAnsi="Arial"/>
                <w:sz w:val="10"/>
                <w:szCs w:val="10"/>
                <w:color w:val="auto"/>
              </w:rPr>
              <w:t>INCORPORATION</w:t>
            </w:r>
          </w:p>
        </w:tc>
      </w:tr>
      <w:tr>
        <w:trPr>
          <w:trHeight w:val="138"/>
        </w:trPr>
        <w:tc>
          <w:tcPr>
            <w:tcW w:w="3500" w:type="dxa"/>
            <w:vAlign w:val="bottom"/>
          </w:tcPr>
          <w:p>
            <w:pPr>
              <w:spacing w:after="0" w:line="139" w:lineRule="exact"/>
              <w:rPr>
                <w:sz w:val="20"/>
                <w:szCs w:val="20"/>
                <w:color w:val="auto"/>
              </w:rPr>
            </w:pPr>
            <w:r>
              <w:rPr>
                <w:rFonts w:ascii="Arial" w:cs="Arial" w:eastAsia="Arial" w:hAnsi="Arial"/>
                <w:sz w:val="13"/>
                <w:szCs w:val="13"/>
                <w:color w:val="auto"/>
              </w:rPr>
              <w:t>Chicago Title and Trust Company</w:t>
            </w:r>
          </w:p>
        </w:tc>
        <w:tc>
          <w:tcPr>
            <w:tcW w:w="3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0" w:type="dxa"/>
            <w:vAlign w:val="bottom"/>
          </w:tcPr>
          <w:p>
            <w:pPr>
              <w:spacing w:after="0" w:line="139" w:lineRule="exact"/>
              <w:rPr>
                <w:sz w:val="20"/>
                <w:szCs w:val="20"/>
                <w:color w:val="auto"/>
              </w:rPr>
            </w:pPr>
            <w:r>
              <w:rPr>
                <w:rFonts w:ascii="Arial" w:cs="Arial" w:eastAsia="Arial" w:hAnsi="Arial"/>
                <w:sz w:val="13"/>
                <w:szCs w:val="13"/>
                <w:color w:val="auto"/>
              </w:rPr>
              <w:t>Illinois</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Chicago Title Insurance Company</w:t>
            </w:r>
          </w:p>
        </w:tc>
        <w:tc>
          <w:tcPr>
            <w:tcW w:w="3380" w:type="dxa"/>
            <w:vAlign w:val="bottom"/>
          </w:tcPr>
          <w:p>
            <w:pPr>
              <w:spacing w:after="0"/>
              <w:rPr>
                <w:sz w:val="13"/>
                <w:szCs w:val="13"/>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Nebraska</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Fidelity National Title Group, Inc.</w:t>
            </w:r>
          </w:p>
        </w:tc>
        <w:tc>
          <w:tcPr>
            <w:tcW w:w="3380" w:type="dxa"/>
            <w:vAlign w:val="bottom"/>
          </w:tcPr>
          <w:p>
            <w:pPr>
              <w:spacing w:after="0"/>
              <w:rPr>
                <w:sz w:val="13"/>
                <w:szCs w:val="13"/>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Fidelity National Title Insurance Company</w:t>
            </w:r>
          </w:p>
        </w:tc>
        <w:tc>
          <w:tcPr>
            <w:tcW w:w="3380" w:type="dxa"/>
            <w:vAlign w:val="bottom"/>
          </w:tcPr>
          <w:p>
            <w:pPr>
              <w:spacing w:after="0"/>
              <w:rPr>
                <w:sz w:val="13"/>
                <w:szCs w:val="13"/>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California</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Lawyers Title Insurance Corporation</w:t>
            </w:r>
          </w:p>
        </w:tc>
        <w:tc>
          <w:tcPr>
            <w:tcW w:w="3380" w:type="dxa"/>
            <w:vAlign w:val="bottom"/>
          </w:tcPr>
          <w:p>
            <w:pPr>
              <w:spacing w:after="0"/>
              <w:rPr>
                <w:sz w:val="13"/>
                <w:szCs w:val="13"/>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Nebraska</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National Alliance Marketing Group, Inc.</w:t>
            </w:r>
          </w:p>
        </w:tc>
        <w:tc>
          <w:tcPr>
            <w:tcW w:w="3380" w:type="dxa"/>
            <w:vAlign w:val="bottom"/>
          </w:tcPr>
          <w:p>
            <w:pPr>
              <w:spacing w:after="0"/>
              <w:rPr>
                <w:sz w:val="13"/>
                <w:szCs w:val="13"/>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California</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Rocky Mountain Support Services, Inc.</w:t>
            </w:r>
          </w:p>
        </w:tc>
        <w:tc>
          <w:tcPr>
            <w:tcW w:w="3380" w:type="dxa"/>
            <w:vAlign w:val="bottom"/>
          </w:tcPr>
          <w:p>
            <w:pPr>
              <w:spacing w:after="0"/>
              <w:rPr>
                <w:sz w:val="13"/>
                <w:szCs w:val="13"/>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Arizona</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Commonwealth Land Title Insurance Company</w:t>
            </w:r>
          </w:p>
        </w:tc>
        <w:tc>
          <w:tcPr>
            <w:tcW w:w="3380" w:type="dxa"/>
            <w:vAlign w:val="bottom"/>
          </w:tcPr>
          <w:p>
            <w:pPr>
              <w:spacing w:after="0"/>
              <w:rPr>
                <w:sz w:val="13"/>
                <w:szCs w:val="13"/>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Nebraska</w:t>
            </w:r>
          </w:p>
        </w:tc>
      </w:tr>
      <w:tr>
        <w:trPr>
          <w:trHeight w:val="165"/>
        </w:trPr>
        <w:tc>
          <w:tcPr>
            <w:tcW w:w="3500" w:type="dxa"/>
            <w:vAlign w:val="bottom"/>
          </w:tcPr>
          <w:p>
            <w:pPr>
              <w:spacing w:after="0"/>
              <w:rPr>
                <w:sz w:val="20"/>
                <w:szCs w:val="20"/>
                <w:color w:val="auto"/>
              </w:rPr>
            </w:pPr>
            <w:r>
              <w:rPr>
                <w:rFonts w:ascii="Arial" w:cs="Arial" w:eastAsia="Arial" w:hAnsi="Arial"/>
                <w:sz w:val="13"/>
                <w:szCs w:val="13"/>
                <w:color w:val="auto"/>
              </w:rPr>
              <w:t>Fidelity National Title Company</w:t>
            </w:r>
          </w:p>
        </w:tc>
        <w:tc>
          <w:tcPr>
            <w:tcW w:w="3380" w:type="dxa"/>
            <w:vAlign w:val="bottom"/>
          </w:tcPr>
          <w:p>
            <w:pPr>
              <w:spacing w:after="0"/>
              <w:rPr>
                <w:sz w:val="14"/>
                <w:szCs w:val="14"/>
                <w:color w:val="auto"/>
              </w:rPr>
            </w:pPr>
          </w:p>
        </w:tc>
        <w:tc>
          <w:tcPr>
            <w:tcW w:w="4580" w:type="dxa"/>
            <w:vAlign w:val="bottom"/>
            <w:gridSpan w:val="2"/>
          </w:tcPr>
          <w:p>
            <w:pPr>
              <w:ind w:left="580"/>
              <w:spacing w:after="0"/>
              <w:rPr>
                <w:sz w:val="20"/>
                <w:szCs w:val="20"/>
                <w:color w:val="auto"/>
              </w:rPr>
            </w:pPr>
            <w:r>
              <w:rPr>
                <w:rFonts w:ascii="Arial" w:cs="Arial" w:eastAsia="Arial" w:hAnsi="Arial"/>
                <w:sz w:val="13"/>
                <w:szCs w:val="13"/>
                <w:color w:val="auto"/>
              </w:rPr>
              <w:t>California</w:t>
            </w:r>
          </w:p>
        </w:tc>
      </w:tr>
    </w:tbl>
    <w:p>
      <w:pPr>
        <w:sectPr>
          <w:pgSz w:w="11900" w:h="16838" w:orient="portrait"/>
          <w:cols w:equalWidth="0" w:num="1">
            <w:col w:w="11460"/>
          </w:cols>
          <w:pgMar w:left="220" w:top="127" w:right="2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Fidelity National Financial, Inc.:</w:t>
      </w:r>
    </w:p>
    <w:p>
      <w:pPr>
        <w:spacing w:after="0" w:line="79" w:lineRule="exact"/>
        <w:rPr>
          <w:sz w:val="20"/>
          <w:szCs w:val="20"/>
          <w:color w:val="auto"/>
        </w:rPr>
      </w:pPr>
    </w:p>
    <w:p>
      <w:pPr>
        <w:ind w:right="40"/>
        <w:spacing w:after="0" w:line="322" w:lineRule="auto"/>
        <w:rPr>
          <w:sz w:val="20"/>
          <w:szCs w:val="20"/>
          <w:color w:val="auto"/>
        </w:rPr>
      </w:pPr>
      <w:r>
        <w:rPr>
          <w:rFonts w:ascii="Arial" w:cs="Arial" w:eastAsia="Arial" w:hAnsi="Arial"/>
          <w:sz w:val="11"/>
          <w:szCs w:val="11"/>
          <w:color w:val="auto"/>
        </w:rPr>
        <w:t>We consent to the incorporation by reference in the Registration Statements (Nos. 333-157643, 333-132843, 333-138254, 333-129886, and 333-129016) on Form S-8 and Registration Statements (Nos. 333-157123, 333-147391) on Form S-3 of Fidelity National Financial, Inc. of our reports dated March 1, 2010, with respect to the Consolidated Balance Sheets of Fidelity National Financial, Inc. as of December 31, 2009 and 2008, and the related Consolidated Statements of Operations, Comprehensive Earnings, Equity and Cash Flows for each of the years in the three-year period ended December 31, 2009, and all related financial statement schedules, and the effectiveness of internal control over financial reporting as of December 31, 2009, which reports appear in the December 31, 2009 annual report on Form 10-K of Fidelity National Financial, Inc.</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March 1, 2010</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Jacksonville, Florida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Certified Public Accountants</w:t>
      </w:r>
    </w:p>
    <w:p>
      <w:pPr>
        <w:sectPr>
          <w:pgSz w:w="11900" w:h="16838" w:orient="portrait"/>
          <w:cols w:equalWidth="0" w:num="1">
            <w:col w:w="11460"/>
          </w:cols>
          <w:pgMar w:left="220" w:top="127" w:right="2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Alan L. Stinson, certify that:</w:t>
      </w:r>
    </w:p>
    <w:p>
      <w:pPr>
        <w:spacing w:after="0" w:line="86" w:lineRule="exact"/>
        <w:rPr>
          <w:sz w:val="20"/>
          <w:szCs w:val="20"/>
          <w:color w:val="auto"/>
        </w:rPr>
      </w:pPr>
    </w:p>
    <w:p>
      <w:pPr>
        <w:ind w:left="121" w:hanging="121"/>
        <w:spacing w:after="0"/>
        <w:tabs>
          <w:tab w:leader="none" w:pos="121"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Fidelity National Financial, Inc.;</w:t>
      </w:r>
    </w:p>
    <w:p>
      <w:pPr>
        <w:spacing w:after="0" w:line="86" w:lineRule="exact"/>
        <w:rPr>
          <w:rFonts w:ascii="Arial" w:cs="Arial" w:eastAsia="Arial" w:hAnsi="Arial"/>
          <w:sz w:val="13"/>
          <w:szCs w:val="13"/>
          <w:color w:val="auto"/>
        </w:rPr>
      </w:pPr>
    </w:p>
    <w:p>
      <w:pPr>
        <w:ind w:left="1" w:right="300" w:hanging="1"/>
        <w:spacing w:after="0" w:line="276" w:lineRule="auto"/>
        <w:tabs>
          <w:tab w:leader="none" w:pos="132" w:val="left"/>
        </w:tabs>
        <w:numPr>
          <w:ilvl w:val="0"/>
          <w:numId w:val="15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1" w:right="400" w:hanging="1"/>
        <w:spacing w:after="0" w:line="276" w:lineRule="auto"/>
        <w:tabs>
          <w:tab w:leader="none" w:pos="132" w:val="left"/>
        </w:tabs>
        <w:numPr>
          <w:ilvl w:val="0"/>
          <w:numId w:val="15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1" w:right="60" w:hanging="1"/>
        <w:spacing w:after="0" w:line="276" w:lineRule="auto"/>
        <w:tabs>
          <w:tab w:leader="none" w:pos="132"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681" w:right="340" w:hanging="455"/>
        <w:spacing w:after="0" w:line="320" w:lineRule="auto"/>
        <w:tabs>
          <w:tab w:leader="none" w:pos="681" w:val="left"/>
        </w:tabs>
        <w:numPr>
          <w:ilvl w:val="1"/>
          <w:numId w:val="15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right="20" w:hanging="455"/>
        <w:spacing w:after="0" w:line="276" w:lineRule="auto"/>
        <w:tabs>
          <w:tab w:leader="none" w:pos="681" w:val="left"/>
        </w:tabs>
        <w:numPr>
          <w:ilvl w:val="1"/>
          <w:numId w:val="15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15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hanging="455"/>
        <w:spacing w:after="0" w:line="276" w:lineRule="auto"/>
        <w:tabs>
          <w:tab w:leader="none" w:pos="681" w:val="left"/>
        </w:tabs>
        <w:numPr>
          <w:ilvl w:val="1"/>
          <w:numId w:val="15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1" w:right="40" w:hanging="1"/>
        <w:spacing w:after="0" w:line="276" w:lineRule="auto"/>
        <w:tabs>
          <w:tab w:leader="none" w:pos="132"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681" w:right="280" w:hanging="455"/>
        <w:spacing w:after="0" w:line="276" w:lineRule="auto"/>
        <w:tabs>
          <w:tab w:leader="none" w:pos="681" w:val="left"/>
        </w:tabs>
        <w:numPr>
          <w:ilvl w:val="1"/>
          <w:numId w:val="15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15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March 1, 2010</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 /s/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258381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ind w:left="261"/>
        <w:spacing w:after="0"/>
        <w:rPr>
          <w:sz w:val="20"/>
          <w:szCs w:val="20"/>
          <w:color w:val="auto"/>
        </w:rPr>
      </w:pPr>
      <w:r>
        <w:rPr>
          <w:rFonts w:ascii="Arial" w:cs="Arial" w:eastAsia="Arial" w:hAnsi="Arial"/>
          <w:sz w:val="13"/>
          <w:szCs w:val="13"/>
          <w:color w:val="auto"/>
        </w:rPr>
        <w:t>Alan L. Stinson</w:t>
      </w:r>
    </w:p>
    <w:p>
      <w:pPr>
        <w:spacing w:after="0" w:line="15" w:lineRule="exact"/>
        <w:rPr>
          <w:sz w:val="20"/>
          <w:szCs w:val="20"/>
          <w:color w:val="auto"/>
        </w:rPr>
      </w:pPr>
    </w:p>
    <w:p>
      <w:pPr>
        <w:ind w:left="26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127" w:right="2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Anthony J. Park, certify that:</w:t>
      </w:r>
    </w:p>
    <w:p>
      <w:pPr>
        <w:spacing w:after="0" w:line="86" w:lineRule="exact"/>
        <w:rPr>
          <w:sz w:val="20"/>
          <w:szCs w:val="20"/>
          <w:color w:val="auto"/>
        </w:rPr>
      </w:pPr>
    </w:p>
    <w:p>
      <w:pPr>
        <w:ind w:left="121" w:hanging="121"/>
        <w:spacing w:after="0"/>
        <w:tabs>
          <w:tab w:leader="none" w:pos="121" w:val="left"/>
        </w:tabs>
        <w:numPr>
          <w:ilvl w:val="0"/>
          <w:numId w:val="15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Fidelity National Financial, Inc.;</w:t>
      </w:r>
    </w:p>
    <w:p>
      <w:pPr>
        <w:spacing w:after="0" w:line="86" w:lineRule="exact"/>
        <w:rPr>
          <w:rFonts w:ascii="Arial" w:cs="Arial" w:eastAsia="Arial" w:hAnsi="Arial"/>
          <w:sz w:val="13"/>
          <w:szCs w:val="13"/>
          <w:color w:val="auto"/>
        </w:rPr>
      </w:pPr>
    </w:p>
    <w:p>
      <w:pPr>
        <w:ind w:left="1" w:right="300" w:hanging="1"/>
        <w:spacing w:after="0" w:line="276" w:lineRule="auto"/>
        <w:tabs>
          <w:tab w:leader="none" w:pos="132" w:val="left"/>
        </w:tabs>
        <w:numPr>
          <w:ilvl w:val="0"/>
          <w:numId w:val="15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1" w:right="400" w:hanging="1"/>
        <w:spacing w:after="0" w:line="276" w:lineRule="auto"/>
        <w:tabs>
          <w:tab w:leader="none" w:pos="132" w:val="left"/>
        </w:tabs>
        <w:numPr>
          <w:ilvl w:val="0"/>
          <w:numId w:val="15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1" w:right="60" w:hanging="1"/>
        <w:spacing w:after="0" w:line="276" w:lineRule="auto"/>
        <w:tabs>
          <w:tab w:leader="none" w:pos="132"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681" w:right="340" w:hanging="455"/>
        <w:spacing w:after="0" w:line="320" w:lineRule="auto"/>
        <w:tabs>
          <w:tab w:leader="none" w:pos="681" w:val="left"/>
        </w:tabs>
        <w:numPr>
          <w:ilvl w:val="1"/>
          <w:numId w:val="15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right="20" w:hanging="455"/>
        <w:spacing w:after="0" w:line="276" w:lineRule="auto"/>
        <w:tabs>
          <w:tab w:leader="none" w:pos="681" w:val="left"/>
        </w:tabs>
        <w:numPr>
          <w:ilvl w:val="1"/>
          <w:numId w:val="15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15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hanging="455"/>
        <w:spacing w:after="0" w:line="276" w:lineRule="auto"/>
        <w:tabs>
          <w:tab w:leader="none" w:pos="681" w:val="left"/>
        </w:tabs>
        <w:numPr>
          <w:ilvl w:val="1"/>
          <w:numId w:val="15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1" w:right="40" w:hanging="1"/>
        <w:spacing w:after="0" w:line="276" w:lineRule="auto"/>
        <w:tabs>
          <w:tab w:leader="none" w:pos="132"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681" w:right="280" w:hanging="455"/>
        <w:spacing w:after="0" w:line="276" w:lineRule="auto"/>
        <w:tabs>
          <w:tab w:leader="none" w:pos="681" w:val="left"/>
        </w:tabs>
        <w:numPr>
          <w:ilvl w:val="1"/>
          <w:numId w:val="15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15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March 1, 2010</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 /s/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258381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ind w:left="261"/>
        <w:spacing w:after="0"/>
        <w:rPr>
          <w:sz w:val="20"/>
          <w:szCs w:val="20"/>
          <w:color w:val="auto"/>
        </w:rPr>
      </w:pPr>
      <w:r>
        <w:rPr>
          <w:rFonts w:ascii="Arial" w:cs="Arial" w:eastAsia="Arial" w:hAnsi="Arial"/>
          <w:sz w:val="13"/>
          <w:szCs w:val="13"/>
          <w:color w:val="auto"/>
        </w:rPr>
        <w:t>Anthony J. Park</w:t>
      </w:r>
    </w:p>
    <w:p>
      <w:pPr>
        <w:spacing w:after="0" w:line="15" w:lineRule="exact"/>
        <w:rPr>
          <w:sz w:val="20"/>
          <w:szCs w:val="20"/>
          <w:color w:val="auto"/>
        </w:rPr>
      </w:pPr>
    </w:p>
    <w:p>
      <w:pPr>
        <w:ind w:left="261"/>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1"/>
          </w:cols>
          <w:pgMar w:left="219" w:top="127" w:right="2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3"/>
          <w:szCs w:val="13"/>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PERIODIC FINANCIAL REPORTS PURSUANT TO 18 U.S.C. §1350</w:t>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undersigned hereby certifies that he is the duly appointed and acting Chief Executive Officer of Fidelity National Financial, Inc., a Delaware corporation (the “Company”), and hereby further certifies as follows.</w:t>
      </w:r>
    </w:p>
    <w:p>
      <w:pPr>
        <w:spacing w:after="0" w:line="98" w:lineRule="exact"/>
        <w:rPr>
          <w:sz w:val="20"/>
          <w:szCs w:val="20"/>
          <w:color w:val="auto"/>
        </w:rPr>
      </w:pPr>
    </w:p>
    <w:p>
      <w:pPr>
        <w:ind w:left="221" w:hanging="221"/>
        <w:spacing w:after="0"/>
        <w:tabs>
          <w:tab w:leader="none" w:pos="22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periodic report containing financial statements to which this certificate is an exhibit fully complies with the requirements of Section 13(a) or 15(d) of the Securities Exchange Act of 1934.</w:t>
      </w:r>
    </w:p>
    <w:p>
      <w:pPr>
        <w:spacing w:after="0" w:line="96" w:lineRule="exact"/>
        <w:rPr>
          <w:rFonts w:ascii="Arial" w:cs="Arial" w:eastAsia="Arial" w:hAnsi="Arial"/>
          <w:sz w:val="13"/>
          <w:szCs w:val="13"/>
          <w:color w:val="auto"/>
        </w:rPr>
      </w:pPr>
    </w:p>
    <w:p>
      <w:pPr>
        <w:ind w:left="221" w:hanging="221"/>
        <w:spacing w:after="0"/>
        <w:tabs>
          <w:tab w:leader="none" w:pos="22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information contained in the periodic report to which this certificate is an exhibit fairly presents, in all material respects, the financial condition and results of operations of the Company.</w:t>
      </w:r>
    </w:p>
    <w:p>
      <w:pPr>
        <w:spacing w:after="0" w:line="96" w:lineRule="exact"/>
        <w:rPr>
          <w:sz w:val="20"/>
          <w:szCs w:val="20"/>
          <w:color w:val="auto"/>
        </w:rPr>
      </w:pPr>
    </w:p>
    <w:p>
      <w:pPr>
        <w:ind w:left="221"/>
        <w:spacing w:after="0"/>
        <w:rPr>
          <w:sz w:val="20"/>
          <w:szCs w:val="20"/>
          <w:color w:val="auto"/>
        </w:rPr>
      </w:pPr>
      <w:r>
        <w:rPr>
          <w:rFonts w:ascii="Arial" w:cs="Arial" w:eastAsia="Arial" w:hAnsi="Arial"/>
          <w:sz w:val="13"/>
          <w:szCs w:val="13"/>
          <w:color w:val="auto"/>
        </w:rPr>
        <w:t>In witness whereof, the undersigned has executed and delivered this certificate as of the date set forth opposite his signature below.</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March 1, 2010</w:t>
      </w:r>
    </w:p>
    <w:p>
      <w:pPr>
        <w:spacing w:after="0" w:line="16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Alan L. Stinson</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127" w:right="2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3"/>
          <w:szCs w:val="13"/>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PERIODIC FINANCIAL REPORTS PURSUANT TO 18 U.S.C. §1350</w:t>
      </w:r>
    </w:p>
    <w:p>
      <w:pPr>
        <w:spacing w:after="0" w:line="86"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The undersigned hereby certifies that he is the duly appointed and acting Chief Financial Officer of Fidelity National Financial, Inc., a Delaware corporation (the “Company”), and hereby further certifies as follows.</w:t>
      </w:r>
    </w:p>
    <w:p>
      <w:pPr>
        <w:spacing w:after="0" w:line="98" w:lineRule="exact"/>
        <w:rPr>
          <w:sz w:val="20"/>
          <w:szCs w:val="20"/>
          <w:color w:val="auto"/>
        </w:rPr>
      </w:pPr>
    </w:p>
    <w:p>
      <w:pPr>
        <w:ind w:left="221" w:hanging="221"/>
        <w:spacing w:after="0"/>
        <w:tabs>
          <w:tab w:leader="none" w:pos="221"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periodic report containing financial statements to which this certificate is an exhibit fully complies with the requirements of Section 13(a) or 15(d) of the Securities Exchange Act of 1934.</w:t>
      </w:r>
    </w:p>
    <w:p>
      <w:pPr>
        <w:spacing w:after="0" w:line="96" w:lineRule="exact"/>
        <w:rPr>
          <w:rFonts w:ascii="Arial" w:cs="Arial" w:eastAsia="Arial" w:hAnsi="Arial"/>
          <w:sz w:val="13"/>
          <w:szCs w:val="13"/>
          <w:color w:val="auto"/>
        </w:rPr>
      </w:pPr>
    </w:p>
    <w:p>
      <w:pPr>
        <w:ind w:left="161" w:right="1280" w:hanging="161"/>
        <w:spacing w:after="0" w:line="378" w:lineRule="auto"/>
        <w:tabs>
          <w:tab w:leader="none" w:pos="214"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1"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March 1, 2010</w:t>
      </w:r>
    </w:p>
    <w:p>
      <w:pPr>
        <w:spacing w:after="0" w:line="16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Anthony J. Park</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1"/>
      </w:cols>
      <w:pgMar w:left="219"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o"/>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1)"/>
      <w:numFmt w:val="lowerLetter"/>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1)"/>
      <w:numFmt w:val="decimal"/>
      <w:start w:val="1"/>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1)"/>
      <w:numFmt w:val="decimal"/>
      <w:start w:val="1"/>
    </w:lvl>
  </w:abstractNum>
  <w:abstractNum w:abstractNumId="52">
    <w:nsid w:val="1FBFE8E0"/>
    <w:multiLevelType w:val="hybridMultilevel"/>
    <w:lvl w:ilvl="0">
      <w:lvlJc w:val="left"/>
      <w:lvlText w:val="(%1)"/>
      <w:numFmt w:val="decimal"/>
      <w:start w:val="4"/>
    </w:lvl>
  </w:abstractNum>
  <w:abstractNum w:abstractNumId="53">
    <w:nsid w:val="5092CA79"/>
    <w:multiLevelType w:val="hybridMultilevel"/>
    <w:lvl w:ilvl="0">
      <w:lvlJc w:val="left"/>
      <w:lvlText w:val="(%1)"/>
      <w:numFmt w:val="decimal"/>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1)"/>
      <w:numFmt w:val="lowerLetter"/>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1)"/>
      <w:numFmt w:val="upperLetter"/>
      <w:start w:val="1"/>
    </w:lvl>
  </w:abstractNum>
  <w:abstractNum w:abstractNumId="61">
    <w:nsid w:val="1CA0C5FA"/>
    <w:multiLevelType w:val="hybridMultilevel"/>
    <w:lvl w:ilvl="0">
      <w:lvlJc w:val="left"/>
      <w:lvlText w:val="(%1)"/>
      <w:numFmt w:val="lowerLetter"/>
      <w:start w:val="1"/>
    </w:lvl>
  </w:abstractNum>
  <w:abstractNum w:abstractNumId="62">
    <w:nsid w:val="53584BCB"/>
    <w:multiLevelType w:val="hybridMultilevel"/>
    <w:lvl w:ilvl="0">
      <w:lvlJc w:val="left"/>
      <w:lvlText w:val="(%1)"/>
      <w:numFmt w:val="lowerRoman"/>
      <w:start w:val="2"/>
    </w:lvl>
  </w:abstractNum>
  <w:abstractNum w:abstractNumId="63">
    <w:nsid w:val="415E286C"/>
    <w:multiLevelType w:val="hybridMultilevel"/>
    <w:lvl w:ilvl="0">
      <w:lvlJc w:val="left"/>
      <w:lvlText w:val="(%1)"/>
      <w:numFmt w:val="decimal"/>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1)"/>
      <w:numFmt w:val="lowerLetter"/>
      <w:start w:val="1"/>
    </w:lvl>
  </w:abstractNum>
  <w:abstractNum w:abstractNumId="66">
    <w:nsid w:val="45E6D486"/>
    <w:multiLevelType w:val="hybridMultilevel"/>
    <w:lvl w:ilvl="0">
      <w:lvlJc w:val="left"/>
      <w:lvlText w:val="%1."/>
      <w:numFmt w:val="decimal"/>
      <w:start w:val="260"/>
    </w:lvl>
  </w:abstractNum>
  <w:abstractNum w:abstractNumId="67">
    <w:nsid w:val="5C10FE21"/>
    <w:multiLevelType w:val="hybridMultilevel"/>
    <w:lvl w:ilvl="0">
      <w:lvlJc w:val="left"/>
      <w:lvlText w:val="(%1)"/>
      <w:numFmt w:val="decimal"/>
      <w:start w:val="1"/>
    </w:lvl>
  </w:abstractNum>
  <w:abstractNum w:abstractNumId="68">
    <w:nsid w:val="E7FFA2B"/>
    <w:multiLevelType w:val="hybridMultilevel"/>
    <w:lvl w:ilvl="0">
      <w:lvlJc w:val="left"/>
      <w:lvlText w:val="%1."/>
      <w:numFmt w:val="upperLetter"/>
      <w:start w:val="1"/>
    </w:lvl>
  </w:abstractNum>
  <w:abstractNum w:abstractNumId="69">
    <w:nsid w:val="3C5991AA"/>
    <w:multiLevelType w:val="hybridMultilevel"/>
    <w:lvl w:ilvl="0">
      <w:lvlJc w:val="left"/>
      <w:lvlText w:val="%1."/>
      <w:numFmt w:val="upperLetter"/>
      <w:start w:val="3"/>
    </w:lvl>
  </w:abstractNum>
  <w:abstractNum w:abstractNumId="70">
    <w:nsid w:val="4BD8591A"/>
    <w:multiLevelType w:val="hybridMultilevel"/>
    <w:lvl w:ilvl="0">
      <w:lvlJc w:val="left"/>
      <w:lvlText w:val="%1."/>
      <w:numFmt w:val="upperLetter"/>
      <w:start w:val="4"/>
    </w:lvl>
  </w:abstractNum>
  <w:abstractNum w:abstractNumId="71">
    <w:nsid w:val="78DF6A55"/>
    <w:multiLevelType w:val="hybridMultilevel"/>
    <w:lvl w:ilvl="0">
      <w:lvlJc w:val="left"/>
      <w:lvlText w:val="(%1)"/>
      <w:numFmt w:val="decimal"/>
      <w:start w:val="1"/>
    </w:lvl>
  </w:abstractNum>
  <w:abstractNum w:abstractNumId="72">
    <w:nsid w:val="39B7AAA2"/>
    <w:multiLevelType w:val="hybridMultilevel"/>
    <w:lvl w:ilvl="0">
      <w:lvlJc w:val="left"/>
      <w:lvlText w:val="(%1)"/>
      <w:numFmt w:val="decimal"/>
      <w:start w:val="1"/>
    </w:lvl>
  </w:abstractNum>
  <w:abstractNum w:abstractNumId="73">
    <w:nsid w:val="2B0D8DBE"/>
    <w:multiLevelType w:val="hybridMultilevel"/>
    <w:lvl w:ilvl="0">
      <w:lvlJc w:val="left"/>
      <w:lvlText w:val="(%1)"/>
      <w:numFmt w:val="lowerLetter"/>
      <w:start w:val="1"/>
    </w:lvl>
  </w:abstractNum>
  <w:abstractNum w:abstractNumId="74">
    <w:nsid w:val="6C80E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5">
    <w:nsid w:val="379E21B5"/>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76">
    <w:nsid w:val="69E373"/>
    <w:multiLevelType w:val="hybridMultilevel"/>
    <w:lvl w:ilvl="0">
      <w:lvlJc w:val="left"/>
      <w:lvlText w:val="\emdash "/>
      <w:numFmt w:val="bullet"/>
      <w:start w:val="1"/>
    </w:lvl>
    <w:lvl w:ilvl="1">
      <w:lvlJc w:val="left"/>
      <w:lvlText w:val="(%2)"/>
      <w:numFmt w:val="lowerLetter"/>
      <w:start w:val="2"/>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Letter"/>
      <w:start w:val="2"/>
    </w:lvl>
  </w:abstractNum>
  <w:abstractNum w:abstractNumId="79">
    <w:nsid w:val="6AA7B75C"/>
    <w:multiLevelType w:val="hybridMultilevel"/>
    <w:lvl w:ilvl="0">
      <w:lvlJc w:val="left"/>
      <w:lvlText w:val="(%1)"/>
      <w:numFmt w:val="lowerLetter"/>
      <w:start w:val="8"/>
    </w:lvl>
  </w:abstractNum>
  <w:abstractNum w:abstractNumId="80">
    <w:nsid w:val="1DF029D3"/>
    <w:multiLevelType w:val="hybridMultilevel"/>
    <w:lvl w:ilvl="0">
      <w:lvlJc w:val="left"/>
      <w:lvlText w:val="%1."/>
      <w:numFmt w:val="decimal"/>
      <w:start w:val="2"/>
    </w:lvl>
  </w:abstractNum>
  <w:abstractNum w:abstractNumId="81">
    <w:nsid w:val="5675FF36"/>
    <w:multiLevelType w:val="hybridMultilevel"/>
    <w:lvl w:ilvl="0">
      <w:lvlJc w:val="left"/>
      <w:lvlText w:val="%1."/>
      <w:numFmt w:val="decimal"/>
      <w:start w:val="1"/>
    </w:lvl>
  </w:abstractNum>
  <w:abstractNum w:abstractNumId="82">
    <w:nsid w:val="3DD15094"/>
    <w:multiLevelType w:val="hybridMultilevel"/>
    <w:lvl w:ilvl="0">
      <w:lvlJc w:val="left"/>
      <w:lvlText w:val="%1."/>
      <w:numFmt w:val="decimal"/>
      <w:start w:val="5"/>
    </w:lvl>
    <w:lvl w:ilvl="1">
      <w:lvlJc w:val="left"/>
      <w:lvlText w:val="(%2)"/>
      <w:numFmt w:val="lowerLetter"/>
      <w:start w:val="1"/>
    </w:lvl>
  </w:abstractNum>
  <w:abstractNum w:abstractNumId="83">
    <w:nsid w:val="3DB012B3"/>
    <w:multiLevelType w:val="hybridMultilevel"/>
    <w:lvl w:ilvl="0">
      <w:lvlJc w:val="left"/>
      <w:lvlText w:val="(%1)"/>
      <w:numFmt w:val="lowerLetter"/>
      <w:start w:val="1"/>
    </w:lvl>
  </w:abstractNum>
  <w:abstractNum w:abstractNumId="84">
    <w:nsid w:val="2708C9AF"/>
    <w:multiLevelType w:val="hybridMultilevel"/>
    <w:lvl w:ilvl="0">
      <w:lvlJc w:val="left"/>
      <w:lvlText w:val="(%1)"/>
      <w:numFmt w:val="lowerLetter"/>
      <w:start w:val="5"/>
    </w:lvl>
    <w:lvl w:ilvl="1">
      <w:lvlJc w:val="left"/>
      <w:lvlText w:val="(%2)"/>
      <w:numFmt w:val="lowerRoman"/>
      <w:start w:val="1"/>
    </w:lvl>
  </w:abstractNum>
  <w:abstractNum w:abstractNumId="85">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6">
    <w:nsid w:val="175DFCF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7">
    <w:nsid w:val="4F97E3E4"/>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88">
    <w:nsid w:val="53B0A9E"/>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89">
    <w:nsid w:val="34FD6B4F"/>
    <w:multiLevelType w:val="hybridMultilevel"/>
    <w:lvl w:ilvl="0">
      <w:lvlJc w:val="left"/>
      <w:lvlText w:val="(%1)"/>
      <w:numFmt w:val="lowerLetter"/>
      <w:start w:val="4"/>
    </w:lvl>
    <w:lvl w:ilvl="1">
      <w:lvlJc w:val="left"/>
      <w:lvlText w:val="(%2)"/>
      <w:numFmt w:val="lowerRoman"/>
      <w:start w:val="1"/>
    </w:lvl>
  </w:abstractNum>
  <w:abstractNum w:abstractNumId="90">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91">
    <w:nsid w:val="56438D1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92">
    <w:nsid w:val="519E314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3">
    <w:nsid w:val="2C6E4AFD"/>
    <w:multiLevelType w:val="hybridMultilevel"/>
    <w:lvl w:ilvl="0">
      <w:lvlJc w:val="left"/>
      <w:lvlText w:val="(%1)"/>
      <w:numFmt w:val="lowerLetter"/>
      <w:start w:val="2"/>
    </w:lvl>
  </w:abstractNum>
  <w:abstractNum w:abstractNumId="94">
    <w:nsid w:val="17A1B582"/>
    <w:multiLevelType w:val="hybridMultilevel"/>
    <w:lvl w:ilvl="0">
      <w:lvlJc w:val="left"/>
      <w:lvlText w:val="(%1)"/>
      <w:numFmt w:val="lowerLetter"/>
      <w:start w:val="4"/>
    </w:lvl>
    <w:lvl w:ilvl="1">
      <w:lvlJc w:val="left"/>
      <w:lvlText w:val="(%2)"/>
      <w:numFmt w:val="lowerRoman"/>
      <w:start w:val="1"/>
    </w:lvl>
  </w:abstractNum>
  <w:abstractNum w:abstractNumId="95">
    <w:nsid w:val="4DF72E4E"/>
    <w:multiLevelType w:val="hybridMultilevel"/>
    <w:lvl w:ilvl="0">
      <w:lvlJc w:val="left"/>
      <w:lvlText w:val="(%1)"/>
      <w:numFmt w:val="lowerRoman"/>
      <w:start w:val="4"/>
    </w:lvl>
  </w:abstractNum>
  <w:abstractNum w:abstractNumId="96">
    <w:nsid w:val="5046B5A9"/>
    <w:multiLevelType w:val="hybridMultilevel"/>
    <w:lvl w:ilvl="0">
      <w:lvlJc w:val="left"/>
      <w:lvlText w:val="%1"/>
      <w:numFmt w:val="decimal"/>
      <w:start w:val="1"/>
    </w:lvl>
    <w:lvl w:ilvl="1">
      <w:lvlJc w:val="left"/>
      <w:lvlText w:val="(%2)"/>
      <w:numFmt w:val="lowerLetter"/>
      <w:start w:val="6"/>
    </w:lvl>
  </w:abstractNum>
  <w:abstractNum w:abstractNumId="97">
    <w:nsid w:val="5D888A08"/>
    <w:multiLevelType w:val="hybridMultilevel"/>
    <w:lvl w:ilvl="0">
      <w:lvlJc w:val="left"/>
      <w:lvlText w:val="%1."/>
      <w:numFmt w:val="decimal"/>
      <w:start w:val="11"/>
    </w:lvl>
    <w:lvl w:ilvl="1">
      <w:lvlJc w:val="left"/>
      <w:lvlText w:val="%2"/>
      <w:numFmt w:val="lowerLetter"/>
      <w:start w:val="1"/>
    </w:lvl>
  </w:abstractNum>
  <w:abstractNum w:abstractNumId="98">
    <w:nsid w:val="2A082C70"/>
    <w:multiLevelType w:val="hybridMultilevel"/>
    <w:lvl w:ilvl="0">
      <w:lvlJc w:val="left"/>
      <w:lvlText w:val="%1."/>
      <w:numFmt w:val="decimal"/>
      <w:start w:val="12"/>
    </w:lvl>
    <w:lvl w:ilvl="1">
      <w:lvlJc w:val="left"/>
      <w:lvlText w:val="(%2)"/>
      <w:numFmt w:val="lowerLetter"/>
      <w:start w:val="1"/>
    </w:lvl>
  </w:abstractNum>
  <w:abstractNum w:abstractNumId="99">
    <w:nsid w:val="5EC6AFD4"/>
    <w:multiLevelType w:val="hybridMultilevel"/>
    <w:lvl w:ilvl="0">
      <w:lvlJc w:val="left"/>
      <w:lvlText w:val="%1"/>
      <w:numFmt w:val="decimal"/>
      <w:start w:val="1"/>
    </w:lvl>
    <w:lvl w:ilvl="1">
      <w:lvlJc w:val="left"/>
      <w:lvlText w:val="(%2)"/>
      <w:numFmt w:val="lowerLetter"/>
      <w:start w:val="3"/>
    </w:lvl>
  </w:abstractNum>
  <w:abstractNum w:abstractNumId="100">
    <w:nsid w:val="19E21BB2"/>
    <w:multiLevelType w:val="hybridMultilevel"/>
    <w:lvl w:ilvl="0">
      <w:lvlJc w:val="left"/>
      <w:lvlText w:val="%1."/>
      <w:numFmt w:val="decimal"/>
      <w:start w:val="14"/>
    </w:lvl>
    <w:lvl w:ilvl="1">
      <w:lvlJc w:val="left"/>
      <w:lvlText w:val="%2"/>
      <w:numFmt w:val="lowerLetter"/>
      <w:start w:val="1"/>
    </w:lvl>
  </w:abstractNum>
  <w:abstractNum w:abstractNumId="101">
    <w:nsid w:val="75E0858A"/>
    <w:multiLevelType w:val="hybridMultilevel"/>
    <w:lvl w:ilvl="0">
      <w:lvlJc w:val="left"/>
      <w:lvlText w:val="%1."/>
      <w:numFmt w:val="decimal"/>
      <w:start w:val="17"/>
    </w:lvl>
  </w:abstractNum>
  <w:abstractNum w:abstractNumId="102">
    <w:nsid w:val="57A61A29"/>
    <w:multiLevelType w:val="hybridMultilevel"/>
    <w:lvl w:ilvl="0">
      <w:lvlJc w:val="left"/>
      <w:lvlText w:val="%1."/>
      <w:numFmt w:val="decimal"/>
      <w:start w:val="22"/>
    </w:lvl>
  </w:abstractNum>
  <w:abstractNum w:abstractNumId="103">
    <w:nsid w:val="5399C654"/>
    <w:multiLevelType w:val="hybridMultilevel"/>
    <w:lvl w:ilvl="0">
      <w:lvlJc w:val="left"/>
      <w:lvlText w:val="%1."/>
      <w:numFmt w:val="decimal"/>
      <w:start w:val="26"/>
    </w:lvl>
  </w:abstractNum>
  <w:abstractNum w:abstractNumId="104">
    <w:nsid w:val="20EE1348"/>
    <w:multiLevelType w:val="hybridMultilevel"/>
    <w:lvl w:ilvl="0">
      <w:lvlJc w:val="left"/>
      <w:lvlText w:val="%1."/>
      <w:numFmt w:val="decimal"/>
      <w:start w:val="2"/>
    </w:lvl>
  </w:abstractNum>
  <w:abstractNum w:abstractNumId="105">
    <w:nsid w:val="4427069A"/>
    <w:multiLevelType w:val="hybridMultilevel"/>
    <w:lvl w:ilvl="0">
      <w:lvlJc w:val="left"/>
      <w:lvlText w:val="%1"/>
      <w:numFmt w:val="decimal"/>
      <w:start w:val="1"/>
    </w:lvl>
    <w:lvl w:ilvl="1">
      <w:lvlJc w:val="left"/>
      <w:lvlText w:val="(%2)"/>
      <w:numFmt w:val="lowerLetter"/>
      <w:start w:val="4"/>
    </w:lvl>
  </w:abstractNum>
  <w:abstractNum w:abstractNumId="106">
    <w:nsid w:val="B37E80A"/>
    <w:multiLevelType w:val="hybridMultilevel"/>
    <w:lvl w:ilvl="0">
      <w:lvlJc w:val="left"/>
      <w:lvlText w:val="%1."/>
      <w:numFmt w:val="decimal"/>
      <w:start w:val="2"/>
    </w:lvl>
    <w:lvl w:ilvl="1">
      <w:lvlJc w:val="left"/>
      <w:lvlText w:val="%2"/>
      <w:numFmt w:val="lowerLetter"/>
      <w:start w:val="1"/>
    </w:lvl>
  </w:abstractNum>
  <w:abstractNum w:abstractNumId="107">
    <w:nsid w:val="2157F6BC"/>
    <w:multiLevelType w:val="hybridMultilevel"/>
    <w:lvl w:ilvl="0">
      <w:lvlJc w:val="left"/>
      <w:lvlText w:val="%1."/>
      <w:numFmt w:val="decimal"/>
      <w:start w:val="4"/>
    </w:lvl>
  </w:abstractNum>
  <w:abstractNum w:abstractNumId="108">
    <w:nsid w:val="704E1DD5"/>
    <w:multiLevelType w:val="hybridMultilevel"/>
    <w:lvl w:ilvl="0">
      <w:lvlJc w:val="left"/>
      <w:lvlText w:val="%1"/>
      <w:numFmt w:val="decimal"/>
      <w:start w:val="1"/>
    </w:lvl>
    <w:lvl w:ilvl="1">
      <w:lvlJc w:val="left"/>
      <w:lvlText w:val="(%2)"/>
      <w:numFmt w:val="lowerLetter"/>
      <w:start w:val="4"/>
    </w:lvl>
  </w:abstractNum>
  <w:abstractNum w:abstractNumId="109">
    <w:nsid w:val="57D2F10E"/>
    <w:multiLevelType w:val="hybridMultilevel"/>
    <w:lvl w:ilvl="0">
      <w:lvlJc w:val="left"/>
      <w:lvlText w:val="%1."/>
      <w:numFmt w:val="decimal"/>
      <w:start w:val="3"/>
    </w:lvl>
    <w:lvl w:ilvl="1">
      <w:lvlJc w:val="left"/>
      <w:lvlText w:val="%2"/>
      <w:numFmt w:val="lowerLetter"/>
      <w:start w:val="1"/>
    </w:lvl>
  </w:abstractNum>
  <w:abstractNum w:abstractNumId="110">
    <w:nsid w:val="BFFAE18"/>
    <w:multiLevelType w:val="hybridMultilevel"/>
    <w:lvl w:ilvl="0">
      <w:lvlJc w:val="left"/>
      <w:lvlText w:val="%1"/>
      <w:numFmt w:val="decimal"/>
      <w:start w:val="1"/>
    </w:lvl>
    <w:lvl w:ilvl="1">
      <w:lvlJc w:val="left"/>
      <w:lvlText w:val="(%2)"/>
      <w:numFmt w:val="lowerRoman"/>
      <w:start w:val="3"/>
    </w:lvl>
  </w:abstractNum>
  <w:abstractNum w:abstractNumId="111">
    <w:nsid w:val="E3E47A8"/>
    <w:multiLevelType w:val="hybridMultilevel"/>
    <w:lvl w:ilvl="0">
      <w:lvlJc w:val="left"/>
      <w:lvlText w:val="%1."/>
      <w:numFmt w:val="decimal"/>
      <w:start w:val="4"/>
    </w:lvl>
    <w:lvl w:ilvl="1">
      <w:lvlJc w:val="left"/>
      <w:lvlText w:val="%2"/>
      <w:numFmt w:val="lowerRoman"/>
      <w:start w:val="1"/>
    </w:lvl>
  </w:abstractNum>
  <w:abstractNum w:abstractNumId="112">
    <w:nsid w:val="2E48F044"/>
    <w:multiLevelType w:val="hybridMultilevel"/>
    <w:lvl w:ilvl="0">
      <w:lvlJc w:val="left"/>
      <w:lvlText w:val="%1."/>
      <w:numFmt w:val="decimal"/>
      <w:start w:val="2"/>
    </w:lvl>
  </w:abstractNum>
  <w:abstractNum w:abstractNumId="113">
    <w:nsid w:val="49D0FEAC"/>
    <w:multiLevelType w:val="hybridMultilevel"/>
    <w:lvl w:ilvl="0">
      <w:lvlJc w:val="left"/>
      <w:lvlText w:val="%1."/>
      <w:numFmt w:val="decimal"/>
      <w:start w:val="1"/>
    </w:lvl>
  </w:abstractNum>
  <w:abstractNum w:abstractNumId="114">
    <w:nsid w:val="4BEE5A5B"/>
    <w:multiLevelType w:val="hybridMultilevel"/>
    <w:lvl w:ilvl="0">
      <w:lvlJc w:val="left"/>
      <w:lvlText w:val="%1."/>
      <w:numFmt w:val="decimal"/>
      <w:start w:val="5"/>
    </w:lvl>
    <w:lvl w:ilvl="1">
      <w:lvlJc w:val="left"/>
      <w:lvlText w:val="(%2)"/>
      <w:numFmt w:val="lowerLetter"/>
      <w:start w:val="1"/>
    </w:lvl>
  </w:abstractNum>
  <w:abstractNum w:abstractNumId="115">
    <w:nsid w:val="5551B9F3"/>
    <w:multiLevelType w:val="hybridMultilevel"/>
    <w:lvl w:ilvl="0">
      <w:lvlJc w:val="left"/>
      <w:lvlText w:val="%1."/>
      <w:numFmt w:val="decimal"/>
      <w:start w:val="7"/>
    </w:lvl>
    <w:lvl w:ilvl="1">
      <w:lvlJc w:val="left"/>
      <w:lvlText w:val="(%2)"/>
      <w:numFmt w:val="lowerLetter"/>
      <w:start w:val="1"/>
    </w:lvl>
  </w:abstractNum>
  <w:abstractNum w:abstractNumId="116">
    <w:nsid w:val="24F6AB8E"/>
    <w:multiLevelType w:val="hybridMultilevel"/>
    <w:lvl w:ilvl="0">
      <w:lvlJc w:val="left"/>
      <w:lvlText w:val="(%1)"/>
      <w:numFmt w:val="lowerLetter"/>
      <w:start w:val="5"/>
    </w:lvl>
  </w:abstractNum>
  <w:abstractNum w:abstractNumId="117">
    <w:nsid w:val="634C574C"/>
    <w:multiLevelType w:val="hybridMultilevel"/>
    <w:lvl w:ilvl="0">
      <w:lvlJc w:val="left"/>
      <w:lvlText w:val="(%1)"/>
      <w:numFmt w:val="lowerRoman"/>
      <w:start w:val="1"/>
    </w:lvl>
  </w:abstractNum>
  <w:abstractNum w:abstractNumId="118">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19">
    <w:nsid w:val="2A31B62D"/>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20">
    <w:nsid w:val="1849C29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21">
    <w:nsid w:val="7DFF9D09"/>
    <w:multiLevelType w:val="hybridMultilevel"/>
    <w:lvl w:ilvl="0">
      <w:lvlJc w:val="left"/>
      <w:lvlText w:val="(%1)"/>
      <w:numFmt w:val="lowerRoman"/>
      <w:start w:val="2"/>
    </w:lvl>
  </w:abstractNum>
  <w:abstractNum w:abstractNumId="122">
    <w:nsid w:val="754342"/>
    <w:multiLevelType w:val="hybridMultilevel"/>
    <w:lvl w:ilvl="0">
      <w:lvlJc w:val="left"/>
      <w:lvlText w:val="(%1)"/>
      <w:numFmt w:val="lowerRoman"/>
      <w:start w:val="4"/>
    </w:lvl>
    <w:lvl w:ilvl="1">
      <w:lvlJc w:val="left"/>
      <w:lvlText w:val="(%2)"/>
      <w:numFmt w:val="lowerLetter"/>
      <w:start w:val="1"/>
    </w:lvl>
  </w:abstractNum>
  <w:abstractNum w:abstractNumId="123">
    <w:nsid w:val="69E7F3E5"/>
    <w:multiLevelType w:val="hybridMultilevel"/>
    <w:lvl w:ilvl="0">
      <w:lvlJc w:val="left"/>
      <w:lvlText w:val="%1"/>
      <w:numFmt w:val="decimal"/>
      <w:start w:val="1"/>
    </w:lvl>
    <w:lvl w:ilvl="1">
      <w:lvlJc w:val="left"/>
      <w:lvlText w:val="(%2)"/>
      <w:numFmt w:val="lowerLetter"/>
      <w:start w:val="2"/>
    </w:lvl>
  </w:abstractNum>
  <w:abstractNum w:abstractNumId="124">
    <w:nsid w:val="2A6DE806"/>
    <w:multiLevelType w:val="hybridMultilevel"/>
    <w:lvl w:ilvl="0">
      <w:lvlJc w:val="left"/>
      <w:lvlText w:val="%1."/>
      <w:numFmt w:val="decimal"/>
      <w:start w:val="10"/>
    </w:lvl>
    <w:lvl w:ilvl="1">
      <w:lvlJc w:val="left"/>
      <w:lvlText w:val="%2"/>
      <w:numFmt w:val="lowerLetter"/>
      <w:start w:val="1"/>
    </w:lvl>
  </w:abstractNum>
  <w:abstractNum w:abstractNumId="125">
    <w:nsid w:val="1816F8C4"/>
    <w:multiLevelType w:val="hybridMultilevel"/>
    <w:lvl w:ilvl="0">
      <w:lvlJc w:val="left"/>
      <w:lvlText w:val="%1."/>
      <w:numFmt w:val="decimal"/>
      <w:start w:val="11"/>
    </w:lvl>
    <w:lvl w:ilvl="1">
      <w:lvlJc w:val="left"/>
      <w:lvlText w:val="(%2)"/>
      <w:numFmt w:val="lowerLetter"/>
      <w:start w:val="1"/>
    </w:lvl>
  </w:abstractNum>
  <w:abstractNum w:abstractNumId="126">
    <w:nsid w:val="37DF2233"/>
    <w:multiLevelType w:val="hybridMultilevel"/>
    <w:lvl w:ilvl="0">
      <w:lvlJc w:val="left"/>
      <w:lvlText w:val="%1"/>
      <w:numFmt w:val="decimal"/>
      <w:start w:val="1"/>
    </w:lvl>
    <w:lvl w:ilvl="1">
      <w:lvlJc w:val="left"/>
      <w:lvlText w:val="(%2)"/>
      <w:numFmt w:val="lowerLetter"/>
      <w:start w:val="2"/>
    </w:lvl>
  </w:abstractNum>
  <w:abstractNum w:abstractNumId="127">
    <w:nsid w:val="7AB49DAF"/>
    <w:multiLevelType w:val="hybridMultilevel"/>
    <w:lvl w:ilvl="0">
      <w:lvlJc w:val="left"/>
      <w:lvlText w:val="%1."/>
      <w:numFmt w:val="decimal"/>
      <w:start w:val="14"/>
    </w:lvl>
    <w:lvl w:ilvl="1">
      <w:lvlJc w:val="left"/>
      <w:lvlText w:val="%2"/>
      <w:numFmt w:val="lowerLetter"/>
      <w:start w:val="1"/>
    </w:lvl>
  </w:abstractNum>
  <w:abstractNum w:abstractNumId="128">
    <w:nsid w:val="759F82CD"/>
    <w:multiLevelType w:val="hybridMultilevel"/>
    <w:lvl w:ilvl="0">
      <w:lvlJc w:val="left"/>
      <w:lvlText w:val="%1."/>
      <w:numFmt w:val="decimal"/>
      <w:start w:val="16"/>
    </w:lvl>
  </w:abstractNum>
  <w:abstractNum w:abstractNumId="129">
    <w:nsid w:val="61E74EA3"/>
    <w:multiLevelType w:val="hybridMultilevel"/>
    <w:lvl w:ilvl="0">
      <w:lvlJc w:val="left"/>
      <w:lvlText w:val="%1."/>
      <w:numFmt w:val="decimal"/>
      <w:start w:val="21"/>
    </w:lvl>
  </w:abstractNum>
  <w:abstractNum w:abstractNumId="130">
    <w:nsid w:val="597B4D84"/>
    <w:multiLevelType w:val="hybridMultilevel"/>
    <w:lvl w:ilvl="0">
      <w:lvlJc w:val="left"/>
      <w:lvlText w:val="%1."/>
      <w:numFmt w:val="decimal"/>
      <w:start w:val="25"/>
    </w:lvl>
  </w:abstractNum>
  <w:abstractNum w:abstractNumId="131">
    <w:nsid w:val="F819E7F"/>
    <w:multiLevelType w:val="hybridMultilevel"/>
    <w:lvl w:ilvl="0">
      <w:lvlJc w:val="left"/>
      <w:lvlText w:val="%1."/>
      <w:numFmt w:val="decimal"/>
      <w:start w:val="26"/>
    </w:lvl>
  </w:abstractNum>
  <w:abstractNum w:abstractNumId="132">
    <w:nsid w:val="57C7D42D"/>
    <w:multiLevelType w:val="hybridMultilevel"/>
    <w:lvl w:ilvl="0">
      <w:lvlJc w:val="left"/>
      <w:lvlText w:val="%1."/>
      <w:numFmt w:val="decimal"/>
      <w:start w:val="1"/>
    </w:lvl>
  </w:abstractNum>
  <w:abstractNum w:abstractNumId="133">
    <w:nsid w:val="312167AD"/>
    <w:multiLevelType w:val="hybridMultilevel"/>
    <w:lvl w:ilvl="0">
      <w:lvlJc w:val="left"/>
      <w:lvlText w:val="%1."/>
      <w:numFmt w:val="decimal"/>
      <w:start w:val="5"/>
    </w:lvl>
    <w:lvl w:ilvl="1">
      <w:lvlJc w:val="left"/>
      <w:lvlText w:val="(%2)"/>
      <w:numFmt w:val="lowerLetter"/>
      <w:start w:val="1"/>
    </w:lvl>
  </w:abstractNum>
  <w:abstractNum w:abstractNumId="134">
    <w:nsid w:val="631B64D4"/>
    <w:multiLevelType w:val="hybridMultilevel"/>
    <w:lvl w:ilvl="0">
      <w:lvlJc w:val="left"/>
      <w:lvlText w:val="%1."/>
      <w:numFmt w:val="decimal"/>
      <w:start w:val="8"/>
    </w:lvl>
    <w:lvl w:ilvl="1">
      <w:lvlJc w:val="left"/>
      <w:lvlText w:val="(%2)"/>
      <w:numFmt w:val="lowerLetter"/>
      <w:start w:val="1"/>
    </w:lvl>
  </w:abstractNum>
  <w:abstractNum w:abstractNumId="135">
    <w:nsid w:val="78B5E776"/>
    <w:multiLevelType w:val="hybridMultilevel"/>
    <w:lvl w:ilvl="0">
      <w:lvlJc w:val="left"/>
      <w:lvlText w:val="(%1)"/>
      <w:numFmt w:val="lowerLetter"/>
      <w:start w:val="5"/>
    </w:lvl>
    <w:lvl w:ilvl="1">
      <w:lvlJc w:val="left"/>
      <w:lvlText w:val="(%2)"/>
      <w:numFmt w:val="lowerRoman"/>
      <w:start w:val="1"/>
    </w:lvl>
  </w:abstractNum>
  <w:abstractNum w:abstractNumId="136">
    <w:nsid w:val="75486E4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7">
    <w:nsid w:val="6E534CD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38">
    <w:nsid w:val="1A0DDE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9">
    <w:nsid w:val="65968C1C"/>
    <w:multiLevelType w:val="hybridMultilevel"/>
    <w:lvl w:ilvl="0">
      <w:lvlJc w:val="left"/>
      <w:lvlText w:val="(%1)"/>
      <w:numFmt w:val="lowerLetter"/>
      <w:start w:val="3"/>
    </w:lvl>
    <w:lvl w:ilvl="1">
      <w:lvlJc w:val="left"/>
      <w:lvlText w:val="(%2)"/>
      <w:numFmt w:val="lowerRoman"/>
      <w:start w:val="1"/>
    </w:lvl>
  </w:abstractNum>
  <w:abstractNum w:abstractNumId="140">
    <w:nsid w:val="46263D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41">
    <w:nsid w:val="260D8C4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42">
    <w:nsid w:val="73D4D3C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3">
    <w:nsid w:val="746F2E30"/>
    <w:multiLevelType w:val="hybridMultilevel"/>
    <w:lvl w:ilvl="0">
      <w:lvlJc w:val="left"/>
      <w:lvlText w:val="(%1)"/>
      <w:numFmt w:val="lowerLetter"/>
      <w:start w:val="2"/>
    </w:lvl>
  </w:abstractNum>
  <w:abstractNum w:abstractNumId="144">
    <w:nsid w:val="6FDE8AF6"/>
    <w:multiLevelType w:val="hybridMultilevel"/>
    <w:lvl w:ilvl="0">
      <w:lvlJc w:val="left"/>
      <w:lvlText w:val="(%1)"/>
      <w:numFmt w:val="lowerLetter"/>
      <w:start w:val="4"/>
    </w:lvl>
    <w:lvl w:ilvl="1">
      <w:lvlJc w:val="left"/>
      <w:lvlText w:val="(%2)"/>
      <w:numFmt w:val="lowerRoman"/>
      <w:start w:val="1"/>
    </w:lvl>
  </w:abstractNum>
  <w:abstractNum w:abstractNumId="145">
    <w:nsid w:val="3FC32E20"/>
    <w:multiLevelType w:val="hybridMultilevel"/>
    <w:lvl w:ilvl="0">
      <w:lvlJc w:val="left"/>
      <w:lvlText w:val="(%1)"/>
      <w:numFmt w:val="lowerRoman"/>
      <w:start w:val="4"/>
    </w:lvl>
  </w:abstractNum>
  <w:abstractNum w:abstractNumId="146">
    <w:nsid w:val="49C0E823"/>
    <w:multiLevelType w:val="hybridMultilevel"/>
    <w:lvl w:ilvl="0">
      <w:lvlJc w:val="left"/>
      <w:lvlText w:val="%1"/>
      <w:numFmt w:val="decimal"/>
      <w:start w:val="1"/>
    </w:lvl>
    <w:lvl w:ilvl="1">
      <w:lvlJc w:val="left"/>
      <w:lvlText w:val="(%2)"/>
      <w:numFmt w:val="lowerLetter"/>
      <w:start w:val="6"/>
    </w:lvl>
  </w:abstractNum>
  <w:abstractNum w:abstractNumId="147">
    <w:nsid w:val="14D53685"/>
    <w:multiLevelType w:val="hybridMultilevel"/>
    <w:lvl w:ilvl="0">
      <w:lvlJc w:val="left"/>
      <w:lvlText w:val="%1."/>
      <w:numFmt w:val="decimal"/>
      <w:start w:val="11"/>
    </w:lvl>
    <w:lvl w:ilvl="1">
      <w:lvlJc w:val="left"/>
      <w:lvlText w:val="%2"/>
      <w:numFmt w:val="lowerLetter"/>
      <w:start w:val="1"/>
    </w:lvl>
  </w:abstractNum>
  <w:abstractNum w:abstractNumId="148">
    <w:nsid w:val="230F856C"/>
    <w:multiLevelType w:val="hybridMultilevel"/>
    <w:lvl w:ilvl="0">
      <w:lvlJc w:val="left"/>
      <w:lvlText w:val="%1."/>
      <w:numFmt w:val="decimal"/>
      <w:start w:val="12"/>
    </w:lvl>
    <w:lvl w:ilvl="1">
      <w:lvlJc w:val="left"/>
      <w:lvlText w:val="(%2)"/>
      <w:numFmt w:val="lowerLetter"/>
      <w:start w:val="1"/>
    </w:lvl>
  </w:abstractNum>
  <w:abstractNum w:abstractNumId="149">
    <w:nsid w:val="6EAA85FB"/>
    <w:multiLevelType w:val="hybridMultilevel"/>
    <w:lvl w:ilvl="0">
      <w:lvlJc w:val="left"/>
      <w:lvlText w:val="%1"/>
      <w:numFmt w:val="decimal"/>
      <w:start w:val="1"/>
    </w:lvl>
    <w:lvl w:ilvl="1">
      <w:lvlJc w:val="left"/>
      <w:lvlText w:val="(%2)"/>
      <w:numFmt w:val="lowerLetter"/>
      <w:start w:val="3"/>
    </w:lvl>
  </w:abstractNum>
  <w:abstractNum w:abstractNumId="150">
    <w:nsid w:val="3F06ECB2"/>
    <w:multiLevelType w:val="hybridMultilevel"/>
    <w:lvl w:ilvl="0">
      <w:lvlJc w:val="left"/>
      <w:lvlText w:val="%1."/>
      <w:numFmt w:val="decimal"/>
      <w:start w:val="14"/>
    </w:lvl>
    <w:lvl w:ilvl="1">
      <w:lvlJc w:val="left"/>
      <w:lvlText w:val="%2"/>
      <w:numFmt w:val="lowerLetter"/>
      <w:start w:val="1"/>
    </w:lvl>
  </w:abstractNum>
  <w:abstractNum w:abstractNumId="151">
    <w:nsid w:val="3B594807"/>
    <w:multiLevelType w:val="hybridMultilevel"/>
    <w:lvl w:ilvl="0">
      <w:lvlJc w:val="left"/>
      <w:lvlText w:val="%1."/>
      <w:numFmt w:val="decimal"/>
      <w:start w:val="17"/>
    </w:lvl>
  </w:abstractNum>
  <w:abstractNum w:abstractNumId="152">
    <w:nsid w:val="6CAA2304"/>
    <w:multiLevelType w:val="hybridMultilevel"/>
    <w:lvl w:ilvl="0">
      <w:lvlJc w:val="left"/>
      <w:lvlText w:val="%1."/>
      <w:numFmt w:val="decimal"/>
      <w:start w:val="22"/>
    </w:lvl>
  </w:abstractNum>
  <w:abstractNum w:abstractNumId="153">
    <w:nsid w:val="3F7C2FF4"/>
    <w:multiLevelType w:val="hybridMultilevel"/>
    <w:lvl w:ilvl="0">
      <w:lvlJc w:val="left"/>
      <w:lvlText w:val="%1."/>
      <w:numFmt w:val="decimal"/>
      <w:start w:val="26"/>
    </w:lvl>
  </w:abstractNum>
  <w:abstractNum w:abstractNumId="154">
    <w:nsid w:val="25413BEC"/>
    <w:multiLevelType w:val="hybridMultilevel"/>
    <w:lvl w:ilvl="0">
      <w:lvlJc w:val="left"/>
      <w:lvlText w:val="%1."/>
      <w:numFmt w:val="decimal"/>
      <w:start w:val="2"/>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2019-12-11T01:05:18Z</dcterms:created>
  <dcterms:modified xsi:type="dcterms:W3CDTF">2019-12-11T01:05:18Z</dcterms:modified>
</cp:coreProperties>
</file>