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399415</wp:posOffset>
            </wp:positionV>
            <wp:extent cx="71577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698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371475</wp:posOffset>
            </wp:positionV>
            <wp:extent cx="71577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3"/>
        <w:spacing w:after="0"/>
        <w:rPr>
          <w:sz w:val="20"/>
          <w:szCs w:val="20"/>
          <w:color w:val="auto"/>
        </w:rPr>
      </w:pPr>
      <w:r>
        <w:rPr>
          <w:rFonts w:ascii="Arial" w:cs="Arial" w:eastAsia="Arial" w:hAnsi="Arial"/>
          <w:sz w:val="23"/>
          <w:szCs w:val="23"/>
          <w:b w:val="1"/>
          <w:bCs w:val="1"/>
          <w:color w:val="auto"/>
        </w:rPr>
        <w:t>UNITED STATES</w:t>
      </w:r>
    </w:p>
    <w:p>
      <w:pPr>
        <w:spacing w:after="0" w:line="36" w:lineRule="exact"/>
        <w:rPr>
          <w:sz w:val="24"/>
          <w:szCs w:val="24"/>
          <w:color w:val="auto"/>
        </w:rPr>
      </w:pPr>
    </w:p>
    <w:p>
      <w:pPr>
        <w:jc w:val="center"/>
        <w:ind w:right="-13"/>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2399665</wp:posOffset>
            </wp:positionH>
            <wp:positionV relativeFrom="paragraph">
              <wp:posOffset>54610</wp:posOffset>
            </wp:positionV>
            <wp:extent cx="23856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160" w:lineRule="exact"/>
        <w:rPr>
          <w:sz w:val="24"/>
          <w:szCs w:val="24"/>
          <w:color w:val="auto"/>
        </w:rPr>
      </w:pPr>
    </w:p>
    <w:p>
      <w:pPr>
        <w:jc w:val="center"/>
        <w:ind w:right="-13"/>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2399665</wp:posOffset>
            </wp:positionH>
            <wp:positionV relativeFrom="paragraph">
              <wp:posOffset>85725</wp:posOffset>
            </wp:positionV>
            <wp:extent cx="23856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214" w:lineRule="exact"/>
        <w:rPr>
          <w:sz w:val="24"/>
          <w:szCs w:val="24"/>
          <w:color w:val="auto"/>
        </w:rPr>
      </w:pPr>
    </w:p>
    <w:p>
      <w:pPr>
        <w:ind w:left="14"/>
        <w:spacing w:after="0"/>
        <w:rPr>
          <w:sz w:val="20"/>
          <w:szCs w:val="20"/>
          <w:color w:val="auto"/>
        </w:rPr>
      </w:pPr>
      <w:r>
        <w:rPr>
          <w:rFonts w:ascii="Arial" w:cs="Arial" w:eastAsia="Arial" w:hAnsi="Arial"/>
          <w:sz w:val="15"/>
          <w:szCs w:val="15"/>
          <w:color w:val="auto"/>
        </w:rPr>
        <w:t>(Mark One)</w:t>
      </w:r>
    </w:p>
    <w:p>
      <w:pPr>
        <w:spacing w:after="0" w:line="145" w:lineRule="exact"/>
        <w:rPr>
          <w:sz w:val="24"/>
          <w:szCs w:val="24"/>
          <w:color w:val="auto"/>
        </w:rPr>
      </w:pPr>
    </w:p>
    <w:p>
      <w:pPr>
        <w:ind w:left="474" w:hanging="438"/>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7" w:lineRule="exact"/>
        <w:rPr>
          <w:sz w:val="24"/>
          <w:szCs w:val="24"/>
          <w:color w:val="auto"/>
        </w:rPr>
      </w:pPr>
    </w:p>
    <w:p>
      <w:pPr>
        <w:jc w:val="center"/>
        <w:ind w:right="-13"/>
        <w:spacing w:after="0"/>
        <w:rPr>
          <w:sz w:val="20"/>
          <w:szCs w:val="20"/>
          <w:color w:val="auto"/>
        </w:rPr>
      </w:pPr>
      <w:r>
        <w:rPr>
          <w:rFonts w:ascii="Arial" w:cs="Arial" w:eastAsia="Arial" w:hAnsi="Arial"/>
          <w:sz w:val="15"/>
          <w:szCs w:val="15"/>
          <w:b w:val="1"/>
          <w:bCs w:val="1"/>
          <w:color w:val="auto"/>
        </w:rPr>
        <w:t>For the quarterly period ended June 30, 2021</w:t>
      </w:r>
    </w:p>
    <w:p>
      <w:pPr>
        <w:spacing w:after="0" w:line="69" w:lineRule="exact"/>
        <w:rPr>
          <w:sz w:val="24"/>
          <w:szCs w:val="24"/>
          <w:color w:val="auto"/>
        </w:rPr>
      </w:pPr>
    </w:p>
    <w:p>
      <w:pPr>
        <w:jc w:val="center"/>
        <w:ind w:right="-13"/>
        <w:spacing w:after="0"/>
        <w:rPr>
          <w:sz w:val="20"/>
          <w:szCs w:val="20"/>
          <w:color w:val="auto"/>
        </w:rPr>
      </w:pPr>
      <w:r>
        <w:rPr>
          <w:rFonts w:ascii="Arial" w:cs="Arial" w:eastAsia="Arial" w:hAnsi="Arial"/>
          <w:sz w:val="15"/>
          <w:szCs w:val="15"/>
          <w:b w:val="1"/>
          <w:bCs w:val="1"/>
          <w:color w:val="auto"/>
        </w:rPr>
        <w:t>OR</w:t>
      </w:r>
    </w:p>
    <w:p>
      <w:pPr>
        <w:spacing w:after="0" w:line="259" w:lineRule="exact"/>
        <w:rPr>
          <w:sz w:val="24"/>
          <w:szCs w:val="24"/>
          <w:color w:val="auto"/>
        </w:rPr>
      </w:pPr>
    </w:p>
    <w:p>
      <w:pPr>
        <w:ind w:left="474" w:hanging="474"/>
        <w:spacing w:after="0"/>
        <w:tabs>
          <w:tab w:leader="none" w:pos="47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tbl>
      <w:tblPr>
        <w:tblLayout w:type="fixed"/>
        <w:tblInd w:w="1014"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88"/>
              </w:rPr>
              <w:t>Commission File Number: 001-32630</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99"/>
        </w:trPr>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gridSpan w:val="2"/>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493"/>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40" w:type="dxa"/>
            <w:vAlign w:val="bottom"/>
            <w:gridSpan w:val="8"/>
          </w:tcPr>
          <w:p>
            <w:pPr>
              <w:jc w:val="center"/>
              <w:ind w:right="1140"/>
              <w:spacing w:after="0"/>
              <w:rPr>
                <w:sz w:val="20"/>
                <w:szCs w:val="20"/>
                <w:color w:val="auto"/>
              </w:rPr>
            </w:pPr>
            <w:r>
              <w:rPr>
                <w:rFonts w:ascii="Arial" w:cs="Arial" w:eastAsia="Arial" w:hAnsi="Arial"/>
                <w:sz w:val="32"/>
                <w:szCs w:val="32"/>
                <w:b w:val="1"/>
                <w:bCs w:val="1"/>
                <w:color w:val="auto"/>
              </w:rPr>
              <w:t>FIDELITY NATIONAL FINANCIAL, INC.</w:t>
            </w:r>
          </w:p>
        </w:tc>
      </w:tr>
      <w:tr>
        <w:trPr>
          <w:trHeight w:val="190"/>
        </w:trPr>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900" w:type="dxa"/>
            <w:vAlign w:val="bottom"/>
            <w:gridSpan w:val="3"/>
          </w:tcPr>
          <w:p>
            <w:pPr>
              <w:jc w:val="center"/>
              <w:ind w:left="397"/>
              <w:spacing w:after="0"/>
              <w:rPr>
                <w:sz w:val="20"/>
                <w:szCs w:val="20"/>
                <w:color w:val="auto"/>
              </w:rPr>
            </w:pPr>
            <w:r>
              <w:rPr>
                <w:rFonts w:ascii="Arial" w:cs="Arial" w:eastAsia="Arial" w:hAnsi="Arial"/>
                <w:sz w:val="15"/>
                <w:szCs w:val="15"/>
                <w:b w:val="1"/>
                <w:bCs w:val="1"/>
                <w:color w:val="auto"/>
                <w:w w:val="87"/>
              </w:rPr>
              <w:t>(Exact name of registrant as specified in its charter)</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99"/>
        </w:trPr>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303"/>
        </w:trPr>
        <w:tc>
          <w:tcPr>
            <w:tcW w:w="2460" w:type="dxa"/>
            <w:vAlign w:val="bottom"/>
            <w:gridSpan w:val="4"/>
          </w:tcPr>
          <w:p>
            <w:pPr>
              <w:jc w:val="center"/>
              <w:ind w:right="920"/>
              <w:spacing w:after="0"/>
              <w:rPr>
                <w:sz w:val="20"/>
                <w:szCs w:val="20"/>
                <w:color w:val="auto"/>
              </w:rPr>
            </w:pPr>
            <w:r>
              <w:rPr>
                <w:rFonts w:ascii="Arial" w:cs="Arial" w:eastAsia="Arial" w:hAnsi="Arial"/>
                <w:sz w:val="15"/>
                <w:szCs w:val="15"/>
                <w:b w:val="1"/>
                <w:bCs w:val="1"/>
                <w:color w:val="auto"/>
                <w:w w:val="87"/>
              </w:rPr>
              <w:t>Delaware</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gridSpan w:val="3"/>
          </w:tcPr>
          <w:p>
            <w:pPr>
              <w:jc w:val="center"/>
              <w:ind w:left="1637"/>
              <w:spacing w:after="0"/>
              <w:rPr>
                <w:sz w:val="20"/>
                <w:szCs w:val="20"/>
                <w:color w:val="auto"/>
              </w:rPr>
            </w:pPr>
            <w:r>
              <w:rPr>
                <w:rFonts w:ascii="Arial" w:cs="Arial" w:eastAsia="Arial" w:hAnsi="Arial"/>
                <w:sz w:val="15"/>
                <w:szCs w:val="15"/>
                <w:b w:val="1"/>
                <w:bCs w:val="1"/>
                <w:color w:val="auto"/>
                <w:w w:val="89"/>
              </w:rPr>
              <w:t>16-1725106</w:t>
            </w:r>
          </w:p>
        </w:tc>
      </w:tr>
      <w:tr>
        <w:trPr>
          <w:trHeight w:val="116"/>
        </w:trPr>
        <w:tc>
          <w:tcPr>
            <w:tcW w:w="2460" w:type="dxa"/>
            <w:vAlign w:val="bottom"/>
            <w:gridSpan w:val="4"/>
          </w:tcPr>
          <w:p>
            <w:pPr>
              <w:jc w:val="center"/>
              <w:ind w:right="920"/>
              <w:spacing w:after="0" w:line="117" w:lineRule="exact"/>
              <w:rPr>
                <w:sz w:val="20"/>
                <w:szCs w:val="20"/>
                <w:color w:val="auto"/>
              </w:rPr>
            </w:pPr>
            <w:r>
              <w:rPr>
                <w:rFonts w:ascii="Arial" w:cs="Arial" w:eastAsia="Arial" w:hAnsi="Arial"/>
                <w:sz w:val="12"/>
                <w:szCs w:val="12"/>
                <w:b w:val="1"/>
                <w:bCs w:val="1"/>
                <w:color w:val="auto"/>
                <w:w w:val="88"/>
              </w:rPr>
              <w:t>(State or other jurisdiction of</w:t>
            </w: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40" w:type="dxa"/>
            <w:vAlign w:val="bottom"/>
            <w:gridSpan w:val="2"/>
          </w:tcPr>
          <w:p>
            <w:pPr>
              <w:jc w:val="center"/>
              <w:ind w:left="461"/>
              <w:spacing w:after="0" w:line="117" w:lineRule="exact"/>
              <w:rPr>
                <w:sz w:val="20"/>
                <w:szCs w:val="20"/>
                <w:color w:val="auto"/>
              </w:rPr>
            </w:pPr>
            <w:r>
              <w:rPr>
                <w:rFonts w:ascii="Arial" w:cs="Arial" w:eastAsia="Arial" w:hAnsi="Arial"/>
                <w:sz w:val="12"/>
                <w:szCs w:val="12"/>
                <w:b w:val="1"/>
                <w:bCs w:val="1"/>
                <w:color w:val="auto"/>
                <w:w w:val="91"/>
              </w:rPr>
              <w:t>(I.R.S. Employer</w:t>
            </w:r>
          </w:p>
        </w:tc>
      </w:tr>
      <w:tr>
        <w:trPr>
          <w:trHeight w:val="150"/>
        </w:trPr>
        <w:tc>
          <w:tcPr>
            <w:tcW w:w="2460" w:type="dxa"/>
            <w:vAlign w:val="bottom"/>
            <w:gridSpan w:val="4"/>
          </w:tcPr>
          <w:p>
            <w:pPr>
              <w:jc w:val="center"/>
              <w:ind w:right="920"/>
              <w:spacing w:after="0"/>
              <w:rPr>
                <w:sz w:val="20"/>
                <w:szCs w:val="20"/>
                <w:color w:val="auto"/>
              </w:rPr>
            </w:pPr>
            <w:r>
              <w:rPr>
                <w:rFonts w:ascii="Arial" w:cs="Arial" w:eastAsia="Arial" w:hAnsi="Arial"/>
                <w:sz w:val="12"/>
                <w:szCs w:val="12"/>
                <w:b w:val="1"/>
                <w:bCs w:val="1"/>
                <w:color w:val="auto"/>
                <w:w w:val="89"/>
              </w:rPr>
              <w:t>incorporation or organization)</w:t>
            </w: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gridSpan w:val="2"/>
          </w:tcPr>
          <w:p>
            <w:pPr>
              <w:jc w:val="center"/>
              <w:ind w:left="461"/>
              <w:spacing w:after="0"/>
              <w:rPr>
                <w:sz w:val="20"/>
                <w:szCs w:val="20"/>
                <w:color w:val="auto"/>
              </w:rPr>
            </w:pPr>
            <w:r>
              <w:rPr>
                <w:rFonts w:ascii="Arial" w:cs="Arial" w:eastAsia="Arial" w:hAnsi="Arial"/>
                <w:sz w:val="12"/>
                <w:szCs w:val="12"/>
                <w:b w:val="1"/>
                <w:bCs w:val="1"/>
                <w:color w:val="auto"/>
                <w:w w:val="90"/>
              </w:rPr>
              <w:t>Identification No.)</w:t>
            </w:r>
          </w:p>
        </w:tc>
      </w:tr>
      <w:tr>
        <w:trPr>
          <w:trHeight w:val="231"/>
        </w:trPr>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92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86"/>
              </w:rPr>
              <w:t>601 Riverside Avenue</w:t>
            </w: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73"/>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2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88"/>
              </w:rPr>
              <w:t>Jacksonville, Florida, 32204</w:t>
            </w: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50"/>
        </w:trPr>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900" w:type="dxa"/>
            <w:vAlign w:val="bottom"/>
            <w:gridSpan w:val="3"/>
          </w:tcPr>
          <w:p>
            <w:pPr>
              <w:jc w:val="center"/>
              <w:ind w:left="417"/>
              <w:spacing w:after="0"/>
              <w:rPr>
                <w:sz w:val="20"/>
                <w:szCs w:val="20"/>
                <w:color w:val="auto"/>
              </w:rPr>
            </w:pPr>
            <w:r>
              <w:rPr>
                <w:rFonts w:ascii="Arial" w:cs="Arial" w:eastAsia="Arial" w:hAnsi="Arial"/>
                <w:sz w:val="12"/>
                <w:szCs w:val="12"/>
                <w:b w:val="1"/>
                <w:bCs w:val="1"/>
                <w:color w:val="auto"/>
                <w:w w:val="86"/>
              </w:rPr>
              <w:t>(Address of principal executive offices, including zip code)</w:t>
            </w: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73"/>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gridSpan w:val="3"/>
          </w:tcPr>
          <w:p>
            <w:pPr>
              <w:jc w:val="center"/>
              <w:ind w:left="397"/>
              <w:spacing w:after="0"/>
              <w:rPr>
                <w:sz w:val="20"/>
                <w:szCs w:val="20"/>
                <w:color w:val="auto"/>
              </w:rPr>
            </w:pPr>
            <w:r>
              <w:rPr>
                <w:rFonts w:ascii="Arial" w:cs="Arial" w:eastAsia="Arial" w:hAnsi="Arial"/>
                <w:sz w:val="15"/>
                <w:szCs w:val="15"/>
                <w:b w:val="1"/>
                <w:bCs w:val="1"/>
                <w:color w:val="auto"/>
                <w:w w:val="89"/>
              </w:rPr>
              <w:t>(904) 854-8100</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7"/>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00" w:type="dxa"/>
            <w:vAlign w:val="bottom"/>
            <w:gridSpan w:val="3"/>
          </w:tcPr>
          <w:p>
            <w:pPr>
              <w:jc w:val="center"/>
              <w:ind w:left="397"/>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30"/>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gridSpan w:val="3"/>
          </w:tcPr>
          <w:p>
            <w:pPr>
              <w:jc w:val="center"/>
              <w:ind w:left="417"/>
              <w:spacing w:after="0"/>
              <w:rPr>
                <w:sz w:val="20"/>
                <w:szCs w:val="20"/>
                <w:color w:val="auto"/>
              </w:rPr>
            </w:pPr>
            <w:r>
              <w:rPr>
                <w:rFonts w:ascii="Arial" w:cs="Arial" w:eastAsia="Arial" w:hAnsi="Arial"/>
                <w:sz w:val="12"/>
                <w:szCs w:val="12"/>
                <w:b w:val="1"/>
                <w:bCs w:val="1"/>
                <w:color w:val="auto"/>
                <w:w w:val="86"/>
              </w:rPr>
              <w:t>Securities registered pursuant to Section 12(b) of the Act:</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2"/>
        </w:trPr>
        <w:tc>
          <w:tcPr>
            <w:tcW w:w="500" w:type="dxa"/>
            <w:vAlign w:val="bottom"/>
          </w:tcPr>
          <w:p>
            <w:pPr>
              <w:spacing w:after="0"/>
              <w:rPr>
                <w:sz w:val="12"/>
                <w:szCs w:val="12"/>
                <w:color w:val="auto"/>
              </w:rPr>
            </w:pPr>
          </w:p>
        </w:tc>
        <w:tc>
          <w:tcPr>
            <w:tcW w:w="19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8"/>
              </w:rPr>
              <w:t>Title of Each Class</w:t>
            </w:r>
          </w:p>
        </w:tc>
        <w:tc>
          <w:tcPr>
            <w:tcW w:w="3900" w:type="dxa"/>
            <w:vAlign w:val="bottom"/>
            <w:gridSpan w:val="3"/>
          </w:tcPr>
          <w:p>
            <w:pPr>
              <w:jc w:val="center"/>
              <w:ind w:right="1140"/>
              <w:spacing w:after="0"/>
              <w:rPr>
                <w:sz w:val="20"/>
                <w:szCs w:val="20"/>
                <w:color w:val="auto"/>
              </w:rPr>
            </w:pPr>
            <w:r>
              <w:rPr>
                <w:rFonts w:ascii="Arial" w:cs="Arial" w:eastAsia="Arial" w:hAnsi="Arial"/>
                <w:sz w:val="12"/>
                <w:szCs w:val="12"/>
                <w:b w:val="1"/>
                <w:bCs w:val="1"/>
                <w:color w:val="auto"/>
                <w:w w:val="88"/>
              </w:rPr>
              <w:t>Trading Symbol</w:t>
            </w:r>
          </w:p>
        </w:tc>
        <w:tc>
          <w:tcPr>
            <w:tcW w:w="26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20"/>
        </w:trPr>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2460" w:type="dxa"/>
            <w:vAlign w:val="bottom"/>
            <w:gridSpan w:val="4"/>
          </w:tcPr>
          <w:p>
            <w:pPr>
              <w:jc w:val="center"/>
              <w:ind w:right="500"/>
              <w:spacing w:after="0"/>
              <w:rPr>
                <w:sz w:val="20"/>
                <w:szCs w:val="20"/>
                <w:color w:val="auto"/>
              </w:rPr>
            </w:pPr>
            <w:r>
              <w:rPr>
                <w:rFonts w:ascii="Arial" w:cs="Arial" w:eastAsia="Arial" w:hAnsi="Arial"/>
                <w:sz w:val="12"/>
                <w:szCs w:val="12"/>
                <w:color w:val="auto"/>
                <w:w w:val="88"/>
              </w:rPr>
              <w:t>FNF Common Stock, $0.0001 par value</w:t>
            </w:r>
          </w:p>
        </w:tc>
        <w:tc>
          <w:tcPr>
            <w:tcW w:w="980" w:type="dxa"/>
            <w:vAlign w:val="bottom"/>
          </w:tcPr>
          <w:p>
            <w:pPr>
              <w:spacing w:after="0"/>
              <w:rPr>
                <w:sz w:val="13"/>
                <w:szCs w:val="13"/>
                <w:color w:val="auto"/>
              </w:rPr>
            </w:pPr>
          </w:p>
        </w:tc>
        <w:tc>
          <w:tcPr>
            <w:tcW w:w="2920" w:type="dxa"/>
            <w:vAlign w:val="bottom"/>
            <w:gridSpan w:val="2"/>
          </w:tcPr>
          <w:p>
            <w:pPr>
              <w:jc w:val="center"/>
              <w:ind w:right="2120"/>
              <w:spacing w:after="0"/>
              <w:rPr>
                <w:sz w:val="20"/>
                <w:szCs w:val="20"/>
                <w:color w:val="auto"/>
              </w:rPr>
            </w:pPr>
            <w:r>
              <w:rPr>
                <w:rFonts w:ascii="Arial" w:cs="Arial" w:eastAsia="Arial" w:hAnsi="Arial"/>
                <w:sz w:val="12"/>
                <w:szCs w:val="12"/>
                <w:color w:val="auto"/>
                <w:w w:val="85"/>
              </w:rPr>
              <w:t>FNF</w:t>
            </w:r>
          </w:p>
        </w:tc>
        <w:tc>
          <w:tcPr>
            <w:tcW w:w="2620" w:type="dxa"/>
            <w:vAlign w:val="bottom"/>
            <w:gridSpan w:val="3"/>
          </w:tcPr>
          <w:p>
            <w:pPr>
              <w:jc w:val="center"/>
              <w:ind w:right="320"/>
              <w:spacing w:after="0"/>
              <w:rPr>
                <w:sz w:val="20"/>
                <w:szCs w:val="20"/>
                <w:color w:val="auto"/>
              </w:rPr>
            </w:pPr>
            <w:r>
              <w:rPr>
                <w:rFonts w:ascii="Arial" w:cs="Arial" w:eastAsia="Arial" w:hAnsi="Arial"/>
                <w:sz w:val="12"/>
                <w:szCs w:val="12"/>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1758315</wp:posOffset>
            </wp:positionH>
            <wp:positionV relativeFrom="paragraph">
              <wp:posOffset>76200</wp:posOffset>
            </wp:positionV>
            <wp:extent cx="36696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9665" cy="6985"/>
                    </a:xfrm>
                    <a:prstGeom prst="rect">
                      <a:avLst/>
                    </a:prstGeom>
                    <a:noFill/>
                  </pic:spPr>
                </pic:pic>
              </a:graphicData>
            </a:graphic>
          </wp:anchor>
        </w:drawing>
      </w:r>
    </w:p>
    <w:p>
      <w:pPr>
        <w:spacing w:after="0" w:line="205" w:lineRule="exact"/>
        <w:rPr>
          <w:sz w:val="24"/>
          <w:szCs w:val="24"/>
          <w:color w:val="auto"/>
        </w:rPr>
      </w:pPr>
    </w:p>
    <w:p>
      <w:pPr>
        <w:ind w:left="14"/>
        <w:spacing w:after="0" w:line="19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2"/>
          <w:szCs w:val="12"/>
          <w:color w:val="auto"/>
        </w:rPr>
        <w:t xml:space="preserve"> or No </w:t>
      </w:r>
      <w:r>
        <w:rPr>
          <w:rFonts w:ascii="MS PGothic" w:cs="MS PGothic" w:eastAsia="MS PGothic" w:hAnsi="MS PGothic"/>
          <w:sz w:val="17"/>
          <w:szCs w:val="17"/>
          <w:color w:val="auto"/>
        </w:rPr>
        <w:t>☐</w:t>
      </w:r>
    </w:p>
    <w:p>
      <w:pPr>
        <w:spacing w:after="0" w:line="32" w:lineRule="exact"/>
        <w:rPr>
          <w:sz w:val="24"/>
          <w:szCs w:val="24"/>
          <w:color w:val="auto"/>
        </w:rPr>
      </w:pPr>
    </w:p>
    <w:p>
      <w:pPr>
        <w:ind w:left="14"/>
        <w:spacing w:after="0" w:line="199" w:lineRule="exact"/>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w:t>
      </w:r>
      <w:r>
        <w:rPr>
          <w:rFonts w:ascii="Arial" w:cs="Arial" w:eastAsia="Arial" w:hAnsi="Arial"/>
          <w:sz w:val="13"/>
          <w:szCs w:val="13"/>
          <w:color w:val="auto"/>
        </w:rPr>
        <w:t>§</w:t>
      </w:r>
      <w:r>
        <w:rPr>
          <w:rFonts w:ascii="Arial" w:cs="Arial" w:eastAsia="Arial" w:hAnsi="Arial"/>
          <w:sz w:val="12"/>
          <w:szCs w:val="12"/>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2"/>
          <w:szCs w:val="12"/>
          <w:color w:val="auto"/>
        </w:rPr>
        <w:t xml:space="preserve"> or No</w:t>
      </w:r>
      <w:r>
        <w:rPr>
          <w:rFonts w:ascii="MS PGothic" w:cs="MS PGothic" w:eastAsia="MS PGothic" w:hAnsi="MS PGothic"/>
          <w:sz w:val="12"/>
          <w:szCs w:val="12"/>
          <w:color w:val="auto"/>
        </w:rPr>
        <w:t>☐</w:t>
      </w:r>
    </w:p>
    <w:p>
      <w:pPr>
        <w:spacing w:after="0" w:line="34" w:lineRule="exact"/>
        <w:rPr>
          <w:sz w:val="24"/>
          <w:szCs w:val="24"/>
          <w:color w:val="auto"/>
        </w:rPr>
      </w:pPr>
    </w:p>
    <w:p>
      <w:pPr>
        <w:ind w:left="14" w:right="20"/>
        <w:spacing w:after="0" w:line="24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14" w:type="dxa"/>
        <w:tblCellMar>
          <w:top w:w="0" w:type="dxa"/>
          <w:left w:w="0" w:type="dxa"/>
          <w:bottom w:w="0" w:type="dxa"/>
          <w:right w:w="0" w:type="dxa"/>
        </w:tblCellMar>
      </w:tblPr>
      <w:tr>
        <w:trPr>
          <w:trHeight w:val="277"/>
        </w:trPr>
        <w:tc>
          <w:tcPr>
            <w:tcW w:w="3320" w:type="dxa"/>
            <w:vAlign w:val="bottom"/>
          </w:tcPr>
          <w:p>
            <w:pPr>
              <w:ind w:left="760"/>
              <w:spacing w:after="0"/>
              <w:rPr>
                <w:sz w:val="20"/>
                <w:szCs w:val="20"/>
                <w:color w:val="auto"/>
              </w:rPr>
            </w:pPr>
            <w:r>
              <w:rPr>
                <w:rFonts w:ascii="Arial" w:cs="Arial" w:eastAsia="Arial" w:hAnsi="Arial"/>
                <w:sz w:val="12"/>
                <w:szCs w:val="12"/>
                <w:color w:val="auto"/>
              </w:rPr>
              <w:t>Large Accelerated Filer</w:t>
            </w:r>
          </w:p>
        </w:tc>
        <w:tc>
          <w:tcPr>
            <w:tcW w:w="198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360"/>
              <w:spacing w:after="0"/>
              <w:rPr>
                <w:sz w:val="20"/>
                <w:szCs w:val="20"/>
                <w:color w:val="auto"/>
              </w:rPr>
            </w:pPr>
            <w:r>
              <w:rPr>
                <w:rFonts w:ascii="Arial" w:cs="Arial" w:eastAsia="Arial" w:hAnsi="Arial"/>
                <w:sz w:val="12"/>
                <w:szCs w:val="12"/>
                <w:color w:val="auto"/>
              </w:rPr>
              <w:t>Accelerated Filer</w:t>
            </w:r>
          </w:p>
        </w:tc>
        <w:tc>
          <w:tcPr>
            <w:tcW w:w="29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3320" w:type="dxa"/>
            <w:vAlign w:val="bottom"/>
          </w:tcPr>
          <w:p>
            <w:pPr>
              <w:ind w:left="760"/>
              <w:spacing w:after="0"/>
              <w:rPr>
                <w:sz w:val="20"/>
                <w:szCs w:val="20"/>
                <w:color w:val="auto"/>
              </w:rPr>
            </w:pPr>
            <w:r>
              <w:rPr>
                <w:rFonts w:ascii="Arial" w:cs="Arial" w:eastAsia="Arial" w:hAnsi="Arial"/>
                <w:sz w:val="12"/>
                <w:szCs w:val="12"/>
                <w:color w:val="auto"/>
              </w:rPr>
              <w:t>Non-accelerated Filer</w:t>
            </w:r>
          </w:p>
        </w:tc>
        <w:tc>
          <w:tcPr>
            <w:tcW w:w="198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360"/>
              <w:spacing w:after="0"/>
              <w:rPr>
                <w:sz w:val="20"/>
                <w:szCs w:val="20"/>
                <w:color w:val="auto"/>
              </w:rPr>
            </w:pPr>
            <w:r>
              <w:rPr>
                <w:rFonts w:ascii="Arial" w:cs="Arial" w:eastAsia="Arial" w:hAnsi="Arial"/>
                <w:sz w:val="12"/>
                <w:szCs w:val="12"/>
                <w:color w:val="auto"/>
              </w:rPr>
              <w:t>Smaller reporting Company</w:t>
            </w:r>
          </w:p>
        </w:tc>
        <w:tc>
          <w:tcPr>
            <w:tcW w:w="29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3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40" w:type="dxa"/>
            <w:vAlign w:val="bottom"/>
          </w:tcPr>
          <w:p>
            <w:pPr>
              <w:ind w:left="360"/>
              <w:spacing w:after="0"/>
              <w:rPr>
                <w:sz w:val="20"/>
                <w:szCs w:val="20"/>
                <w:color w:val="auto"/>
              </w:rPr>
            </w:pPr>
            <w:r>
              <w:rPr>
                <w:rFonts w:ascii="Arial" w:cs="Arial" w:eastAsia="Arial" w:hAnsi="Arial"/>
                <w:sz w:val="12"/>
                <w:szCs w:val="12"/>
                <w:color w:val="auto"/>
              </w:rPr>
              <w:t>Emerging growth company</w:t>
            </w:r>
          </w:p>
        </w:tc>
        <w:tc>
          <w:tcPr>
            <w:tcW w:w="29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875"/>
        </w:trPr>
        <w:tc>
          <w:tcPr>
            <w:tcW w:w="33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7152005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94"/>
          </w:cols>
          <w:pgMar w:left="286" w:top="217" w:right="319" w:bottom="1440" w:gutter="0" w:footer="0" w:header="0"/>
        </w:sectPr>
      </w:pPr>
    </w:p>
    <w:bookmarkStart w:id="1" w:name="page2"/>
    <w:bookmarkEnd w:id="1"/>
    <w:p>
      <w:pPr>
        <w:spacing w:after="0" w:line="19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 w:lineRule="exact"/>
        <w:rPr>
          <w:sz w:val="20"/>
          <w:szCs w:val="20"/>
          <w:color w:val="auto"/>
        </w:rPr>
      </w:pPr>
    </w:p>
    <w:p>
      <w:pPr>
        <w:spacing w:after="0" w:line="196" w:lineRule="exact"/>
        <w:tabs>
          <w:tab w:leader="none" w:pos="602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1"/>
          <w:szCs w:val="11"/>
          <w:color w:val="auto"/>
        </w:rPr>
        <w:t xml:space="preserve"> or</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7"/>
          <w:szCs w:val="17"/>
          <w:color w:val="auto"/>
        </w:rPr>
        <w:t>☒</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number of shares outstanding of the Registrant's common stock as of July 31, 2021 were:</w:t>
      </w:r>
    </w:p>
    <w:p>
      <w:pPr>
        <w:spacing w:after="0" w:line="91" w:lineRule="exact"/>
        <w:rPr>
          <w:sz w:val="20"/>
          <w:szCs w:val="20"/>
          <w:color w:val="auto"/>
        </w:rPr>
      </w:pPr>
    </w:p>
    <w:p>
      <w:pPr>
        <w:ind w:left="280"/>
        <w:spacing w:after="0"/>
        <w:tabs>
          <w:tab w:leader="none" w:pos="1620" w:val="left"/>
        </w:tabs>
        <w:rPr>
          <w:sz w:val="20"/>
          <w:szCs w:val="20"/>
          <w:color w:val="auto"/>
        </w:rPr>
      </w:pPr>
      <w:r>
        <w:rPr>
          <w:rFonts w:ascii="Arial" w:cs="Arial" w:eastAsia="Arial" w:hAnsi="Arial"/>
          <w:sz w:val="15"/>
          <w:szCs w:val="15"/>
          <w:color w:val="auto"/>
        </w:rPr>
        <w:t>FNF Common Stock</w:t>
      </w:r>
      <w:r>
        <w:rPr>
          <w:sz w:val="20"/>
          <w:szCs w:val="20"/>
          <w:color w:val="auto"/>
        </w:rPr>
        <w:tab/>
      </w:r>
      <w:r>
        <w:rPr>
          <w:rFonts w:ascii="Arial" w:cs="Arial" w:eastAsia="Arial" w:hAnsi="Arial"/>
          <w:sz w:val="13"/>
          <w:szCs w:val="13"/>
          <w:color w:val="auto"/>
        </w:rPr>
        <w:t>285,313,503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8312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120" cy="39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577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577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120"/>
          </w:cols>
          <w:pgMar w:left="300" w:top="860" w:right="479" w:bottom="1440" w:gutter="0" w:footer="0" w:header="0"/>
        </w:sectPr>
      </w:pPr>
    </w:p>
    <w:bookmarkStart w:id="2" w:name="page3"/>
    <w:bookmarkEnd w:id="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60" w:type="dxa"/>
            <w:vAlign w:val="bottom"/>
            <w:gridSpan w:val="2"/>
          </w:tcPr>
          <w:p>
            <w:pPr>
              <w:jc w:val="center"/>
              <w:ind w:right="1960"/>
              <w:spacing w:after="0"/>
              <w:rPr>
                <w:sz w:val="20"/>
                <w:szCs w:val="20"/>
                <w:color w:val="auto"/>
              </w:rPr>
            </w:pPr>
            <w:r>
              <w:rPr>
                <w:rFonts w:ascii="Arial" w:cs="Arial" w:eastAsia="Arial" w:hAnsi="Arial"/>
                <w:sz w:val="15"/>
                <w:szCs w:val="15"/>
                <w:b w:val="1"/>
                <w:bCs w:val="1"/>
                <w:color w:val="auto"/>
                <w:w w:val="97"/>
              </w:rPr>
              <w:t>FORM 10-Q</w:t>
            </w: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60" w:type="dxa"/>
            <w:vAlign w:val="bottom"/>
            <w:gridSpan w:val="2"/>
          </w:tcPr>
          <w:p>
            <w:pPr>
              <w:jc w:val="center"/>
              <w:ind w:right="1960"/>
              <w:spacing w:after="0"/>
              <w:rPr>
                <w:sz w:val="20"/>
                <w:szCs w:val="20"/>
                <w:color w:val="auto"/>
              </w:rPr>
            </w:pPr>
            <w:r>
              <w:rPr>
                <w:rFonts w:ascii="Arial" w:cs="Arial" w:eastAsia="Arial" w:hAnsi="Arial"/>
                <w:sz w:val="15"/>
                <w:szCs w:val="15"/>
                <w:b w:val="1"/>
                <w:bCs w:val="1"/>
                <w:color w:val="auto"/>
                <w:w w:val="97"/>
              </w:rPr>
              <w:t>QUARTERLY REPORT</w:t>
            </w: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60" w:type="dxa"/>
            <w:vAlign w:val="bottom"/>
            <w:gridSpan w:val="2"/>
          </w:tcPr>
          <w:p>
            <w:pPr>
              <w:jc w:val="center"/>
              <w:ind w:right="1960"/>
              <w:spacing w:after="0"/>
              <w:rPr>
                <w:sz w:val="20"/>
                <w:szCs w:val="20"/>
                <w:color w:val="auto"/>
              </w:rPr>
            </w:pPr>
            <w:r>
              <w:rPr>
                <w:rFonts w:ascii="Arial" w:cs="Arial" w:eastAsia="Arial" w:hAnsi="Arial"/>
                <w:sz w:val="15"/>
                <w:szCs w:val="15"/>
                <w:b w:val="1"/>
                <w:bCs w:val="1"/>
                <w:color w:val="auto"/>
                <w:w w:val="89"/>
              </w:rPr>
              <w:t>Quarter Ended June 30, 2021</w:t>
            </w: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60" w:type="dxa"/>
            <w:vAlign w:val="bottom"/>
            <w:gridSpan w:val="2"/>
          </w:tcPr>
          <w:p>
            <w:pPr>
              <w:jc w:val="center"/>
              <w:ind w:right="1960"/>
              <w:spacing w:after="0"/>
              <w:rPr>
                <w:sz w:val="20"/>
                <w:szCs w:val="20"/>
                <w:color w:val="auto"/>
              </w:rPr>
            </w:pPr>
            <w:r>
              <w:rPr>
                <w:rFonts w:ascii="Arial" w:cs="Arial" w:eastAsia="Arial" w:hAnsi="Arial"/>
                <w:sz w:val="15"/>
                <w:szCs w:val="15"/>
                <w:b w:val="1"/>
                <w:bCs w:val="1"/>
                <w:color w:val="auto"/>
                <w:w w:val="96"/>
              </w:rPr>
              <w:t>TABLE OF CONTENTS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80" w:type="dxa"/>
            <w:vAlign w:val="bottom"/>
            <w:gridSpan w:val="3"/>
          </w:tcPr>
          <w:p>
            <w:pPr>
              <w:ind w:left="2040"/>
              <w:spacing w:after="0"/>
              <w:rPr>
                <w:sz w:val="20"/>
                <w:szCs w:val="20"/>
                <w:color w:val="auto"/>
              </w:rPr>
            </w:pPr>
            <w:r>
              <w:rPr>
                <w:rFonts w:ascii="Arial" w:cs="Arial" w:eastAsia="Arial" w:hAnsi="Arial"/>
                <w:sz w:val="12"/>
                <w:szCs w:val="12"/>
                <w:b w:val="1"/>
                <w:bCs w:val="1"/>
                <w:color w:val="auto"/>
                <w:w w:val="76"/>
              </w:rPr>
              <w:t>Page</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40" w:type="dxa"/>
            <w:vAlign w:val="bottom"/>
            <w:gridSpan w:val="6"/>
          </w:tcPr>
          <w:p>
            <w:pPr>
              <w:jc w:val="center"/>
              <w:ind w:right="2200"/>
              <w:spacing w:after="0"/>
              <w:rPr>
                <w:sz w:val="20"/>
                <w:szCs w:val="20"/>
                <w:color w:val="auto"/>
              </w:rPr>
            </w:pPr>
            <w:r>
              <w:rPr>
                <w:rFonts w:ascii="Arial" w:cs="Arial" w:eastAsia="Arial" w:hAnsi="Arial"/>
                <w:sz w:val="15"/>
                <w:szCs w:val="15"/>
                <w:b w:val="1"/>
                <w:bCs w:val="1"/>
                <w:color w:val="auto"/>
              </w:rPr>
              <w:t>PART I. FINANCIAL INFORMATION</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4"/>
        </w:trPr>
        <w:tc>
          <w:tcPr>
            <w:tcW w:w="8580" w:type="dxa"/>
            <w:vAlign w:val="bottom"/>
            <w:gridSpan w:val="17"/>
          </w:tcPr>
          <w:p>
            <w:pPr>
              <w:spacing w:after="0" w:line="134" w:lineRule="exact"/>
              <w:rPr>
                <w:rFonts w:ascii="Arial" w:cs="Arial" w:eastAsia="Arial" w:hAnsi="Arial"/>
                <w:sz w:val="15"/>
                <w:szCs w:val="15"/>
                <w:color w:val="0000FF"/>
              </w:rPr>
            </w:pPr>
            <w:hyperlink w:anchor="page4">
              <w:r>
                <w:rPr>
                  <w:rFonts w:ascii="Arial" w:cs="Arial" w:eastAsia="Arial" w:hAnsi="Arial"/>
                  <w:sz w:val="15"/>
                  <w:szCs w:val="15"/>
                  <w:color w:val="0000FF"/>
                </w:rPr>
                <w:t>Item 1. Condensed Consolidated Financial Statements:</w:t>
              </w:r>
            </w:hyperlink>
          </w:p>
        </w:tc>
        <w:tc>
          <w:tcPr>
            <w:tcW w:w="2120" w:type="dxa"/>
            <w:vAlign w:val="bottom"/>
          </w:tcPr>
          <w:p>
            <w:pPr>
              <w:spacing w:after="0"/>
              <w:rPr>
                <w:sz w:val="13"/>
                <w:szCs w:val="13"/>
                <w:color w:val="auto"/>
              </w:rPr>
            </w:pPr>
          </w:p>
        </w:tc>
        <w:tc>
          <w:tcPr>
            <w:tcW w:w="80" w:type="dxa"/>
            <w:vAlign w:val="bottom"/>
          </w:tcPr>
          <w:p>
            <w:pPr>
              <w:jc w:val="center"/>
              <w:spacing w:after="0" w:line="134" w:lineRule="exact"/>
              <w:rPr>
                <w:sz w:val="20"/>
                <w:szCs w:val="20"/>
                <w:color w:val="auto"/>
              </w:rPr>
            </w:pPr>
            <w:r>
              <w:rPr>
                <w:rFonts w:ascii="Arial" w:cs="Arial" w:eastAsia="Arial" w:hAnsi="Arial"/>
                <w:sz w:val="15"/>
                <w:szCs w:val="15"/>
                <w:color w:val="0E32E1"/>
                <w:w w:val="95"/>
              </w:rPr>
              <w:t>2</w:t>
            </w:r>
          </w:p>
        </w:tc>
        <w:tc>
          <w:tcPr>
            <w:tcW w:w="80" w:type="dxa"/>
            <w:vAlign w:val="bottom"/>
          </w:tcPr>
          <w:p>
            <w:pPr>
              <w:spacing w:after="0"/>
              <w:rPr>
                <w:sz w:val="13"/>
                <w:szCs w:val="13"/>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1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80" w:type="dxa"/>
            <w:vAlign w:val="bottom"/>
            <w:gridSpan w:val="15"/>
          </w:tcPr>
          <w:p>
            <w:pPr>
              <w:spacing w:after="0" w:line="156" w:lineRule="exact"/>
              <w:rPr>
                <w:rFonts w:ascii="Arial" w:cs="Arial" w:eastAsia="Arial" w:hAnsi="Arial"/>
                <w:sz w:val="15"/>
                <w:szCs w:val="15"/>
                <w:color w:val="0000FF"/>
              </w:rPr>
            </w:pPr>
            <w:hyperlink w:anchor="page4">
              <w:r>
                <w:rPr>
                  <w:rFonts w:ascii="Arial" w:cs="Arial" w:eastAsia="Arial" w:hAnsi="Arial"/>
                  <w:sz w:val="15"/>
                  <w:szCs w:val="15"/>
                  <w:color w:val="0000FF"/>
                </w:rPr>
                <w:t>Condensed Consolidated Balance Sheets (unaudited)</w:t>
              </w:r>
            </w:hyperlink>
          </w:p>
        </w:tc>
        <w:tc>
          <w:tcPr>
            <w:tcW w:w="2120" w:type="dxa"/>
            <w:vAlign w:val="bottom"/>
          </w:tcPr>
          <w:p>
            <w:pPr>
              <w:spacing w:after="0"/>
              <w:rPr>
                <w:sz w:val="13"/>
                <w:szCs w:val="13"/>
                <w:color w:val="auto"/>
              </w:rPr>
            </w:pPr>
          </w:p>
        </w:tc>
        <w:tc>
          <w:tcPr>
            <w:tcW w:w="80" w:type="dxa"/>
            <w:vAlign w:val="bottom"/>
          </w:tcPr>
          <w:p>
            <w:pPr>
              <w:jc w:val="center"/>
              <w:spacing w:after="0" w:line="147" w:lineRule="exact"/>
              <w:rPr>
                <w:sz w:val="20"/>
                <w:szCs w:val="20"/>
                <w:color w:val="auto"/>
              </w:rPr>
            </w:pPr>
            <w:r>
              <w:rPr>
                <w:rFonts w:ascii="Arial" w:cs="Arial" w:eastAsia="Arial" w:hAnsi="Arial"/>
                <w:sz w:val="15"/>
                <w:szCs w:val="15"/>
                <w:color w:val="0E32E1"/>
                <w:w w:val="95"/>
              </w:rPr>
              <w:t>3</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1300" w:type="dxa"/>
            <w:vAlign w:val="bottom"/>
            <w:tcBorders>
              <w:bottom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80" w:type="dxa"/>
            <w:vAlign w:val="bottom"/>
            <w:gridSpan w:val="15"/>
          </w:tcPr>
          <w:p>
            <w:pPr>
              <w:spacing w:after="0" w:line="156"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Statements of Earnings (unaudited)</w:t>
              </w:r>
            </w:hyperlink>
          </w:p>
        </w:tc>
        <w:tc>
          <w:tcPr>
            <w:tcW w:w="2120" w:type="dxa"/>
            <w:vAlign w:val="bottom"/>
          </w:tcPr>
          <w:p>
            <w:pPr>
              <w:spacing w:after="0"/>
              <w:rPr>
                <w:sz w:val="13"/>
                <w:szCs w:val="13"/>
                <w:color w:val="auto"/>
              </w:rPr>
            </w:pPr>
          </w:p>
        </w:tc>
        <w:tc>
          <w:tcPr>
            <w:tcW w:w="80" w:type="dxa"/>
            <w:vAlign w:val="bottom"/>
          </w:tcPr>
          <w:p>
            <w:pPr>
              <w:jc w:val="center"/>
              <w:spacing w:after="0" w:line="147" w:lineRule="exact"/>
              <w:rPr>
                <w:sz w:val="20"/>
                <w:szCs w:val="20"/>
                <w:color w:val="auto"/>
              </w:rPr>
            </w:pPr>
            <w:r>
              <w:rPr>
                <w:rFonts w:ascii="Arial" w:cs="Arial" w:eastAsia="Arial" w:hAnsi="Arial"/>
                <w:sz w:val="15"/>
                <w:szCs w:val="15"/>
                <w:color w:val="0E32E1"/>
                <w:w w:val="95"/>
              </w:rPr>
              <w:t>4</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1640" w:type="dxa"/>
            <w:vAlign w:val="bottom"/>
            <w:tcBorders>
              <w:bottom w:val="single" w:sz="8" w:color="0000FF"/>
            </w:tcBorders>
            <w:gridSpan w:val="3"/>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80" w:type="dxa"/>
            <w:vAlign w:val="bottom"/>
            <w:gridSpan w:val="15"/>
          </w:tcPr>
          <w:p>
            <w:pPr>
              <w:spacing w:after="0" w:line="156" w:lineRule="exact"/>
              <w:rPr>
                <w:rFonts w:ascii="Arial" w:cs="Arial" w:eastAsia="Arial" w:hAnsi="Arial"/>
                <w:sz w:val="15"/>
                <w:szCs w:val="15"/>
                <w:color w:val="0000FF"/>
              </w:rPr>
            </w:pPr>
            <w:hyperlink w:anchor="page6">
              <w:r>
                <w:rPr>
                  <w:rFonts w:ascii="Arial" w:cs="Arial" w:eastAsia="Arial" w:hAnsi="Arial"/>
                  <w:sz w:val="15"/>
                  <w:szCs w:val="15"/>
                  <w:color w:val="0000FF"/>
                </w:rPr>
                <w:t>Condensed Consolidated Statements of Comprehensive Earnings (unaudited)</w:t>
              </w:r>
            </w:hyperlink>
          </w:p>
        </w:tc>
        <w:tc>
          <w:tcPr>
            <w:tcW w:w="2120" w:type="dxa"/>
            <w:vAlign w:val="bottom"/>
          </w:tcPr>
          <w:p>
            <w:pPr>
              <w:spacing w:after="0"/>
              <w:rPr>
                <w:sz w:val="13"/>
                <w:szCs w:val="13"/>
                <w:color w:val="auto"/>
              </w:rPr>
            </w:pPr>
          </w:p>
        </w:tc>
        <w:tc>
          <w:tcPr>
            <w:tcW w:w="80" w:type="dxa"/>
            <w:vAlign w:val="bottom"/>
          </w:tcPr>
          <w:p>
            <w:pPr>
              <w:jc w:val="center"/>
              <w:spacing w:after="0" w:line="147" w:lineRule="exact"/>
              <w:rPr>
                <w:sz w:val="20"/>
                <w:szCs w:val="20"/>
                <w:color w:val="auto"/>
              </w:rPr>
            </w:pPr>
            <w:r>
              <w:rPr>
                <w:rFonts w:ascii="Arial" w:cs="Arial" w:eastAsia="Arial" w:hAnsi="Arial"/>
                <w:sz w:val="15"/>
                <w:szCs w:val="15"/>
                <w:color w:val="0E32E1"/>
                <w:w w:val="95"/>
              </w:rPr>
              <w:t>5</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1640" w:type="dxa"/>
            <w:vAlign w:val="bottom"/>
            <w:tcBorders>
              <w:bottom w:val="single" w:sz="8" w:color="0000FF"/>
            </w:tcBorders>
            <w:gridSpan w:val="3"/>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80" w:type="dxa"/>
            <w:vAlign w:val="bottom"/>
            <w:gridSpan w:val="15"/>
          </w:tcPr>
          <w:p>
            <w:pPr>
              <w:spacing w:after="0" w:line="156" w:lineRule="exact"/>
              <w:rPr>
                <w:rFonts w:ascii="Arial" w:cs="Arial" w:eastAsia="Arial" w:hAnsi="Arial"/>
                <w:sz w:val="15"/>
                <w:szCs w:val="15"/>
                <w:color w:val="0000FF"/>
              </w:rPr>
            </w:pPr>
            <w:hyperlink w:anchor="page8">
              <w:r>
                <w:rPr>
                  <w:rFonts w:ascii="Arial" w:cs="Arial" w:eastAsia="Arial" w:hAnsi="Arial"/>
                  <w:sz w:val="15"/>
                  <w:szCs w:val="15"/>
                  <w:color w:val="0000FF"/>
                </w:rPr>
                <w:t>Condensed Consolidated Statements of Equity (unaudited)</w:t>
              </w:r>
            </w:hyperlink>
          </w:p>
        </w:tc>
        <w:tc>
          <w:tcPr>
            <w:tcW w:w="2120" w:type="dxa"/>
            <w:vAlign w:val="bottom"/>
          </w:tcPr>
          <w:p>
            <w:pPr>
              <w:spacing w:after="0"/>
              <w:rPr>
                <w:sz w:val="13"/>
                <w:szCs w:val="13"/>
                <w:color w:val="auto"/>
              </w:rPr>
            </w:pPr>
          </w:p>
        </w:tc>
        <w:tc>
          <w:tcPr>
            <w:tcW w:w="80" w:type="dxa"/>
            <w:vAlign w:val="bottom"/>
          </w:tcPr>
          <w:p>
            <w:pPr>
              <w:jc w:val="center"/>
              <w:spacing w:after="0" w:line="147" w:lineRule="exact"/>
              <w:rPr>
                <w:sz w:val="20"/>
                <w:szCs w:val="20"/>
                <w:color w:val="auto"/>
              </w:rPr>
            </w:pPr>
            <w:r>
              <w:rPr>
                <w:rFonts w:ascii="Arial" w:cs="Arial" w:eastAsia="Arial" w:hAnsi="Arial"/>
                <w:sz w:val="15"/>
                <w:szCs w:val="15"/>
                <w:color w:val="0E32E1"/>
                <w:w w:val="95"/>
              </w:rPr>
              <w:t>6</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1640" w:type="dxa"/>
            <w:vAlign w:val="bottom"/>
            <w:tcBorders>
              <w:bottom w:val="single" w:sz="8" w:color="0000FF"/>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80" w:type="dxa"/>
            <w:vAlign w:val="bottom"/>
            <w:gridSpan w:val="15"/>
          </w:tcPr>
          <w:p>
            <w:pPr>
              <w:spacing w:after="0" w:line="156" w:lineRule="exact"/>
              <w:rPr>
                <w:rFonts w:ascii="Arial" w:cs="Arial" w:eastAsia="Arial" w:hAnsi="Arial"/>
                <w:sz w:val="15"/>
                <w:szCs w:val="15"/>
                <w:color w:val="0000FF"/>
              </w:rPr>
            </w:pPr>
            <w:hyperlink w:anchor="page9">
              <w:r>
                <w:rPr>
                  <w:rFonts w:ascii="Arial" w:cs="Arial" w:eastAsia="Arial" w:hAnsi="Arial"/>
                  <w:sz w:val="15"/>
                  <w:szCs w:val="15"/>
                  <w:color w:val="0000FF"/>
                </w:rPr>
                <w:t>Condensed Consolidated Statements of Cash Flows (unaudited)</w:t>
              </w:r>
            </w:hyperlink>
          </w:p>
        </w:tc>
        <w:tc>
          <w:tcPr>
            <w:tcW w:w="2120" w:type="dxa"/>
            <w:vAlign w:val="bottom"/>
          </w:tcPr>
          <w:p>
            <w:pPr>
              <w:spacing w:after="0"/>
              <w:rPr>
                <w:sz w:val="13"/>
                <w:szCs w:val="13"/>
                <w:color w:val="auto"/>
              </w:rPr>
            </w:pPr>
          </w:p>
        </w:tc>
        <w:tc>
          <w:tcPr>
            <w:tcW w:w="80" w:type="dxa"/>
            <w:vAlign w:val="bottom"/>
          </w:tcPr>
          <w:p>
            <w:pPr>
              <w:jc w:val="center"/>
              <w:spacing w:after="0" w:line="147" w:lineRule="exact"/>
              <w:rPr>
                <w:sz w:val="20"/>
                <w:szCs w:val="20"/>
                <w:color w:val="auto"/>
              </w:rPr>
            </w:pPr>
            <w:r>
              <w:rPr>
                <w:rFonts w:ascii="Arial" w:cs="Arial" w:eastAsia="Arial" w:hAnsi="Arial"/>
                <w:sz w:val="15"/>
                <w:szCs w:val="15"/>
                <w:color w:val="0E32E1"/>
                <w:w w:val="95"/>
              </w:rPr>
              <w:t>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1940" w:type="dxa"/>
            <w:vAlign w:val="bottom"/>
            <w:tcBorders>
              <w:bottom w:val="single" w:sz="8" w:color="0000FF"/>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80" w:type="dxa"/>
            <w:vAlign w:val="bottom"/>
            <w:gridSpan w:val="15"/>
          </w:tcPr>
          <w:p>
            <w:pPr>
              <w:spacing w:after="0" w:line="156" w:lineRule="exact"/>
              <w:rPr>
                <w:rFonts w:ascii="Arial" w:cs="Arial" w:eastAsia="Arial" w:hAnsi="Arial"/>
                <w:sz w:val="15"/>
                <w:szCs w:val="15"/>
                <w:color w:val="0000FF"/>
              </w:rPr>
            </w:pPr>
            <w:hyperlink w:anchor="page11">
              <w:r>
                <w:rPr>
                  <w:rFonts w:ascii="Arial" w:cs="Arial" w:eastAsia="Arial" w:hAnsi="Arial"/>
                  <w:sz w:val="15"/>
                  <w:szCs w:val="15"/>
                  <w:color w:val="0000FF"/>
                </w:rPr>
                <w:t>Notes to Unaudited Condensed Consolidated Financial Statements</w:t>
              </w:r>
            </w:hyperlink>
          </w:p>
        </w:tc>
        <w:tc>
          <w:tcPr>
            <w:tcW w:w="2200" w:type="dxa"/>
            <w:vAlign w:val="bottom"/>
            <w:gridSpan w:val="2"/>
          </w:tcPr>
          <w:p>
            <w:pPr>
              <w:jc w:val="center"/>
              <w:ind w:left="1988"/>
              <w:spacing w:after="0" w:line="147" w:lineRule="exact"/>
              <w:rPr>
                <w:sz w:val="20"/>
                <w:szCs w:val="20"/>
                <w:color w:val="auto"/>
              </w:rPr>
            </w:pPr>
            <w:r>
              <w:rPr>
                <w:rFonts w:ascii="Arial" w:cs="Arial" w:eastAsia="Arial" w:hAnsi="Arial"/>
                <w:sz w:val="15"/>
                <w:szCs w:val="15"/>
                <w:color w:val="0E32E1"/>
                <w:w w:val="83"/>
              </w:rPr>
              <w:t>10</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08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r>
      <w:tr>
        <w:trPr>
          <w:trHeight w:val="160"/>
        </w:trPr>
        <w:tc>
          <w:tcPr>
            <w:tcW w:w="5700" w:type="dxa"/>
            <w:vAlign w:val="bottom"/>
            <w:tcBorders>
              <w:bottom w:val="single" w:sz="8" w:color="0000FF"/>
            </w:tcBorders>
            <w:gridSpan w:val="16"/>
          </w:tcPr>
          <w:p>
            <w:pPr>
              <w:spacing w:after="0" w:line="156" w:lineRule="exact"/>
              <w:rPr>
                <w:rFonts w:ascii="Arial" w:cs="Arial" w:eastAsia="Arial" w:hAnsi="Arial"/>
                <w:sz w:val="15"/>
                <w:szCs w:val="15"/>
                <w:color w:val="0000FF"/>
                <w:w w:val="88"/>
              </w:rPr>
            </w:pPr>
            <w:hyperlink w:anchor="page57">
              <w:r>
                <w:rPr>
                  <w:rFonts w:ascii="Arial" w:cs="Arial" w:eastAsia="Arial" w:hAnsi="Arial"/>
                  <w:sz w:val="15"/>
                  <w:szCs w:val="15"/>
                  <w:color w:val="0000FF"/>
                  <w:w w:val="88"/>
                </w:rPr>
                <w:t>Item 2. Management's Discussion and Analysis of Financial Condition and Results of Operations</w:t>
              </w:r>
            </w:hyperlink>
          </w:p>
        </w:tc>
        <w:tc>
          <w:tcPr>
            <w:tcW w:w="2880" w:type="dxa"/>
            <w:vAlign w:val="bottom"/>
          </w:tcPr>
          <w:p>
            <w:pPr>
              <w:spacing w:after="0"/>
              <w:rPr>
                <w:sz w:val="13"/>
                <w:szCs w:val="13"/>
                <w:color w:val="auto"/>
              </w:rPr>
            </w:pPr>
          </w:p>
        </w:tc>
        <w:tc>
          <w:tcPr>
            <w:tcW w:w="2200" w:type="dxa"/>
            <w:vAlign w:val="bottom"/>
            <w:gridSpan w:val="2"/>
          </w:tcPr>
          <w:p>
            <w:pPr>
              <w:jc w:val="center"/>
              <w:ind w:left="1988"/>
              <w:spacing w:after="0" w:line="147" w:lineRule="exact"/>
              <w:rPr>
                <w:sz w:val="20"/>
                <w:szCs w:val="20"/>
                <w:color w:val="auto"/>
              </w:rPr>
            </w:pPr>
            <w:r>
              <w:rPr>
                <w:rFonts w:ascii="Arial" w:cs="Arial" w:eastAsia="Arial" w:hAnsi="Arial"/>
                <w:sz w:val="15"/>
                <w:szCs w:val="15"/>
                <w:color w:val="0E32E1"/>
                <w:w w:val="83"/>
              </w:rPr>
              <w:t>57</w:t>
            </w:r>
          </w:p>
        </w:tc>
        <w:tc>
          <w:tcPr>
            <w:tcW w:w="8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960" w:type="dxa"/>
            <w:vAlign w:val="bottom"/>
            <w:gridSpan w:val="11"/>
          </w:tcPr>
          <w:p>
            <w:pPr>
              <w:spacing w:after="0"/>
              <w:rPr>
                <w:rFonts w:ascii="Arial" w:cs="Arial" w:eastAsia="Arial" w:hAnsi="Arial"/>
                <w:sz w:val="15"/>
                <w:szCs w:val="15"/>
                <w:color w:val="0E32E1"/>
                <w:w w:val="89"/>
              </w:rPr>
            </w:pPr>
            <w:hyperlink w:anchor="page89">
              <w:r>
                <w:rPr>
                  <w:rFonts w:ascii="Arial" w:cs="Arial" w:eastAsia="Arial" w:hAnsi="Arial"/>
                  <w:sz w:val="15"/>
                  <w:szCs w:val="15"/>
                  <w:color w:val="0E32E1"/>
                  <w:w w:val="89"/>
                </w:rPr>
                <w:t>Item 3. Quantitative and Qualitative Disclosures about Market Risk</w:t>
              </w:r>
            </w:hyperlink>
          </w:p>
        </w:tc>
        <w:tc>
          <w:tcPr>
            <w:tcW w:w="4600" w:type="dxa"/>
            <w:vAlign w:val="bottom"/>
            <w:gridSpan w:val="5"/>
          </w:tcPr>
          <w:p>
            <w:pPr>
              <w:spacing w:after="0"/>
              <w:rPr>
                <w:sz w:val="15"/>
                <w:szCs w:val="15"/>
                <w:color w:val="auto"/>
              </w:rPr>
            </w:pPr>
          </w:p>
        </w:tc>
        <w:tc>
          <w:tcPr>
            <w:tcW w:w="2200" w:type="dxa"/>
            <w:vAlign w:val="bottom"/>
            <w:gridSpan w:val="2"/>
          </w:tcPr>
          <w:p>
            <w:pPr>
              <w:jc w:val="center"/>
              <w:ind w:left="1988"/>
              <w:spacing w:after="0"/>
              <w:rPr>
                <w:sz w:val="20"/>
                <w:szCs w:val="20"/>
                <w:color w:val="auto"/>
              </w:rPr>
            </w:pPr>
            <w:r>
              <w:rPr>
                <w:rFonts w:ascii="Arial" w:cs="Arial" w:eastAsia="Arial" w:hAnsi="Arial"/>
                <w:sz w:val="15"/>
                <w:szCs w:val="15"/>
                <w:color w:val="0E32E1"/>
                <w:w w:val="83"/>
              </w:rPr>
              <w:t>89</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080" w:type="dxa"/>
            <w:vAlign w:val="bottom"/>
            <w:gridSpan w:val="6"/>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1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r>
      <w:tr>
        <w:trPr>
          <w:trHeight w:val="167"/>
        </w:trPr>
        <w:tc>
          <w:tcPr>
            <w:tcW w:w="8580" w:type="dxa"/>
            <w:vAlign w:val="bottom"/>
            <w:gridSpan w:val="17"/>
          </w:tcPr>
          <w:p>
            <w:pPr>
              <w:spacing w:after="0" w:line="167" w:lineRule="exact"/>
              <w:rPr>
                <w:rFonts w:ascii="Arial" w:cs="Arial" w:eastAsia="Arial" w:hAnsi="Arial"/>
                <w:sz w:val="15"/>
                <w:szCs w:val="15"/>
                <w:color w:val="0000FF"/>
              </w:rPr>
            </w:pPr>
            <w:hyperlink w:anchor="page90">
              <w:r>
                <w:rPr>
                  <w:rFonts w:ascii="Arial" w:cs="Arial" w:eastAsia="Arial" w:hAnsi="Arial"/>
                  <w:sz w:val="15"/>
                  <w:szCs w:val="15"/>
                  <w:color w:val="0000FF"/>
                </w:rPr>
                <w:t>Item 4. Controls and Procedures</w:t>
              </w:r>
            </w:hyperlink>
          </w:p>
        </w:tc>
        <w:tc>
          <w:tcPr>
            <w:tcW w:w="2200" w:type="dxa"/>
            <w:vAlign w:val="bottom"/>
            <w:gridSpan w:val="2"/>
          </w:tcPr>
          <w:p>
            <w:pPr>
              <w:jc w:val="center"/>
              <w:ind w:left="1988"/>
              <w:spacing w:after="0" w:line="167" w:lineRule="exact"/>
              <w:rPr>
                <w:sz w:val="20"/>
                <w:szCs w:val="20"/>
                <w:color w:val="auto"/>
              </w:rPr>
            </w:pPr>
            <w:r>
              <w:rPr>
                <w:rFonts w:ascii="Arial" w:cs="Arial" w:eastAsia="Arial" w:hAnsi="Arial"/>
                <w:sz w:val="15"/>
                <w:szCs w:val="15"/>
                <w:color w:val="0E32E1"/>
                <w:w w:val="83"/>
              </w:rPr>
              <w:t>89</w:t>
            </w:r>
          </w:p>
        </w:tc>
        <w:tc>
          <w:tcPr>
            <w:tcW w:w="80" w:type="dxa"/>
            <w:vAlign w:val="bottom"/>
          </w:tcPr>
          <w:p>
            <w:pPr>
              <w:spacing w:after="0"/>
              <w:rPr>
                <w:sz w:val="14"/>
                <w:szCs w:val="14"/>
                <w:color w:val="auto"/>
              </w:rPr>
            </w:pPr>
          </w:p>
        </w:tc>
      </w:tr>
      <w:tr>
        <w:trPr>
          <w:trHeight w:val="420"/>
        </w:trPr>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5"/>
          </w:tcPr>
          <w:p>
            <w:pPr>
              <w:jc w:val="center"/>
              <w:ind w:right="2340"/>
              <w:spacing w:after="0"/>
              <w:rPr>
                <w:sz w:val="20"/>
                <w:szCs w:val="20"/>
                <w:color w:val="auto"/>
              </w:rPr>
            </w:pPr>
            <w:r>
              <w:rPr>
                <w:rFonts w:ascii="Arial" w:cs="Arial" w:eastAsia="Arial" w:hAnsi="Arial"/>
                <w:sz w:val="15"/>
                <w:szCs w:val="15"/>
                <w:b w:val="1"/>
                <w:bCs w:val="1"/>
                <w:color w:val="auto"/>
              </w:rPr>
              <w:t>PART II. OTHER INFORMATION</w:t>
            </w:r>
          </w:p>
        </w:tc>
        <w:tc>
          <w:tcPr>
            <w:tcW w:w="2120" w:type="dxa"/>
            <w:vAlign w:val="bottom"/>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8580" w:type="dxa"/>
            <w:vAlign w:val="bottom"/>
            <w:gridSpan w:val="17"/>
          </w:tcPr>
          <w:p>
            <w:pPr>
              <w:spacing w:after="0" w:line="134" w:lineRule="exact"/>
              <w:rPr>
                <w:rFonts w:ascii="Arial" w:cs="Arial" w:eastAsia="Arial" w:hAnsi="Arial"/>
                <w:sz w:val="15"/>
                <w:szCs w:val="15"/>
                <w:color w:val="0000FF"/>
              </w:rPr>
            </w:pPr>
            <w:hyperlink w:anchor="page91">
              <w:r>
                <w:rPr>
                  <w:rFonts w:ascii="Arial" w:cs="Arial" w:eastAsia="Arial" w:hAnsi="Arial"/>
                  <w:sz w:val="15"/>
                  <w:szCs w:val="15"/>
                  <w:color w:val="0000FF"/>
                </w:rPr>
                <w:t>Item 1. Legal Proceedings</w:t>
              </w:r>
            </w:hyperlink>
          </w:p>
        </w:tc>
        <w:tc>
          <w:tcPr>
            <w:tcW w:w="2200" w:type="dxa"/>
            <w:vAlign w:val="bottom"/>
            <w:gridSpan w:val="2"/>
          </w:tcPr>
          <w:p>
            <w:pPr>
              <w:jc w:val="center"/>
              <w:ind w:left="1988"/>
              <w:spacing w:after="0" w:line="134" w:lineRule="exact"/>
              <w:rPr>
                <w:sz w:val="20"/>
                <w:szCs w:val="20"/>
                <w:color w:val="auto"/>
              </w:rPr>
            </w:pPr>
            <w:r>
              <w:rPr>
                <w:rFonts w:ascii="Arial" w:cs="Arial" w:eastAsia="Arial" w:hAnsi="Arial"/>
                <w:sz w:val="15"/>
                <w:szCs w:val="15"/>
                <w:color w:val="0E32E1"/>
                <w:w w:val="83"/>
              </w:rPr>
              <w:t>90</w:t>
            </w:r>
          </w:p>
        </w:tc>
        <w:tc>
          <w:tcPr>
            <w:tcW w:w="80" w:type="dxa"/>
            <w:vAlign w:val="bottom"/>
          </w:tcPr>
          <w:p>
            <w:pPr>
              <w:spacing w:after="0"/>
              <w:rPr>
                <w:sz w:val="13"/>
                <w:szCs w:val="13"/>
                <w:color w:val="auto"/>
              </w:rPr>
            </w:pPr>
          </w:p>
        </w:tc>
      </w:tr>
      <w:tr>
        <w:trPr>
          <w:trHeight w:val="20"/>
        </w:trPr>
        <w:tc>
          <w:tcPr>
            <w:tcW w:w="620" w:type="dxa"/>
            <w:vAlign w:val="bottom"/>
            <w:tcBorders>
              <w:bottom w:val="single" w:sz="8" w:color="0000FF"/>
            </w:tcBorders>
            <w:gridSpan w:val="3"/>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1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r>
      <w:tr>
        <w:trPr>
          <w:trHeight w:val="158"/>
        </w:trPr>
        <w:tc>
          <w:tcPr>
            <w:tcW w:w="8580" w:type="dxa"/>
            <w:vAlign w:val="bottom"/>
            <w:gridSpan w:val="17"/>
          </w:tcPr>
          <w:p>
            <w:pPr>
              <w:spacing w:after="0" w:line="156" w:lineRule="exact"/>
              <w:rPr>
                <w:rFonts w:ascii="Arial" w:cs="Arial" w:eastAsia="Arial" w:hAnsi="Arial"/>
                <w:sz w:val="15"/>
                <w:szCs w:val="15"/>
                <w:color w:val="0000FF"/>
              </w:rPr>
            </w:pPr>
            <w:hyperlink w:anchor="page91">
              <w:r>
                <w:rPr>
                  <w:rFonts w:ascii="Arial" w:cs="Arial" w:eastAsia="Arial" w:hAnsi="Arial"/>
                  <w:sz w:val="15"/>
                  <w:szCs w:val="15"/>
                  <w:color w:val="0000FF"/>
                </w:rPr>
                <w:t>Item 2. Unregistered Sales of Equity Securities and Use of Proceeds</w:t>
              </w:r>
            </w:hyperlink>
          </w:p>
        </w:tc>
        <w:tc>
          <w:tcPr>
            <w:tcW w:w="2200" w:type="dxa"/>
            <w:vAlign w:val="bottom"/>
            <w:gridSpan w:val="2"/>
          </w:tcPr>
          <w:p>
            <w:pPr>
              <w:jc w:val="center"/>
              <w:ind w:left="1988"/>
              <w:spacing w:after="0" w:line="147" w:lineRule="exact"/>
              <w:rPr>
                <w:sz w:val="20"/>
                <w:szCs w:val="20"/>
                <w:color w:val="auto"/>
              </w:rPr>
            </w:pPr>
            <w:r>
              <w:rPr>
                <w:rFonts w:ascii="Arial" w:cs="Arial" w:eastAsia="Arial" w:hAnsi="Arial"/>
                <w:sz w:val="15"/>
                <w:szCs w:val="15"/>
                <w:color w:val="0E32E1"/>
                <w:w w:val="83"/>
              </w:rPr>
              <w:t>90</w:t>
            </w:r>
          </w:p>
        </w:tc>
        <w:tc>
          <w:tcPr>
            <w:tcW w:w="80" w:type="dxa"/>
            <w:vAlign w:val="bottom"/>
          </w:tcPr>
          <w:p>
            <w:pPr>
              <w:spacing w:after="0"/>
              <w:rPr>
                <w:sz w:val="13"/>
                <w:szCs w:val="13"/>
                <w:color w:val="auto"/>
              </w:rPr>
            </w:pPr>
          </w:p>
        </w:tc>
      </w:tr>
      <w:tr>
        <w:trPr>
          <w:trHeight w:val="20"/>
        </w:trPr>
        <w:tc>
          <w:tcPr>
            <w:tcW w:w="620" w:type="dxa"/>
            <w:vAlign w:val="bottom"/>
            <w:tcBorders>
              <w:bottom w:val="single" w:sz="8" w:color="0000FF"/>
            </w:tcBorders>
            <w:gridSpan w:val="3"/>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060" w:type="dxa"/>
            <w:vAlign w:val="bottom"/>
            <w:tcBorders>
              <w:bottom w:val="single" w:sz="8" w:color="0000FF"/>
            </w:tcBorders>
            <w:gridSpan w:val="9"/>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1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r>
      <w:tr>
        <w:trPr>
          <w:trHeight w:val="158"/>
        </w:trPr>
        <w:tc>
          <w:tcPr>
            <w:tcW w:w="8580" w:type="dxa"/>
            <w:vAlign w:val="bottom"/>
            <w:gridSpan w:val="17"/>
          </w:tcPr>
          <w:p>
            <w:pPr>
              <w:spacing w:after="0" w:line="156" w:lineRule="exact"/>
              <w:rPr>
                <w:rFonts w:ascii="Arial" w:cs="Arial" w:eastAsia="Arial" w:hAnsi="Arial"/>
                <w:sz w:val="15"/>
                <w:szCs w:val="15"/>
                <w:color w:val="0000FF"/>
              </w:rPr>
            </w:pPr>
            <w:hyperlink w:anchor="page91">
              <w:r>
                <w:rPr>
                  <w:rFonts w:ascii="Arial" w:cs="Arial" w:eastAsia="Arial" w:hAnsi="Arial"/>
                  <w:sz w:val="15"/>
                  <w:szCs w:val="15"/>
                  <w:color w:val="0000FF"/>
                </w:rPr>
                <w:t>Item 6. Exhibits</w:t>
              </w:r>
            </w:hyperlink>
          </w:p>
        </w:tc>
        <w:tc>
          <w:tcPr>
            <w:tcW w:w="2200" w:type="dxa"/>
            <w:vAlign w:val="bottom"/>
            <w:gridSpan w:val="2"/>
          </w:tcPr>
          <w:p>
            <w:pPr>
              <w:jc w:val="center"/>
              <w:ind w:left="1988"/>
              <w:spacing w:after="0" w:line="147" w:lineRule="exact"/>
              <w:rPr>
                <w:sz w:val="20"/>
                <w:szCs w:val="20"/>
                <w:color w:val="auto"/>
              </w:rPr>
            </w:pPr>
            <w:r>
              <w:rPr>
                <w:rFonts w:ascii="Arial" w:cs="Arial" w:eastAsia="Arial" w:hAnsi="Arial"/>
                <w:sz w:val="15"/>
                <w:szCs w:val="15"/>
                <w:color w:val="0E32E1"/>
                <w:w w:val="83"/>
              </w:rPr>
              <w:t>90</w:t>
            </w:r>
          </w:p>
        </w:tc>
        <w:tc>
          <w:tcPr>
            <w:tcW w:w="80" w:type="dxa"/>
            <w:vAlign w:val="bottom"/>
          </w:tcPr>
          <w:p>
            <w:pPr>
              <w:spacing w:after="0"/>
              <w:rPr>
                <w:sz w:val="13"/>
                <w:szCs w:val="13"/>
                <w:color w:val="auto"/>
              </w:rPr>
            </w:pPr>
          </w:p>
        </w:tc>
      </w:tr>
      <w:tr>
        <w:trPr>
          <w:trHeight w:val="20"/>
        </w:trPr>
        <w:tc>
          <w:tcPr>
            <w:tcW w:w="620" w:type="dxa"/>
            <w:vAlign w:val="bottom"/>
            <w:tcBorders>
              <w:bottom w:val="single" w:sz="8" w:color="0000FF"/>
            </w:tcBorders>
            <w:gridSpan w:val="3"/>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7640" w:type="dxa"/>
            <w:vAlign w:val="bottom"/>
            <w:gridSpan w:val="13"/>
          </w:tcPr>
          <w:p>
            <w:pPr>
              <w:spacing w:after="0" w:line="20" w:lineRule="exact"/>
              <w:rPr>
                <w:sz w:val="1"/>
                <w:szCs w:val="1"/>
                <w:color w:val="auto"/>
              </w:rPr>
            </w:pPr>
          </w:p>
        </w:tc>
        <w:tc>
          <w:tcPr>
            <w:tcW w:w="21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r>
      <w:tr>
        <w:trPr>
          <w:trHeight w:val="158"/>
        </w:trPr>
        <w:tc>
          <w:tcPr>
            <w:tcW w:w="8580" w:type="dxa"/>
            <w:vAlign w:val="bottom"/>
            <w:gridSpan w:val="17"/>
          </w:tcPr>
          <w:p>
            <w:pPr>
              <w:spacing w:after="0" w:line="156" w:lineRule="exact"/>
              <w:rPr>
                <w:rFonts w:ascii="Arial" w:cs="Arial" w:eastAsia="Arial" w:hAnsi="Arial"/>
                <w:sz w:val="15"/>
                <w:szCs w:val="15"/>
                <w:color w:val="0000FF"/>
              </w:rPr>
            </w:pPr>
            <w:hyperlink w:anchor="page91">
              <w:r>
                <w:rPr>
                  <w:rFonts w:ascii="Arial" w:cs="Arial" w:eastAsia="Arial" w:hAnsi="Arial"/>
                  <w:sz w:val="15"/>
                  <w:szCs w:val="15"/>
                  <w:color w:val="0000FF"/>
                </w:rPr>
                <w:t>Signatures</w:t>
              </w:r>
            </w:hyperlink>
          </w:p>
        </w:tc>
        <w:tc>
          <w:tcPr>
            <w:tcW w:w="2200" w:type="dxa"/>
            <w:vAlign w:val="bottom"/>
            <w:gridSpan w:val="2"/>
          </w:tcPr>
          <w:p>
            <w:pPr>
              <w:jc w:val="center"/>
              <w:ind w:left="1988"/>
              <w:spacing w:after="0" w:line="147" w:lineRule="exact"/>
              <w:rPr>
                <w:sz w:val="20"/>
                <w:szCs w:val="20"/>
                <w:color w:val="auto"/>
              </w:rPr>
            </w:pPr>
            <w:r>
              <w:rPr>
                <w:rFonts w:ascii="Arial" w:cs="Arial" w:eastAsia="Arial" w:hAnsi="Arial"/>
                <w:sz w:val="15"/>
                <w:szCs w:val="15"/>
                <w:color w:val="0E32E1"/>
                <w:w w:val="83"/>
              </w:rPr>
              <w:t>91</w:t>
            </w:r>
          </w:p>
        </w:tc>
        <w:tc>
          <w:tcPr>
            <w:tcW w:w="80" w:type="dxa"/>
            <w:vAlign w:val="bottom"/>
          </w:tcPr>
          <w:p>
            <w:pPr>
              <w:spacing w:after="0"/>
              <w:rPr>
                <w:sz w:val="13"/>
                <w:szCs w:val="13"/>
                <w:color w:val="auto"/>
              </w:rPr>
            </w:pPr>
          </w:p>
        </w:tc>
      </w:tr>
      <w:tr>
        <w:trPr>
          <w:trHeight w:val="22"/>
        </w:trPr>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0880"/>
          </w:cols>
          <w:pgMar w:left="300" w:top="129" w:right="719" w:bottom="1440" w:gutter="0" w:footer="0" w:header="0"/>
        </w:sectPr>
      </w:pPr>
    </w:p>
    <w:bookmarkStart w:id="3" w:name="page4"/>
    <w:bookmarkEnd w:id="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right"/>
        <w:ind w:right="447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4" w:name="page5"/>
    <w:bookmarkEnd w:id="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millions, except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June 30,</w:t>
            </w:r>
          </w:p>
        </w:tc>
        <w:tc>
          <w:tcPr>
            <w:tcW w:w="140" w:type="dxa"/>
            <w:vAlign w:val="bottom"/>
          </w:tcPr>
          <w:p>
            <w:pPr>
              <w:spacing w:after="0"/>
              <w:rPr>
                <w:sz w:val="12"/>
                <w:szCs w:val="12"/>
                <w:color w:val="auto"/>
              </w:rPr>
            </w:pPr>
          </w:p>
        </w:tc>
        <w:tc>
          <w:tcPr>
            <w:tcW w:w="980" w:type="dxa"/>
            <w:vAlign w:val="bottom"/>
          </w:tcPr>
          <w:p>
            <w:pPr>
              <w:jc w:val="right"/>
              <w:ind w:right="154"/>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52"/>
        </w:trPr>
        <w:tc>
          <w:tcPr>
            <w:tcW w:w="89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55"/>
              <w:spacing w:after="0"/>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0"/>
        </w:trPr>
        <w:tc>
          <w:tcPr>
            <w:tcW w:w="8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35"/>
              <w:spacing w:after="0"/>
              <w:rPr>
                <w:sz w:val="20"/>
                <w:szCs w:val="20"/>
                <w:color w:val="auto"/>
              </w:rPr>
            </w:pPr>
            <w:r>
              <w:rPr>
                <w:rFonts w:ascii="Arial" w:cs="Arial" w:eastAsia="Arial" w:hAnsi="Arial"/>
                <w:sz w:val="10"/>
                <w:szCs w:val="10"/>
                <w:b w:val="1"/>
                <w:bCs w:val="1"/>
                <w:color w:val="auto"/>
                <w:w w:val="97"/>
              </w:rPr>
              <w:t>(Unaudited)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940" w:type="dxa"/>
            <w:vAlign w:val="bottom"/>
            <w:shd w:val="clear" w:color="auto" w:fill="CCEEFF"/>
          </w:tcPr>
          <w:p>
            <w:pPr>
              <w:ind w:left="5420"/>
              <w:spacing w:after="0"/>
              <w:rPr>
                <w:sz w:val="20"/>
                <w:szCs w:val="20"/>
                <w:color w:val="auto"/>
              </w:rPr>
            </w:pPr>
            <w:r>
              <w:rPr>
                <w:rFonts w:ascii="Arial" w:cs="Arial" w:eastAsia="Arial" w:hAnsi="Arial"/>
                <w:sz w:val="12"/>
                <w:szCs w:val="12"/>
                <w:b w:val="1"/>
                <w:bCs w:val="1"/>
                <w:color w:val="auto"/>
              </w:rPr>
              <w:t>ASSETS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Investments: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94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w w:val="94"/>
              </w:rPr>
              <w:t>Fixed maturity securities available for sale, at fair value, at June 30, 2021 and December 31, 2020, net of allowance for credit losses of $13 and $19, respectively,</w:t>
            </w:r>
          </w:p>
        </w:tc>
        <w:tc>
          <w:tcPr>
            <w:tcW w:w="200" w:type="dxa"/>
            <w:vAlign w:val="bottom"/>
            <w:vMerge w:val="restart"/>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29,511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27,587</w:t>
            </w:r>
          </w:p>
        </w:tc>
        <w:tc>
          <w:tcPr>
            <w:tcW w:w="0" w:type="dxa"/>
            <w:vAlign w:val="bottom"/>
          </w:tcPr>
          <w:p>
            <w:pPr>
              <w:spacing w:after="0"/>
              <w:rPr>
                <w:sz w:val="1"/>
                <w:szCs w:val="1"/>
                <w:color w:val="auto"/>
              </w:rPr>
            </w:pPr>
          </w:p>
        </w:tc>
      </w:tr>
      <w:tr>
        <w:trPr>
          <w:trHeight w:val="171"/>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includes pledged fixed maturity securities of $459 and $455, respectively, related to secured trust deposits</w:t>
            </w:r>
          </w:p>
        </w:tc>
        <w:tc>
          <w:tcPr>
            <w:tcW w:w="2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940" w:type="dxa"/>
            <w:vAlign w:val="bottom"/>
          </w:tcPr>
          <w:p>
            <w:pPr>
              <w:ind w:left="180"/>
              <w:spacing w:after="0"/>
              <w:rPr>
                <w:sz w:val="20"/>
                <w:szCs w:val="20"/>
                <w:color w:val="auto"/>
              </w:rPr>
            </w:pPr>
            <w:r>
              <w:rPr>
                <w:rFonts w:ascii="Arial" w:cs="Arial" w:eastAsia="Arial" w:hAnsi="Arial"/>
                <w:sz w:val="13"/>
                <w:szCs w:val="13"/>
                <w:color w:val="auto"/>
              </w:rPr>
              <w:t>Preferred securities, at fair value</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1,341</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 securities, at fair value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73"/>
        </w:trPr>
        <w:tc>
          <w:tcPr>
            <w:tcW w:w="8940" w:type="dxa"/>
            <w:vAlign w:val="bottom"/>
          </w:tcPr>
          <w:p>
            <w:pPr>
              <w:ind w:left="180"/>
              <w:spacing w:after="0"/>
              <w:rPr>
                <w:sz w:val="20"/>
                <w:szCs w:val="20"/>
                <w:color w:val="auto"/>
              </w:rPr>
            </w:pPr>
            <w:r>
              <w:rPr>
                <w:rFonts w:ascii="Arial" w:cs="Arial" w:eastAsia="Arial" w:hAnsi="Arial"/>
                <w:sz w:val="13"/>
                <w:szCs w:val="13"/>
                <w:color w:val="auto"/>
              </w:rPr>
              <w:t>Derivative investments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Mortgage loans, net of allowance for credit losses of $34 and $39 at June 30, 2021 and December 31, 2020, respectively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73"/>
        </w:trPr>
        <w:tc>
          <w:tcPr>
            <w:tcW w:w="8940" w:type="dxa"/>
            <w:vAlign w:val="bottom"/>
          </w:tcPr>
          <w:p>
            <w:pPr>
              <w:ind w:left="180"/>
              <w:spacing w:after="0"/>
              <w:rPr>
                <w:sz w:val="20"/>
                <w:szCs w:val="20"/>
                <w:color w:val="auto"/>
              </w:rPr>
            </w:pPr>
            <w:r>
              <w:rPr>
                <w:rFonts w:ascii="Arial" w:cs="Arial" w:eastAsia="Arial" w:hAnsi="Arial"/>
                <w:sz w:val="13"/>
                <w:szCs w:val="13"/>
                <w:color w:val="auto"/>
              </w:rPr>
              <w:t>Investments in unconsolidated affiliates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long-term investments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36"/>
        </w:trPr>
        <w:tc>
          <w:tcPr>
            <w:tcW w:w="8940" w:type="dxa"/>
            <w:vAlign w:val="bottom"/>
          </w:tcPr>
          <w:p>
            <w:pPr>
              <w:ind w:left="180"/>
              <w:spacing w:after="0" w:line="136" w:lineRule="exact"/>
              <w:rPr>
                <w:sz w:val="20"/>
                <w:szCs w:val="20"/>
                <w:color w:val="auto"/>
              </w:rPr>
            </w:pPr>
            <w:r>
              <w:rPr>
                <w:rFonts w:ascii="Arial" w:cs="Arial" w:eastAsia="Arial" w:hAnsi="Arial"/>
                <w:sz w:val="13"/>
                <w:szCs w:val="13"/>
                <w:color w:val="auto"/>
                <w:w w:val="95"/>
              </w:rPr>
              <w:t>Short-term investments, at June 30, 2021 and December 31, 2020 includes pledged short-term investments of $3 and $1, respectively, related to secured trust</w:t>
            </w: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68"/>
        </w:trPr>
        <w:tc>
          <w:tcPr>
            <w:tcW w:w="89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deposits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9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investments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35,047</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w w:val="97"/>
              </w:rPr>
              <w:t>Cash and cash equivalents, at June 30, 2021 and December 31, 2020 includes $485 and $270, respectively, of pledged cash related to secured trust deposits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2,719</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notes receivables, net of allowance of $28 and $28 at June 30, 2021 and December 31, 2020, respectively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Reinsurance recoverable, net of allowance for credit losses of $20 and $21 at June 30, 2021 and December 31, 2020, respectively</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3,211</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assets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Other intangible assets, net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Title plants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 of discontinued operations</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70"/>
        </w:trPr>
        <w:tc>
          <w:tcPr>
            <w:tcW w:w="8940" w:type="dxa"/>
            <w:vAlign w:val="bottom"/>
          </w:tcPr>
          <w:p>
            <w:pPr>
              <w:ind w:left="420"/>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54,520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50,455</w:t>
            </w:r>
          </w:p>
        </w:tc>
        <w:tc>
          <w:tcPr>
            <w:tcW w:w="0" w:type="dxa"/>
            <w:vAlign w:val="bottom"/>
          </w:tcPr>
          <w:p>
            <w:pPr>
              <w:spacing w:after="0"/>
              <w:rPr>
                <w:sz w:val="1"/>
                <w:szCs w:val="1"/>
                <w:color w:val="auto"/>
              </w:rPr>
            </w:pP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940" w:type="dxa"/>
            <w:vAlign w:val="bottom"/>
            <w:shd w:val="clear" w:color="auto" w:fill="CCEEFF"/>
          </w:tcPr>
          <w:p>
            <w:pPr>
              <w:ind w:left="4900"/>
              <w:spacing w:after="0" w:line="116" w:lineRule="exact"/>
              <w:rPr>
                <w:sz w:val="20"/>
                <w:szCs w:val="20"/>
                <w:color w:val="auto"/>
              </w:rPr>
            </w:pPr>
            <w:r>
              <w:rPr>
                <w:rFonts w:ascii="Arial" w:cs="Arial" w:eastAsia="Arial" w:hAnsi="Arial"/>
                <w:sz w:val="12"/>
                <w:szCs w:val="12"/>
                <w:b w:val="1"/>
                <w:bCs w:val="1"/>
                <w:color w:val="auto"/>
              </w:rPr>
              <w:t>LIABILITIES AND EQUITY</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Contractholder funds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28,718</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Future policy benefits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4,010</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 and accrued liabilities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Notes payable</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2,662</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 for title claim losses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Funds withheld for reinsurance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 trust deposits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payable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3"/>
        </w:trPr>
        <w:tc>
          <w:tcPr>
            <w:tcW w:w="894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of discontinued operations</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4"/>
        </w:trPr>
        <w:tc>
          <w:tcPr>
            <w:tcW w:w="8940" w:type="dxa"/>
            <w:vAlign w:val="bottom"/>
          </w:tcPr>
          <w:p>
            <w:pPr>
              <w:ind w:left="420"/>
              <w:spacing w:after="0"/>
              <w:rPr>
                <w:sz w:val="20"/>
                <w:szCs w:val="20"/>
                <w:color w:val="auto"/>
              </w:rPr>
            </w:pPr>
            <w:r>
              <w:rPr>
                <w:rFonts w:ascii="Arial" w:cs="Arial" w:eastAsia="Arial" w:hAnsi="Arial"/>
                <w:sz w:val="13"/>
                <w:szCs w:val="13"/>
                <w:color w:val="auto"/>
              </w:rPr>
              <w:t>Total liabilities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45,632</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42,063</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940" w:type="dxa"/>
            <w:vAlign w:val="bottom"/>
          </w:tcPr>
          <w:p>
            <w:pPr>
              <w:ind w:left="180"/>
              <w:spacing w:after="0" w:line="136" w:lineRule="exact"/>
              <w:rPr>
                <w:sz w:val="20"/>
                <w:szCs w:val="20"/>
                <w:color w:val="auto"/>
              </w:rPr>
            </w:pPr>
            <w:r>
              <w:rPr>
                <w:rFonts w:ascii="Arial" w:cs="Arial" w:eastAsia="Arial" w:hAnsi="Arial"/>
                <w:sz w:val="13"/>
                <w:szCs w:val="13"/>
                <w:color w:val="auto"/>
                <w:w w:val="91"/>
              </w:rPr>
              <w:t>FNF common stock, $0.0001 par value; authorized 600,000,000 shares as of June 30, 2021 and December 31, 2020; outstanding of 285,689,238 and 291,448,627 as</w:t>
            </w:r>
          </w:p>
        </w:tc>
        <w:tc>
          <w:tcPr>
            <w:tcW w:w="2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180"/>
              <w:spacing w:after="0"/>
              <w:rPr>
                <w:sz w:val="20"/>
                <w:szCs w:val="20"/>
                <w:color w:val="auto"/>
              </w:rPr>
            </w:pPr>
            <w:r>
              <w:rPr>
                <w:rFonts w:ascii="Arial" w:cs="Arial" w:eastAsia="Arial" w:hAnsi="Arial"/>
                <w:sz w:val="13"/>
                <w:szCs w:val="13"/>
                <w:color w:val="auto"/>
                <w:w w:val="95"/>
              </w:rPr>
              <w:t>of June 30, 2021 and December 31, 2020, respectively, and issued of 323,664,713 and 322,622,948 as of June 30, 2021 and December 31, 2020, respectively</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$0.0001 par value; authorized 50,000,000 shares; issued and outstanding, none</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894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5,720</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Retained earnings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0" w:type="dxa"/>
            <w:vAlign w:val="bottom"/>
          </w:tcPr>
          <w:p>
            <w:pPr>
              <w:spacing w:after="0"/>
              <w:rPr>
                <w:sz w:val="1"/>
                <w:szCs w:val="1"/>
                <w:color w:val="auto"/>
              </w:rPr>
            </w:pPr>
          </w:p>
        </w:tc>
      </w:tr>
      <w:tr>
        <w:trPr>
          <w:trHeight w:val="173"/>
        </w:trPr>
        <w:tc>
          <w:tcPr>
            <w:tcW w:w="8940" w:type="dxa"/>
            <w:vAlign w:val="bottom"/>
          </w:tcPr>
          <w:p>
            <w:pPr>
              <w:ind w:left="180"/>
              <w:spacing w:after="0"/>
              <w:rPr>
                <w:sz w:val="20"/>
                <w:szCs w:val="20"/>
                <w:color w:val="auto"/>
              </w:rPr>
            </w:pPr>
            <w:r>
              <w:rPr>
                <w:rFonts w:ascii="Arial" w:cs="Arial" w:eastAsia="Arial" w:hAnsi="Arial"/>
                <w:sz w:val="13"/>
                <w:szCs w:val="13"/>
                <w:color w:val="auto"/>
              </w:rPr>
              <w:t>Accumulated other comprehensive earnings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1,304</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Less: Treasury stock, 37,975,475 shares and 31,174,321 shares as of June 30, 2021 and December 31, 2020, respectively, at cost</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64"/>
        </w:trPr>
        <w:tc>
          <w:tcPr>
            <w:tcW w:w="8940" w:type="dxa"/>
            <w:vAlign w:val="bottom"/>
          </w:tcPr>
          <w:p>
            <w:pPr>
              <w:ind w:left="420"/>
              <w:spacing w:after="0"/>
              <w:rPr>
                <w:sz w:val="20"/>
                <w:szCs w:val="20"/>
                <w:color w:val="auto"/>
              </w:rPr>
            </w:pPr>
            <w:r>
              <w:rPr>
                <w:rFonts w:ascii="Arial" w:cs="Arial" w:eastAsia="Arial" w:hAnsi="Arial"/>
                <w:sz w:val="13"/>
                <w:szCs w:val="13"/>
                <w:color w:val="auto"/>
              </w:rPr>
              <w:t>Total Fidelity National Financial, Inc. shareholders’ equity</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8,846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8,351</w:t>
            </w: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4"/>
        </w:trPr>
        <w:tc>
          <w:tcPr>
            <w:tcW w:w="894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Total equity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8,392</w:t>
            </w:r>
          </w:p>
        </w:tc>
        <w:tc>
          <w:tcPr>
            <w:tcW w:w="0" w:type="dxa"/>
            <w:vAlign w:val="bottom"/>
          </w:tcPr>
          <w:p>
            <w:pPr>
              <w:spacing w:after="0"/>
              <w:rPr>
                <w:sz w:val="1"/>
                <w:szCs w:val="1"/>
                <w:color w:val="auto"/>
              </w:rPr>
            </w:pPr>
          </w:p>
        </w:tc>
      </w:tr>
      <w:tr>
        <w:trPr>
          <w:trHeight w:val="195"/>
        </w:trPr>
        <w:tc>
          <w:tcPr>
            <w:tcW w:w="8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liabilities and equity</w:t>
            </w: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54,520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50,455</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8312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EARNINGS</w:t>
      </w:r>
    </w:p>
    <w:p>
      <w:pPr>
        <w:jc w:val="center"/>
        <w:spacing w:after="0"/>
        <w:rPr>
          <w:sz w:val="20"/>
          <w:szCs w:val="20"/>
          <w:color w:val="auto"/>
        </w:rPr>
      </w:pPr>
      <w:r>
        <w:rPr>
          <w:rFonts w:ascii="Arial" w:cs="Arial" w:eastAsia="Arial" w:hAnsi="Arial"/>
          <w:sz w:val="12"/>
          <w:szCs w:val="12"/>
          <w:color w:val="auto"/>
        </w:rPr>
        <w:t>(Dollars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gridSpan w:val="6"/>
          </w:tcPr>
          <w:p>
            <w:pPr>
              <w:ind w:left="80"/>
              <w:spacing w:after="0"/>
              <w:rPr>
                <w:sz w:val="20"/>
                <w:szCs w:val="20"/>
                <w:color w:val="auto"/>
              </w:rPr>
            </w:pPr>
            <w:r>
              <w:rPr>
                <w:rFonts w:ascii="Arial" w:cs="Arial" w:eastAsia="Arial" w:hAnsi="Arial"/>
                <w:sz w:val="12"/>
                <w:szCs w:val="12"/>
                <w:b w:val="1"/>
                <w:bCs w:val="1"/>
                <w:color w:val="auto"/>
                <w:w w:val="93"/>
              </w:rPr>
              <w:t>Three months ended June 30,</w:t>
            </w:r>
          </w:p>
        </w:tc>
        <w:tc>
          <w:tcPr>
            <w:tcW w:w="120" w:type="dxa"/>
            <w:vAlign w:val="bottom"/>
          </w:tcPr>
          <w:p>
            <w:pPr>
              <w:spacing w:after="0"/>
              <w:rPr>
                <w:sz w:val="13"/>
                <w:szCs w:val="13"/>
                <w:color w:val="auto"/>
              </w:rPr>
            </w:pPr>
          </w:p>
        </w:tc>
        <w:tc>
          <w:tcPr>
            <w:tcW w:w="1480" w:type="dxa"/>
            <w:vAlign w:val="bottom"/>
            <w:gridSpan w:val="4"/>
          </w:tcPr>
          <w:p>
            <w:pPr>
              <w:jc w:val="right"/>
              <w:ind w:right="74"/>
              <w:spacing w:after="0"/>
              <w:rPr>
                <w:sz w:val="20"/>
                <w:szCs w:val="20"/>
                <w:color w:val="auto"/>
              </w:rPr>
            </w:pPr>
            <w:r>
              <w:rPr>
                <w:rFonts w:ascii="Arial" w:cs="Arial" w:eastAsia="Arial" w:hAnsi="Arial"/>
                <w:sz w:val="12"/>
                <w:szCs w:val="12"/>
                <w:b w:val="1"/>
                <w:bCs w:val="1"/>
                <w:color w:val="auto"/>
                <w:w w:val="85"/>
              </w:rPr>
              <w:t>Six months ended June 30,</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w w:val="74"/>
              </w:rPr>
              <w:t>2020</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5"/>
        </w:trPr>
        <w:tc>
          <w:tcPr>
            <w:tcW w:w="6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right"/>
              <w:spacing w:after="0"/>
              <w:rPr>
                <w:sz w:val="20"/>
                <w:szCs w:val="20"/>
                <w:color w:val="auto"/>
              </w:rPr>
            </w:pPr>
            <w:r>
              <w:rPr>
                <w:rFonts w:ascii="Arial" w:cs="Arial" w:eastAsia="Arial" w:hAnsi="Arial"/>
                <w:sz w:val="12"/>
                <w:szCs w:val="12"/>
                <w:b w:val="1"/>
                <w:bCs w:val="1"/>
                <w:color w:val="auto"/>
              </w:rPr>
              <w:t>(Unaudited)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right"/>
              <w:ind w:right="434"/>
              <w:spacing w:after="0"/>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78"/>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Revenues:</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00" w:type="dxa"/>
            <w:vAlign w:val="bottom"/>
          </w:tcPr>
          <w:p>
            <w:pPr>
              <w:ind w:left="180"/>
              <w:spacing w:after="0"/>
              <w:rPr>
                <w:sz w:val="20"/>
                <w:szCs w:val="20"/>
                <w:color w:val="auto"/>
              </w:rPr>
            </w:pPr>
            <w:r>
              <w:rPr>
                <w:rFonts w:ascii="Arial" w:cs="Arial" w:eastAsia="Arial" w:hAnsi="Arial"/>
                <w:sz w:val="13"/>
                <w:szCs w:val="13"/>
                <w:color w:val="auto"/>
              </w:rPr>
              <w:t>Direct title insurance premiums</w:t>
            </w:r>
          </w:p>
        </w:tc>
        <w:tc>
          <w:tcPr>
            <w:tcW w:w="208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575</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1,650</w:t>
            </w:r>
          </w:p>
        </w:tc>
        <w:tc>
          <w:tcPr>
            <w:tcW w:w="8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Agency title insurance premiums</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w:t>
            </w:r>
          </w:p>
        </w:tc>
        <w:tc>
          <w:tcPr>
            <w:tcW w:w="0" w:type="dxa"/>
            <w:vAlign w:val="bottom"/>
          </w:tcPr>
          <w:p>
            <w:pPr>
              <w:spacing w:after="0"/>
              <w:rPr>
                <w:sz w:val="1"/>
                <w:szCs w:val="1"/>
                <w:color w:val="auto"/>
              </w:rPr>
            </w:pPr>
          </w:p>
        </w:tc>
      </w:tr>
      <w:tr>
        <w:trPr>
          <w:trHeight w:val="173"/>
        </w:trPr>
        <w:tc>
          <w:tcPr>
            <w:tcW w:w="6100" w:type="dxa"/>
            <w:vAlign w:val="bottom"/>
          </w:tcPr>
          <w:p>
            <w:pPr>
              <w:ind w:left="180"/>
              <w:spacing w:after="0"/>
              <w:rPr>
                <w:sz w:val="20"/>
                <w:szCs w:val="20"/>
                <w:color w:val="auto"/>
              </w:rPr>
            </w:pPr>
            <w:r>
              <w:rPr>
                <w:rFonts w:ascii="Arial" w:cs="Arial" w:eastAsia="Arial" w:hAnsi="Arial"/>
                <w:sz w:val="13"/>
                <w:szCs w:val="13"/>
                <w:color w:val="auto"/>
              </w:rPr>
              <w:t>Escrow, title-related and other fees</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1,348</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and investment income</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Recognized gains and losses, net</w:t>
            </w:r>
          </w:p>
        </w:tc>
        <w:tc>
          <w:tcPr>
            <w:tcW w:w="1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Total revenues</w:t>
            </w:r>
          </w:p>
        </w:tc>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4,032</w:t>
            </w:r>
          </w:p>
        </w:tc>
        <w:tc>
          <w:tcPr>
            <w:tcW w:w="0" w:type="dxa"/>
            <w:vAlign w:val="bottom"/>
          </w:tcPr>
          <w:p>
            <w:pPr>
              <w:spacing w:after="0"/>
              <w:rPr>
                <w:sz w:val="1"/>
                <w:szCs w:val="1"/>
                <w:color w:val="auto"/>
              </w:rPr>
            </w:pPr>
          </w:p>
        </w:tc>
      </w:tr>
      <w:tr>
        <w:trPr>
          <w:trHeight w:val="173"/>
        </w:trPr>
        <w:tc>
          <w:tcPr>
            <w:tcW w:w="6100" w:type="dxa"/>
            <w:vAlign w:val="bottom"/>
          </w:tcPr>
          <w:p>
            <w:pPr>
              <w:ind w:left="20"/>
              <w:spacing w:after="0"/>
              <w:rPr>
                <w:sz w:val="20"/>
                <w:szCs w:val="20"/>
                <w:color w:val="auto"/>
              </w:rPr>
            </w:pPr>
            <w:r>
              <w:rPr>
                <w:rFonts w:ascii="Arial" w:cs="Arial" w:eastAsia="Arial" w:hAnsi="Arial"/>
                <w:sz w:val="13"/>
                <w:szCs w:val="13"/>
                <w:color w:val="auto"/>
              </w:rPr>
              <w:t>Expenses:</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Personnel costs</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w:t>
            </w:r>
          </w:p>
        </w:tc>
        <w:tc>
          <w:tcPr>
            <w:tcW w:w="0" w:type="dxa"/>
            <w:vAlign w:val="bottom"/>
          </w:tcPr>
          <w:p>
            <w:pPr>
              <w:spacing w:after="0"/>
              <w:rPr>
                <w:sz w:val="1"/>
                <w:szCs w:val="1"/>
                <w:color w:val="auto"/>
              </w:rPr>
            </w:pPr>
          </w:p>
        </w:tc>
      </w:tr>
      <w:tr>
        <w:trPr>
          <w:trHeight w:val="173"/>
        </w:trPr>
        <w:tc>
          <w:tcPr>
            <w:tcW w:w="6100" w:type="dxa"/>
            <w:vAlign w:val="bottom"/>
          </w:tcPr>
          <w:p>
            <w:pPr>
              <w:ind w:left="180"/>
              <w:spacing w:after="0"/>
              <w:rPr>
                <w:sz w:val="20"/>
                <w:szCs w:val="20"/>
                <w:color w:val="auto"/>
              </w:rPr>
            </w:pPr>
            <w:r>
              <w:rPr>
                <w:rFonts w:ascii="Arial" w:cs="Arial" w:eastAsia="Arial" w:hAnsi="Arial"/>
                <w:sz w:val="13"/>
                <w:szCs w:val="13"/>
                <w:color w:val="auto"/>
              </w:rPr>
              <w:t>Agent commissions</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598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1,158</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operating expenses</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73"/>
        </w:trPr>
        <w:tc>
          <w:tcPr>
            <w:tcW w:w="6100" w:type="dxa"/>
            <w:vAlign w:val="bottom"/>
          </w:tcPr>
          <w:p>
            <w:pPr>
              <w:ind w:left="180"/>
              <w:spacing w:after="0"/>
              <w:rPr>
                <w:sz w:val="20"/>
                <w:szCs w:val="20"/>
                <w:color w:val="auto"/>
              </w:rPr>
            </w:pPr>
            <w:r>
              <w:rPr>
                <w:rFonts w:ascii="Arial" w:cs="Arial" w:eastAsia="Arial" w:hAnsi="Arial"/>
                <w:sz w:val="13"/>
                <w:szCs w:val="13"/>
                <w:color w:val="auto"/>
              </w:rPr>
              <w:t>Benefits and other changes in policy reserves</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73"/>
        </w:trPr>
        <w:tc>
          <w:tcPr>
            <w:tcW w:w="6100" w:type="dxa"/>
            <w:vAlign w:val="bottom"/>
          </w:tcPr>
          <w:p>
            <w:pPr>
              <w:ind w:left="180"/>
              <w:spacing w:after="0"/>
              <w:rPr>
                <w:sz w:val="20"/>
                <w:szCs w:val="20"/>
                <w:color w:val="auto"/>
              </w:rPr>
            </w:pPr>
            <w:r>
              <w:rPr>
                <w:rFonts w:ascii="Arial" w:cs="Arial" w:eastAsia="Arial" w:hAnsi="Arial"/>
                <w:sz w:val="13"/>
                <w:szCs w:val="13"/>
                <w:color w:val="auto"/>
              </w:rPr>
              <w:t>Provision for title claim losses</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w:t>
            </w:r>
          </w:p>
        </w:tc>
        <w:tc>
          <w:tcPr>
            <w:tcW w:w="19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4"/>
        </w:trPr>
        <w:tc>
          <w:tcPr>
            <w:tcW w:w="6100" w:type="dxa"/>
            <w:vAlign w:val="bottom"/>
            <w:tcBorders>
              <w:bottom w:val="single" w:sz="8" w:color="CCEEFF"/>
            </w:tcBorders>
          </w:tcPr>
          <w:p>
            <w:pPr>
              <w:ind w:left="640"/>
              <w:spacing w:after="0"/>
              <w:rPr>
                <w:sz w:val="20"/>
                <w:szCs w:val="20"/>
                <w:color w:val="auto"/>
              </w:rPr>
            </w:pPr>
            <w:r>
              <w:rPr>
                <w:rFonts w:ascii="Arial" w:cs="Arial" w:eastAsia="Arial" w:hAnsi="Arial"/>
                <w:sz w:val="13"/>
                <w:szCs w:val="13"/>
                <w:color w:val="auto"/>
              </w:rPr>
              <w:t>Total expenses</w:t>
            </w:r>
          </w:p>
        </w:tc>
        <w:tc>
          <w:tcPr>
            <w:tcW w:w="1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5,484</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3,717</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Earnings from continuing operations before income taxes and equity in earnings of unconsolidated affiliates</w:t>
            </w:r>
          </w:p>
        </w:tc>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before equity in earnings of unconsolidated affiliates</w:t>
            </w:r>
          </w:p>
        </w:tc>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 earnings of unconsolidated affiliates</w:t>
            </w:r>
          </w:p>
        </w:tc>
        <w:tc>
          <w:tcPr>
            <w:tcW w:w="1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 from continuing operations</w:t>
            </w:r>
          </w:p>
        </w:tc>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earnings from discontinued operations, net of tax</w:t>
            </w:r>
          </w:p>
        </w:tc>
        <w:tc>
          <w:tcPr>
            <w:tcW w:w="1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Net earnings attributable to non-controlling interests</w:t>
            </w:r>
          </w:p>
        </w:tc>
        <w:tc>
          <w:tcPr>
            <w:tcW w:w="1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8"/>
        </w:trPr>
        <w:tc>
          <w:tcPr>
            <w:tcW w:w="6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earnings attributable to Fidelity National Financial, Inc. common shareholders</w:t>
            </w:r>
          </w:p>
        </w:tc>
        <w:tc>
          <w:tcPr>
            <w:tcW w:w="2080" w:type="dxa"/>
            <w:vAlign w:val="bottom"/>
            <w:gridSpan w:val="2"/>
            <w:shd w:val="clear" w:color="auto" w:fill="CCEEFF"/>
          </w:tcPr>
          <w:p>
            <w:pPr>
              <w:jc w:val="right"/>
              <w:ind w:right="41"/>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Earnings per share</w:t>
            </w: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10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Basic</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from continuing operations attributable to common shareholders</w:t>
            </w:r>
          </w:p>
        </w:tc>
        <w:tc>
          <w:tcPr>
            <w:tcW w:w="208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1.10</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3.99</w:t>
            </w:r>
          </w:p>
        </w:tc>
        <w:tc>
          <w:tcPr>
            <w:tcW w:w="8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 per share from discontinued operations attributable to common shareholders</w:t>
            </w:r>
          </w:p>
        </w:tc>
        <w:tc>
          <w:tcPr>
            <w:tcW w:w="19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70"/>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attributable to common shareholders, basic</w:t>
            </w:r>
          </w:p>
        </w:tc>
        <w:tc>
          <w:tcPr>
            <w:tcW w:w="208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1.12</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0.90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i w:val="1"/>
                <w:iCs w:val="1"/>
                <w:color w:val="auto"/>
              </w:rPr>
              <w:t>Diluted</w:t>
            </w:r>
          </w:p>
        </w:tc>
        <w:tc>
          <w:tcPr>
            <w:tcW w:w="1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from continuing operations attributable to common shareholders</w:t>
            </w:r>
          </w:p>
        </w:tc>
        <w:tc>
          <w:tcPr>
            <w:tcW w:w="208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1.09</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3.96</w:t>
            </w:r>
          </w:p>
        </w:tc>
        <w:tc>
          <w:tcPr>
            <w:tcW w:w="8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0.87</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 per share from discontinued operations attributable to common shareholders</w:t>
            </w:r>
          </w:p>
        </w:tc>
        <w:tc>
          <w:tcPr>
            <w:tcW w:w="19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70"/>
        </w:trPr>
        <w:tc>
          <w:tcPr>
            <w:tcW w:w="6100" w:type="dxa"/>
            <w:vAlign w:val="bottom"/>
          </w:tcPr>
          <w:p>
            <w:pPr>
              <w:ind w:left="20"/>
              <w:spacing w:after="0"/>
              <w:rPr>
                <w:sz w:val="20"/>
                <w:szCs w:val="20"/>
                <w:color w:val="auto"/>
              </w:rPr>
            </w:pPr>
            <w:r>
              <w:rPr>
                <w:rFonts w:ascii="Arial" w:cs="Arial" w:eastAsia="Arial" w:hAnsi="Arial"/>
                <w:sz w:val="13"/>
                <w:szCs w:val="13"/>
                <w:color w:val="auto"/>
              </w:rPr>
              <w:t>Net earnings per share attributable to common shareholders, diluted</w:t>
            </w:r>
          </w:p>
        </w:tc>
        <w:tc>
          <w:tcPr>
            <w:tcW w:w="208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1.11</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0.89</w:t>
            </w:r>
          </w:p>
        </w:tc>
        <w:tc>
          <w:tcPr>
            <w:tcW w:w="0" w:type="dxa"/>
            <w:vAlign w:val="bottom"/>
          </w:tcPr>
          <w:p>
            <w:pPr>
              <w:spacing w:after="0"/>
              <w:rPr>
                <w:sz w:val="1"/>
                <w:szCs w:val="1"/>
                <w:color w:val="auto"/>
              </w:rPr>
            </w:pPr>
          </w:p>
        </w:tc>
      </w:tr>
      <w:tr>
        <w:trPr>
          <w:trHeight w:val="75"/>
        </w:trPr>
        <w:tc>
          <w:tcPr>
            <w:tcW w:w="6100" w:type="dxa"/>
            <w:vAlign w:val="bottom"/>
            <w:tcBorders>
              <w:bottom w:val="single" w:sz="8" w:color="CCEEFF"/>
            </w:tcBorders>
          </w:tcPr>
          <w:p>
            <w:pPr>
              <w:spacing w:after="0"/>
              <w:rPr>
                <w:sz w:val="6"/>
                <w:szCs w:val="6"/>
                <w:color w:val="auto"/>
              </w:rPr>
            </w:pPr>
          </w:p>
        </w:tc>
        <w:tc>
          <w:tcPr>
            <w:tcW w:w="1900" w:type="dxa"/>
            <w:vAlign w:val="bottom"/>
            <w:tcBorders>
              <w:bottom w:val="single" w:sz="8" w:color="CCEEFF"/>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10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Weighted average common shares outstanding - basic</w:t>
            </w:r>
          </w:p>
        </w:tc>
        <w:tc>
          <w:tcPr>
            <w:tcW w:w="1900" w:type="dxa"/>
            <w:vAlign w:val="bottom"/>
            <w:tcBorders>
              <w:top w:val="single" w:sz="8" w:color="CCEEFF"/>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5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CCEEFF"/>
              <w:bottom w:val="single" w:sz="8" w:color="auto"/>
            </w:tcBorders>
          </w:tcPr>
          <w:p>
            <w:pPr>
              <w:spacing w:after="0"/>
              <w:rPr>
                <w:sz w:val="15"/>
                <w:szCs w:val="15"/>
                <w:color w:val="auto"/>
              </w:rPr>
            </w:pPr>
          </w:p>
        </w:tc>
        <w:tc>
          <w:tcPr>
            <w:tcW w:w="5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277</w:t>
            </w: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6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5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 - diluted</w:t>
            </w:r>
          </w:p>
        </w:tc>
        <w:tc>
          <w:tcPr>
            <w:tcW w:w="19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4060"/>
              <w:spacing w:after="0"/>
              <w:rPr>
                <w:sz w:val="20"/>
                <w:szCs w:val="20"/>
                <w:color w:val="auto"/>
              </w:rPr>
            </w:pPr>
            <w:r>
              <w:rPr>
                <w:rFonts w:ascii="Arial" w:cs="Arial" w:eastAsia="Arial" w:hAnsi="Arial"/>
                <w:sz w:val="13"/>
                <w:szCs w:val="13"/>
                <w:color w:val="auto"/>
                <w:w w:val="86"/>
              </w:rPr>
              <w:t>See Notes to Condensed Consolidated</w:t>
            </w:r>
            <w:r>
              <w:rPr>
                <w:rFonts w:ascii="Arial" w:cs="Arial" w:eastAsia="Arial" w:hAnsi="Arial"/>
                <w:sz w:val="14"/>
                <w:szCs w:val="14"/>
                <w:color w:val="auto"/>
                <w:w w:val="86"/>
              </w:rPr>
              <w:t>4</w:t>
            </w: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00" w:type="dxa"/>
            <w:vAlign w:val="bottom"/>
            <w:vMerge w:val="continue"/>
          </w:tcPr>
          <w:p>
            <w:pPr>
              <w:spacing w:after="0"/>
              <w:rPr>
                <w:sz w:val="24"/>
                <w:szCs w:val="24"/>
                <w:color w:val="auto"/>
              </w:rPr>
            </w:pPr>
          </w:p>
        </w:tc>
        <w:tc>
          <w:tcPr>
            <w:tcW w:w="2080" w:type="dxa"/>
            <w:vAlign w:val="bottom"/>
            <w:gridSpan w:val="2"/>
          </w:tcPr>
          <w:p>
            <w:pPr>
              <w:jc w:val="right"/>
              <w:ind w:right="901"/>
              <w:spacing w:after="0"/>
              <w:rPr>
                <w:sz w:val="20"/>
                <w:szCs w:val="20"/>
                <w:color w:val="auto"/>
              </w:rPr>
            </w:pPr>
            <w:r>
              <w:rPr>
                <w:rFonts w:ascii="Arial" w:cs="Arial" w:eastAsia="Arial" w:hAnsi="Arial"/>
                <w:sz w:val="13"/>
                <w:szCs w:val="13"/>
                <w:color w:val="auto"/>
                <w:w w:val="90"/>
              </w:rPr>
              <w:t>Financial Statements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61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EARNINGS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80" w:type="dxa"/>
            <w:vAlign w:val="bottom"/>
          </w:tcPr>
          <w:p>
            <w:pPr>
              <w:spacing w:after="0"/>
              <w:rPr>
                <w:sz w:val="13"/>
                <w:szCs w:val="13"/>
                <w:color w:val="auto"/>
              </w:rPr>
            </w:pPr>
          </w:p>
        </w:tc>
        <w:tc>
          <w:tcPr>
            <w:tcW w:w="1860" w:type="dxa"/>
            <w:vAlign w:val="bottom"/>
            <w:gridSpan w:val="6"/>
          </w:tcPr>
          <w:p>
            <w:pPr>
              <w:ind w:left="140"/>
              <w:spacing w:after="0"/>
              <w:rPr>
                <w:sz w:val="20"/>
                <w:szCs w:val="20"/>
                <w:color w:val="auto"/>
              </w:rPr>
            </w:pPr>
            <w:r>
              <w:rPr>
                <w:rFonts w:ascii="Arial" w:cs="Arial" w:eastAsia="Arial" w:hAnsi="Arial"/>
                <w:sz w:val="12"/>
                <w:szCs w:val="12"/>
                <w:b w:val="1"/>
                <w:bCs w:val="1"/>
                <w:color w:val="auto"/>
              </w:rPr>
              <w:t>Three months ended June 30,</w:t>
            </w:r>
          </w:p>
        </w:tc>
        <w:tc>
          <w:tcPr>
            <w:tcW w:w="140" w:type="dxa"/>
            <w:vAlign w:val="bottom"/>
          </w:tcPr>
          <w:p>
            <w:pPr>
              <w:spacing w:after="0"/>
              <w:rPr>
                <w:sz w:val="13"/>
                <w:szCs w:val="13"/>
                <w:color w:val="auto"/>
              </w:rPr>
            </w:pPr>
          </w:p>
        </w:tc>
        <w:tc>
          <w:tcPr>
            <w:tcW w:w="1600" w:type="dxa"/>
            <w:vAlign w:val="bottom"/>
            <w:gridSpan w:val="4"/>
          </w:tcPr>
          <w:p>
            <w:pPr>
              <w:jc w:val="right"/>
              <w:ind w:right="128"/>
              <w:spacing w:after="0"/>
              <w:rPr>
                <w:sz w:val="20"/>
                <w:szCs w:val="20"/>
                <w:color w:val="auto"/>
              </w:rPr>
            </w:pPr>
            <w:r>
              <w:rPr>
                <w:rFonts w:ascii="Arial" w:cs="Arial" w:eastAsia="Arial" w:hAnsi="Arial"/>
                <w:sz w:val="12"/>
                <w:szCs w:val="12"/>
                <w:b w:val="1"/>
                <w:bCs w:val="1"/>
                <w:color w:val="auto"/>
                <w:w w:val="89"/>
              </w:rPr>
              <w:t>Six months ended June 30,</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w w:val="82"/>
              </w:rPr>
              <w:t>2020</w:t>
            </w:r>
          </w:p>
        </w:tc>
        <w:tc>
          <w:tcPr>
            <w:tcW w:w="0" w:type="dxa"/>
            <w:vAlign w:val="bottom"/>
          </w:tcPr>
          <w:p>
            <w:pPr>
              <w:spacing w:after="0"/>
              <w:rPr>
                <w:sz w:val="1"/>
                <w:szCs w:val="1"/>
                <w:color w:val="auto"/>
              </w:rPr>
            </w:pPr>
          </w:p>
        </w:tc>
      </w:tr>
      <w:tr>
        <w:trPr>
          <w:trHeight w:val="145"/>
        </w:trPr>
        <w:tc>
          <w:tcPr>
            <w:tcW w:w="7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(Unaudited)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rPr>
              <w:t>(Unaudited)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earnings</w:t>
            </w:r>
          </w:p>
        </w:tc>
        <w:tc>
          <w:tcPr>
            <w:tcW w:w="540" w:type="dxa"/>
            <w:vAlign w:val="bottom"/>
            <w:shd w:val="clear" w:color="auto" w:fill="CCEEFF"/>
          </w:tcPr>
          <w:p>
            <w:pPr>
              <w:jc w:val="right"/>
              <w:ind w:right="374"/>
              <w:spacing w:after="0"/>
              <w:rPr>
                <w:sz w:val="20"/>
                <w:szCs w:val="20"/>
                <w:color w:val="auto"/>
              </w:rPr>
            </w:pPr>
            <w:r>
              <w:rPr>
                <w:rFonts w:ascii="Arial" w:cs="Arial" w:eastAsia="Arial" w:hAnsi="Arial"/>
                <w:sz w:val="15"/>
                <w:szCs w:val="15"/>
                <w:color w:val="auto"/>
                <w:w w:val="95"/>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557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87"/>
        </w:trPr>
        <w:tc>
          <w:tcPr>
            <w:tcW w:w="7680" w:type="dxa"/>
            <w:vAlign w:val="bottom"/>
          </w:tcPr>
          <w:p>
            <w:pPr>
              <w:ind w:left="20"/>
              <w:spacing w:after="0"/>
              <w:rPr>
                <w:sz w:val="20"/>
                <w:szCs w:val="20"/>
                <w:color w:val="auto"/>
              </w:rPr>
            </w:pPr>
            <w:r>
              <w:rPr>
                <w:rFonts w:ascii="Arial" w:cs="Arial" w:eastAsia="Arial" w:hAnsi="Arial"/>
                <w:sz w:val="15"/>
                <w:szCs w:val="15"/>
                <w:color w:val="auto"/>
              </w:rPr>
              <w:t>Other comprehensive earnings (loss):</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680" w:type="dxa"/>
            <w:vAlign w:val="bottom"/>
            <w:shd w:val="clear" w:color="auto" w:fill="CCEEFF"/>
          </w:tcPr>
          <w:p>
            <w:pPr>
              <w:ind w:left="180"/>
              <w:spacing w:after="0" w:line="144" w:lineRule="exact"/>
              <w:rPr>
                <w:sz w:val="20"/>
                <w:szCs w:val="20"/>
                <w:color w:val="auto"/>
              </w:rPr>
            </w:pPr>
            <w:r>
              <w:rPr>
                <w:rFonts w:ascii="Arial" w:cs="Arial" w:eastAsia="Arial" w:hAnsi="Arial"/>
                <w:sz w:val="15"/>
                <w:szCs w:val="15"/>
                <w:color w:val="auto"/>
                <w:w w:val="91"/>
              </w:rPr>
              <w:t>Unrealized gain (loss) on investments and other financial instruments, net of adjustments to intangible assets and unearned</w:t>
            </w:r>
          </w:p>
        </w:tc>
        <w:tc>
          <w:tcPr>
            <w:tcW w:w="54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377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186"/>
        </w:trPr>
        <w:tc>
          <w:tcPr>
            <w:tcW w:w="7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revenue (excluding investments in unconsolidated affiliates) (1)</w:t>
            </w:r>
          </w:p>
        </w:tc>
        <w:tc>
          <w:tcPr>
            <w:tcW w:w="54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80" w:type="dxa"/>
            <w:vAlign w:val="bottom"/>
          </w:tcPr>
          <w:p>
            <w:pPr>
              <w:ind w:left="180"/>
              <w:spacing w:after="0"/>
              <w:rPr>
                <w:sz w:val="20"/>
                <w:szCs w:val="20"/>
                <w:color w:val="auto"/>
              </w:rPr>
            </w:pPr>
            <w:r>
              <w:rPr>
                <w:rFonts w:ascii="Arial" w:cs="Arial" w:eastAsia="Arial" w:hAnsi="Arial"/>
                <w:sz w:val="15"/>
                <w:szCs w:val="15"/>
                <w:color w:val="auto"/>
              </w:rPr>
              <w:t>Unrealized gain on investments in unconsolidated affiliates (2)</w:t>
            </w:r>
          </w:p>
        </w:tc>
        <w:tc>
          <w:tcPr>
            <w:tcW w:w="54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7"/>
        </w:trPr>
        <w:tc>
          <w:tcPr>
            <w:tcW w:w="7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Unrealized gain (loss) on foreign currency translation (3)</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7"/>
        </w:trPr>
        <w:tc>
          <w:tcPr>
            <w:tcW w:w="7680" w:type="dxa"/>
            <w:vAlign w:val="bottom"/>
          </w:tcPr>
          <w:p>
            <w:pPr>
              <w:ind w:left="180"/>
              <w:spacing w:after="0"/>
              <w:rPr>
                <w:sz w:val="20"/>
                <w:szCs w:val="20"/>
                <w:color w:val="auto"/>
              </w:rPr>
            </w:pPr>
            <w:r>
              <w:rPr>
                <w:rFonts w:ascii="Arial" w:cs="Arial" w:eastAsia="Arial" w:hAnsi="Arial"/>
                <w:sz w:val="15"/>
                <w:szCs w:val="15"/>
                <w:color w:val="auto"/>
              </w:rPr>
              <w:t>Reclassification adjustments for change in unrealized gains and losses included in net earnings (4)</w:t>
            </w:r>
          </w:p>
        </w:tc>
        <w:tc>
          <w:tcPr>
            <w:tcW w:w="5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7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Change in reinsurance liabilities held at fair value resulting from a change in the instrument-specific credit risk (5)</w:t>
            </w:r>
          </w:p>
        </w:tc>
        <w:tc>
          <w:tcPr>
            <w:tcW w:w="5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comprehensive earnings (loss)</w:t>
            </w:r>
          </w:p>
        </w:tc>
        <w:tc>
          <w:tcPr>
            <w:tcW w:w="5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374</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401</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386</w:t>
            </w:r>
          </w:p>
        </w:tc>
        <w:tc>
          <w:tcPr>
            <w:tcW w:w="0" w:type="dxa"/>
            <w:vAlign w:val="bottom"/>
          </w:tcPr>
          <w:p>
            <w:pPr>
              <w:spacing w:after="0"/>
              <w:rPr>
                <w:sz w:val="1"/>
                <w:szCs w:val="1"/>
                <w:color w:val="auto"/>
              </w:rPr>
            </w:pPr>
          </w:p>
        </w:tc>
      </w:tr>
      <w:tr>
        <w:trPr>
          <w:trHeight w:val="178"/>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earnings</w:t>
            </w: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0" w:type="dxa"/>
            <w:vAlign w:val="bottom"/>
          </w:tcPr>
          <w:p>
            <w:pPr>
              <w:spacing w:after="0"/>
              <w:rPr>
                <w:sz w:val="1"/>
                <w:szCs w:val="1"/>
                <w:color w:val="auto"/>
              </w:rPr>
            </w:pPr>
          </w:p>
        </w:tc>
      </w:tr>
      <w:tr>
        <w:trPr>
          <w:trHeight w:val="187"/>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Comprehensive earnings attributable to non-controlling interests</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earnings attributable to Fidelity National Financial, Inc. common shareholders</w:t>
            </w: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5"/>
                <w:szCs w:val="15"/>
                <w:color w:val="auto"/>
                <w:w w:val="9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926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w:t>
      </w:r>
    </w:p>
    <w:p>
      <w:pPr>
        <w:spacing w:after="0" w:line="47" w:lineRule="exact"/>
        <w:rPr>
          <w:sz w:val="20"/>
          <w:szCs w:val="20"/>
          <w:color w:val="auto"/>
        </w:rPr>
      </w:pPr>
    </w:p>
    <w:p>
      <w:pPr>
        <w:ind w:left="800" w:hanging="792"/>
        <w:spacing w:after="0" w:line="264"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(benefit) of $100 million and $121 million for the three-month periods ended June 30, 2021 and 2020, respectively, and $(46) million and $118 million for the six-month periods ended June 30, 2021 and 2020, respectively.</w:t>
      </w:r>
    </w:p>
    <w:p>
      <w:pPr>
        <w:spacing w:after="0" w:line="103" w:lineRule="exact"/>
        <w:rPr>
          <w:rFonts w:ascii="Arial" w:cs="Arial" w:eastAsia="Arial" w:hAnsi="Arial"/>
          <w:sz w:val="15"/>
          <w:szCs w:val="15"/>
          <w:color w:val="auto"/>
        </w:rPr>
      </w:pPr>
    </w:p>
    <w:p>
      <w:pPr>
        <w:ind w:left="800" w:hanging="792"/>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of $3 million and $2 million for the six-month periods ended June 30, 2021 and 2020, respectively.</w:t>
      </w:r>
    </w:p>
    <w:p>
      <w:pPr>
        <w:spacing w:after="0" w:line="135" w:lineRule="exact"/>
        <w:rPr>
          <w:rFonts w:ascii="Arial" w:cs="Arial" w:eastAsia="Arial" w:hAnsi="Arial"/>
          <w:sz w:val="15"/>
          <w:szCs w:val="15"/>
          <w:color w:val="auto"/>
        </w:rPr>
      </w:pPr>
    </w:p>
    <w:p>
      <w:pPr>
        <w:ind w:left="800" w:hanging="792"/>
        <w:spacing w:after="0" w:line="264"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(benefit) of less than $1 million and $2 million for the three-month periods ended June 30, 2021 and 2020, respectively and less than $(1) million for the six-month periods ended June 30, 2021 and 2020, respectively.</w:t>
      </w:r>
    </w:p>
    <w:p>
      <w:pPr>
        <w:spacing w:after="0" w:line="103" w:lineRule="exact"/>
        <w:rPr>
          <w:rFonts w:ascii="Arial" w:cs="Arial" w:eastAsia="Arial" w:hAnsi="Arial"/>
          <w:sz w:val="15"/>
          <w:szCs w:val="15"/>
          <w:color w:val="auto"/>
        </w:rPr>
      </w:pPr>
    </w:p>
    <w:p>
      <w:pPr>
        <w:ind w:left="800" w:hanging="792"/>
        <w:spacing w:after="0" w:line="264"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(benefit) of $1 million and $(1) million for the three-month periods ended June 30, 2021 and 2020, respectively, and $14 million and $0 million for the six-month periods ended June 30, 2021 and 2020, respectively.</w:t>
      </w:r>
    </w:p>
    <w:p>
      <w:pPr>
        <w:spacing w:after="0" w:line="103" w:lineRule="exact"/>
        <w:rPr>
          <w:rFonts w:ascii="Arial" w:cs="Arial" w:eastAsia="Arial" w:hAnsi="Arial"/>
          <w:sz w:val="15"/>
          <w:szCs w:val="15"/>
          <w:color w:val="auto"/>
        </w:rPr>
      </w:pPr>
    </w:p>
    <w:p>
      <w:pPr>
        <w:ind w:left="800" w:hanging="792"/>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income tax expense of $1 million for the three and six-month periods ended June 30, 2020.</w:t>
      </w:r>
    </w:p>
    <w:p>
      <w:pPr>
        <w:spacing w:after="0" w:line="13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8"/>
          </w:tcPr>
          <w:p>
            <w:pPr>
              <w:ind w:left="120"/>
              <w:spacing w:after="0"/>
              <w:rPr>
                <w:sz w:val="20"/>
                <w:szCs w:val="20"/>
                <w:color w:val="auto"/>
              </w:rPr>
            </w:pPr>
            <w:r>
              <w:rPr>
                <w:rFonts w:ascii="Arial" w:cs="Arial" w:eastAsia="Arial" w:hAnsi="Arial"/>
                <w:sz w:val="10"/>
                <w:szCs w:val="10"/>
                <w:b w:val="1"/>
                <w:bCs w:val="1"/>
                <w:color w:val="auto"/>
              </w:rPr>
              <w:t>Fidelity National Financial, Inc. Common Shareholders</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Accumulated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left="489"/>
              <w:spacing w:after="0"/>
              <w:rPr>
                <w:sz w:val="20"/>
                <w:szCs w:val="20"/>
                <w:color w:val="auto"/>
              </w:rPr>
            </w:pPr>
            <w:r>
              <w:rPr>
                <w:rFonts w:ascii="Arial" w:cs="Arial" w:eastAsia="Arial" w:hAnsi="Arial"/>
                <w:sz w:val="10"/>
                <w:szCs w:val="10"/>
                <w:b w:val="1"/>
                <w:bCs w:val="1"/>
                <w:color w:val="auto"/>
              </w:rPr>
              <w:t>FNF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Redeemable</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left="309"/>
              <w:spacing w:after="0"/>
              <w:rPr>
                <w:sz w:val="20"/>
                <w:szCs w:val="20"/>
                <w:color w:val="auto"/>
              </w:rPr>
            </w:pPr>
            <w:r>
              <w:rPr>
                <w:rFonts w:ascii="Arial" w:cs="Arial" w:eastAsia="Arial" w:hAnsi="Arial"/>
                <w:sz w:val="10"/>
                <w:szCs w:val="10"/>
                <w:b w:val="1"/>
                <w:bCs w:val="1"/>
                <w:color w:val="auto"/>
                <w:w w:val="92"/>
              </w:rPr>
              <w:t>Common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Comprehensive</w:t>
            </w:r>
          </w:p>
        </w:tc>
        <w:tc>
          <w:tcPr>
            <w:tcW w:w="90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Treasury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Non-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6"/>
              </w:rPr>
              <w:t>Non-</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gridSpan w:val="3"/>
          </w:tcPr>
          <w:p>
            <w:pPr>
              <w:jc w:val="center"/>
              <w:ind w:left="309"/>
              <w:spacing w:after="0"/>
              <w:rPr>
                <w:sz w:val="20"/>
                <w:szCs w:val="20"/>
                <w:color w:val="auto"/>
              </w:rPr>
            </w:pPr>
            <w:r>
              <w:rPr>
                <w:rFonts w:ascii="Arial" w:cs="Arial" w:eastAsia="Arial" w:hAnsi="Arial"/>
                <w:sz w:val="10"/>
                <w:szCs w:val="10"/>
                <w:b w:val="1"/>
                <w:bCs w:val="1"/>
                <w:color w:val="auto"/>
                <w:w w:val="87"/>
              </w:rPr>
              <w:t>Stock</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Paid-in</w:t>
            </w: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Earnings</w:t>
            </w:r>
          </w:p>
        </w:tc>
        <w:tc>
          <w:tcPr>
            <w:tcW w:w="9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0"/>
                <w:szCs w:val="10"/>
                <w:b w:val="1"/>
                <w:bCs w:val="1"/>
                <w:color w:val="auto"/>
              </w:rPr>
              <w:t>Stock</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controlling</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0"/>
                <w:szCs w:val="10"/>
                <w:b w:val="1"/>
                <w:bCs w:val="1"/>
                <w:color w:val="auto"/>
                <w:w w:val="92"/>
              </w:rPr>
              <w:t>controlling</w:t>
            </w: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1"/>
                <w:szCs w:val="11"/>
                <w:color w:val="auto"/>
              </w:rPr>
            </w:pPr>
          </w:p>
        </w:tc>
        <w:tc>
          <w:tcPr>
            <w:tcW w:w="3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Capital</w:t>
            </w:r>
          </w:p>
        </w:tc>
        <w:tc>
          <w:tcPr>
            <w:tcW w:w="1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(Loss)</w:t>
            </w:r>
          </w:p>
        </w:tc>
        <w:tc>
          <w:tcPr>
            <w:tcW w:w="74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38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Interests</w:t>
            </w:r>
          </w:p>
        </w:tc>
        <w:tc>
          <w:tcPr>
            <w:tcW w:w="12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Equity</w:t>
            </w:r>
          </w:p>
        </w:tc>
        <w:tc>
          <w:tcPr>
            <w:tcW w:w="120" w:type="dxa"/>
            <w:vAlign w:val="bottom"/>
          </w:tcPr>
          <w:p>
            <w:pPr>
              <w:spacing w:after="0"/>
              <w:rPr>
                <w:sz w:val="11"/>
                <w:szCs w:val="11"/>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Interests</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Balance, March 31, 2020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292</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4,592</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1,204</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(692)</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5,116</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F&amp;G Acquisition</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794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577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tcPr>
          <w:p>
            <w:pPr>
              <w:jc w:val="right"/>
              <w:ind w:right="9"/>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Treasury stock repurchased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rPr>
              <w:t>Change in reinsurance liabilities held at fair value resulting from a</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change in instrument-specific credit risk</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w w:val="96"/>
              </w:rPr>
              <w:t>Other comprehensive earnings - unrealized gain on investments and</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389</w:t>
            </w: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389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financial instruments</w:t>
            </w:r>
          </w:p>
        </w:tc>
        <w:tc>
          <w:tcPr>
            <w:tcW w:w="7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w w:val="96"/>
              </w:rPr>
              <w:t>Other comprehensive earnings - unrealized gain on foreign currency</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translation</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Reclassification adjustments for change in unrealized gains and</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losses included in net earnings</w:t>
            </w:r>
          </w:p>
        </w:tc>
        <w:tc>
          <w:tcPr>
            <w:tcW w:w="7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tcPr>
          <w:p>
            <w:pPr>
              <w:jc w:val="right"/>
              <w:ind w:right="9"/>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Dividends declared, $0.33 per common share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318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Balance, June 30,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318</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5,431</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1,417</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429</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(919)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6,349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75"/>
        </w:trPr>
        <w:tc>
          <w:tcPr>
            <w:tcW w:w="28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960" w:type="dxa"/>
            <w:vAlign w:val="bottom"/>
            <w:tcBorders>
              <w:top w:val="single" w:sz="8" w:color="CCEEFF"/>
            </w:tcBorders>
            <w:gridSpan w:val="2"/>
          </w:tcPr>
          <w:p>
            <w:pPr>
              <w:ind w:left="20"/>
              <w:spacing w:after="0"/>
              <w:rPr>
                <w:sz w:val="20"/>
                <w:szCs w:val="20"/>
                <w:color w:val="auto"/>
              </w:rPr>
            </w:pPr>
            <w:r>
              <w:rPr>
                <w:rFonts w:ascii="Arial" w:cs="Arial" w:eastAsia="Arial" w:hAnsi="Arial"/>
                <w:sz w:val="10"/>
                <w:szCs w:val="10"/>
                <w:color w:val="auto"/>
              </w:rPr>
              <w:t>Balance, March 31, 2021</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324</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CCEEFF"/>
            </w:tcBorders>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5,752</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2,893</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720</w:t>
            </w: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34</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(1,179)</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8,226</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Purchase of incremental share in consolidated subsidiaries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Exercise of stock options</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tcPr>
          <w:p>
            <w:pPr>
              <w:jc w:val="right"/>
              <w:ind w:right="9"/>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Treasury stock repurchased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rPr>
              <w:t>Other comprehensive earnings — unrealized gain on investments</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377</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377</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and other financial instruments</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Other comprehensive earnings — unrealized gain on foreign</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currency translation</w:t>
            </w:r>
          </w:p>
        </w:tc>
        <w:tc>
          <w:tcPr>
            <w:tcW w:w="7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rPr>
              <w:t>Reclassification adjustments for change in unrealized gains and</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losses included in net earnings</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Dividends declared, $0.36 per common share</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552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557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 June 30,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5,771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3,343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(1,362)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8,888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8"/>
          </w:tcPr>
          <w:p>
            <w:pPr>
              <w:ind w:left="120"/>
              <w:spacing w:after="0"/>
              <w:rPr>
                <w:sz w:val="20"/>
                <w:szCs w:val="20"/>
                <w:color w:val="auto"/>
              </w:rPr>
            </w:pPr>
            <w:r>
              <w:rPr>
                <w:rFonts w:ascii="Arial" w:cs="Arial" w:eastAsia="Arial" w:hAnsi="Arial"/>
                <w:sz w:val="10"/>
                <w:szCs w:val="10"/>
                <w:b w:val="1"/>
                <w:bCs w:val="1"/>
                <w:color w:val="auto"/>
              </w:rPr>
              <w:t>Fidelity National Financial, Inc. Common Shareholders</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Accumulated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left="489"/>
              <w:spacing w:after="0"/>
              <w:rPr>
                <w:sz w:val="20"/>
                <w:szCs w:val="20"/>
                <w:color w:val="auto"/>
              </w:rPr>
            </w:pPr>
            <w:r>
              <w:rPr>
                <w:rFonts w:ascii="Arial" w:cs="Arial" w:eastAsia="Arial" w:hAnsi="Arial"/>
                <w:sz w:val="10"/>
                <w:szCs w:val="10"/>
                <w:b w:val="1"/>
                <w:bCs w:val="1"/>
                <w:color w:val="auto"/>
              </w:rPr>
              <w:t>FNF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Redeemable</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left="309"/>
              <w:spacing w:after="0"/>
              <w:rPr>
                <w:sz w:val="20"/>
                <w:szCs w:val="20"/>
                <w:color w:val="auto"/>
              </w:rPr>
            </w:pPr>
            <w:r>
              <w:rPr>
                <w:rFonts w:ascii="Arial" w:cs="Arial" w:eastAsia="Arial" w:hAnsi="Arial"/>
                <w:sz w:val="10"/>
                <w:szCs w:val="10"/>
                <w:b w:val="1"/>
                <w:bCs w:val="1"/>
                <w:color w:val="auto"/>
                <w:w w:val="92"/>
              </w:rPr>
              <w:t>Common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Comprehensive</w:t>
            </w:r>
          </w:p>
        </w:tc>
        <w:tc>
          <w:tcPr>
            <w:tcW w:w="90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Treasury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Non-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6"/>
              </w:rPr>
              <w:t>Non-</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gridSpan w:val="3"/>
          </w:tcPr>
          <w:p>
            <w:pPr>
              <w:jc w:val="center"/>
              <w:ind w:left="309"/>
              <w:spacing w:after="0"/>
              <w:rPr>
                <w:sz w:val="20"/>
                <w:szCs w:val="20"/>
                <w:color w:val="auto"/>
              </w:rPr>
            </w:pPr>
            <w:r>
              <w:rPr>
                <w:rFonts w:ascii="Arial" w:cs="Arial" w:eastAsia="Arial" w:hAnsi="Arial"/>
                <w:sz w:val="10"/>
                <w:szCs w:val="10"/>
                <w:b w:val="1"/>
                <w:bCs w:val="1"/>
                <w:color w:val="auto"/>
                <w:w w:val="87"/>
              </w:rPr>
              <w:t>Stock</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Paid-in</w:t>
            </w: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Earnings</w:t>
            </w:r>
          </w:p>
        </w:tc>
        <w:tc>
          <w:tcPr>
            <w:tcW w:w="9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0"/>
                <w:szCs w:val="10"/>
                <w:b w:val="1"/>
                <w:bCs w:val="1"/>
                <w:color w:val="auto"/>
              </w:rPr>
              <w:t>Stock</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controlling</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0"/>
                <w:szCs w:val="10"/>
                <w:b w:val="1"/>
                <w:bCs w:val="1"/>
                <w:color w:val="auto"/>
                <w:w w:val="92"/>
              </w:rPr>
              <w:t>controlling</w:t>
            </w: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1"/>
                <w:szCs w:val="11"/>
                <w:color w:val="auto"/>
              </w:rPr>
            </w:pPr>
          </w:p>
        </w:tc>
        <w:tc>
          <w:tcPr>
            <w:tcW w:w="3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Capital</w:t>
            </w:r>
          </w:p>
        </w:tc>
        <w:tc>
          <w:tcPr>
            <w:tcW w:w="1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(Loss)</w:t>
            </w:r>
          </w:p>
        </w:tc>
        <w:tc>
          <w:tcPr>
            <w:tcW w:w="74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38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Interests</w:t>
            </w:r>
          </w:p>
        </w:tc>
        <w:tc>
          <w:tcPr>
            <w:tcW w:w="12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Equity</w:t>
            </w:r>
          </w:p>
        </w:tc>
        <w:tc>
          <w:tcPr>
            <w:tcW w:w="120" w:type="dxa"/>
            <w:vAlign w:val="bottom"/>
          </w:tcPr>
          <w:p>
            <w:pPr>
              <w:spacing w:after="0"/>
              <w:rPr>
                <w:sz w:val="11"/>
                <w:szCs w:val="11"/>
                <w:color w:val="auto"/>
              </w:rPr>
            </w:pPr>
          </w:p>
        </w:tc>
        <w:tc>
          <w:tcPr>
            <w:tcW w:w="760" w:type="dxa"/>
            <w:vAlign w:val="bottom"/>
          </w:tcPr>
          <w:p>
            <w:pPr>
              <w:jc w:val="center"/>
              <w:ind w:right="89"/>
              <w:spacing w:after="0"/>
              <w:rPr>
                <w:sz w:val="20"/>
                <w:szCs w:val="20"/>
                <w:color w:val="auto"/>
              </w:rPr>
            </w:pPr>
            <w:r>
              <w:rPr>
                <w:rFonts w:ascii="Arial" w:cs="Arial" w:eastAsia="Arial" w:hAnsi="Arial"/>
                <w:sz w:val="10"/>
                <w:szCs w:val="10"/>
                <w:b w:val="1"/>
                <w:bCs w:val="1"/>
                <w:color w:val="auto"/>
                <w:w w:val="91"/>
              </w:rPr>
              <w:t>Interests</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Balance, December 31,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292</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4,581</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1,356</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(598)</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5,365</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F&amp;G acquisition</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794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577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tcPr>
          <w:p>
            <w:pPr>
              <w:jc w:val="right"/>
              <w:ind w:right="9"/>
              <w:spacing w:after="0"/>
              <w:rPr>
                <w:sz w:val="20"/>
                <w:szCs w:val="20"/>
                <w:color w:val="auto"/>
              </w:rPr>
            </w:pPr>
            <w:r>
              <w:rPr>
                <w:rFonts w:ascii="Arial" w:cs="Arial" w:eastAsia="Arial" w:hAnsi="Arial"/>
                <w:sz w:val="10"/>
                <w:szCs w:val="10"/>
                <w:color w:val="auto"/>
              </w:rPr>
              <w:t>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Treasury stock repurchased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rPr>
              <w:t>Change in reinsurance liabilities held at fair value resulting from a</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change in instrument-specific credit risk</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w w:val="96"/>
              </w:rPr>
              <w:t>Other comprehensive earnings - unrealized gain on investments and</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380</w:t>
            </w: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380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financial instruments</w:t>
            </w:r>
          </w:p>
        </w:tc>
        <w:tc>
          <w:tcPr>
            <w:tcW w:w="7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w w:val="99"/>
              </w:rPr>
              <w:t>Other comprehensive earnings - unrealized gain on investments in</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unconsolidated affiliates</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rPr>
              <w:t>Other comprehensive loss - unrealized loss on foreign currency</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translation</w:t>
            </w:r>
          </w:p>
        </w:tc>
        <w:tc>
          <w:tcPr>
            <w:tcW w:w="7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tcPr>
          <w:p>
            <w:pPr>
              <w:jc w:val="right"/>
              <w:ind w:right="9"/>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Dividends declared,$0.66 per common share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Balance, June 30,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318</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5,431</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1,417</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429</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(919)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6,349</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75"/>
        </w:trPr>
        <w:tc>
          <w:tcPr>
            <w:tcW w:w="28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960" w:type="dxa"/>
            <w:vAlign w:val="bottom"/>
            <w:tcBorders>
              <w:top w:val="single" w:sz="8" w:color="CCEEFF"/>
            </w:tcBorders>
            <w:gridSpan w:val="2"/>
          </w:tcPr>
          <w:p>
            <w:pPr>
              <w:ind w:left="20"/>
              <w:spacing w:after="0"/>
              <w:rPr>
                <w:sz w:val="20"/>
                <w:szCs w:val="20"/>
                <w:color w:val="auto"/>
              </w:rPr>
            </w:pPr>
            <w:r>
              <w:rPr>
                <w:rFonts w:ascii="Arial" w:cs="Arial" w:eastAsia="Arial" w:hAnsi="Arial"/>
                <w:sz w:val="10"/>
                <w:szCs w:val="10"/>
                <w:color w:val="auto"/>
              </w:rPr>
              <w:t>Balance, December 31, 2020</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323</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CCEEFF"/>
            </w:tcBorders>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5,720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2,394</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1,304</w:t>
            </w: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31</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(1,067)</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8,392</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Purchase of incremental share in consolidated subsidiaries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tcPr>
          <w:p>
            <w:pPr>
              <w:jc w:val="right"/>
              <w:ind w:right="9"/>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Treasury stock repurchased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rPr>
              <w:t>Other comprehensive loss — unrealized loss on investments and</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(168)</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(168)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other financial instruments</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0"/>
                <w:szCs w:val="10"/>
                <w:color w:val="auto"/>
                <w:w w:val="97"/>
              </w:rPr>
              <w:t>Other comprehensive earnings — unrealized gain on investments in</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unconsolidated affiliates</w:t>
            </w:r>
          </w:p>
        </w:tc>
        <w:tc>
          <w:tcPr>
            <w:tcW w:w="7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960" w:type="dxa"/>
            <w:vAlign w:val="bottom"/>
            <w:gridSpan w:val="2"/>
          </w:tcPr>
          <w:p>
            <w:pPr>
              <w:ind w:left="20"/>
              <w:spacing w:after="0" w:line="99" w:lineRule="exact"/>
              <w:rPr>
                <w:sz w:val="20"/>
                <w:szCs w:val="20"/>
                <w:color w:val="auto"/>
              </w:rPr>
            </w:pPr>
            <w:r>
              <w:rPr>
                <w:rFonts w:ascii="Arial" w:cs="Arial" w:eastAsia="Arial" w:hAnsi="Arial"/>
                <w:sz w:val="10"/>
                <w:szCs w:val="10"/>
                <w:color w:val="auto"/>
              </w:rPr>
              <w:t>Reclassification adjustments for change in unrealized gains and</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losses included in net earnings</w:t>
            </w: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Dividends declared, $0.72 per common share</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Subsidiary dividends declared to non-controlling interests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Net earnings</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1,166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 June 30,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5,771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3,343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(1,362)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8,888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320" w:type="dxa"/>
            <w:vAlign w:val="bottom"/>
          </w:tcPr>
          <w:p>
            <w:pPr>
              <w:spacing w:after="0"/>
              <w:rPr>
                <w:sz w:val="13"/>
                <w:szCs w:val="13"/>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7"/>
              </w:rPr>
              <w:t>For the six months ended June 30,</w:t>
            </w:r>
          </w:p>
        </w:tc>
      </w:tr>
      <w:tr>
        <w:trPr>
          <w:trHeight w:val="148"/>
        </w:trPr>
        <w:tc>
          <w:tcPr>
            <w:tcW w:w="932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2020</w:t>
            </w:r>
          </w:p>
        </w:tc>
      </w:tr>
      <w:tr>
        <w:trPr>
          <w:trHeight w:val="140"/>
        </w:trPr>
        <w:tc>
          <w:tcPr>
            <w:tcW w:w="9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(Unaudited)</w:t>
            </w:r>
          </w:p>
        </w:tc>
        <w:tc>
          <w:tcPr>
            <w:tcW w:w="620" w:type="dxa"/>
            <w:vAlign w:val="bottom"/>
          </w:tcPr>
          <w:p>
            <w:pPr>
              <w:spacing w:after="0"/>
              <w:rPr>
                <w:sz w:val="12"/>
                <w:szCs w:val="12"/>
                <w:color w:val="auto"/>
              </w:rPr>
            </w:pPr>
          </w:p>
        </w:tc>
      </w:tr>
      <w:tr>
        <w:trPr>
          <w:trHeight w:val="155"/>
        </w:trPr>
        <w:tc>
          <w:tcPr>
            <w:tcW w:w="932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9"/>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earnings (loss)</w:t>
            </w:r>
          </w:p>
        </w:tc>
        <w:tc>
          <w:tcPr>
            <w:tcW w:w="62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1,166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261</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Depreciation and amortization</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w:t>
            </w:r>
          </w:p>
        </w:tc>
      </w:tr>
      <w:tr>
        <w:trPr>
          <w:trHeight w:val="151"/>
        </w:trPr>
        <w:tc>
          <w:tcPr>
            <w:tcW w:w="9320" w:type="dxa"/>
            <w:vAlign w:val="bottom"/>
          </w:tcPr>
          <w:p>
            <w:pPr>
              <w:ind w:left="380"/>
              <w:spacing w:after="0"/>
              <w:rPr>
                <w:sz w:val="20"/>
                <w:szCs w:val="20"/>
                <w:color w:val="auto"/>
              </w:rPr>
            </w:pPr>
            <w:r>
              <w:rPr>
                <w:rFonts w:ascii="Arial" w:cs="Arial" w:eastAsia="Arial" w:hAnsi="Arial"/>
                <w:sz w:val="12"/>
                <w:szCs w:val="12"/>
                <w:color w:val="auto"/>
              </w:rPr>
              <w:t>Equity in earnings of unconsolidated affiliates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(Gain) loss on sales of investments and other assets and asset impairments, net</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r>
      <w:tr>
        <w:trPr>
          <w:trHeight w:val="151"/>
        </w:trPr>
        <w:tc>
          <w:tcPr>
            <w:tcW w:w="9320" w:type="dxa"/>
            <w:vAlign w:val="bottom"/>
          </w:tcPr>
          <w:p>
            <w:pPr>
              <w:ind w:left="380"/>
              <w:spacing w:after="0"/>
              <w:rPr>
                <w:sz w:val="20"/>
                <w:szCs w:val="20"/>
                <w:color w:val="auto"/>
              </w:rPr>
            </w:pPr>
            <w:r>
              <w:rPr>
                <w:rFonts w:ascii="Arial" w:cs="Arial" w:eastAsia="Arial" w:hAnsi="Arial"/>
                <w:sz w:val="12"/>
                <w:szCs w:val="12"/>
                <w:color w:val="auto"/>
              </w:rPr>
              <w:t>Loss on the sale of businesses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credited/index credits to contractholder account balances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w:t>
            </w:r>
          </w:p>
        </w:tc>
      </w:tr>
      <w:tr>
        <w:trPr>
          <w:trHeight w:val="151"/>
        </w:trPr>
        <w:tc>
          <w:tcPr>
            <w:tcW w:w="9320" w:type="dxa"/>
            <w:vAlign w:val="bottom"/>
          </w:tcPr>
          <w:p>
            <w:pPr>
              <w:ind w:left="380"/>
              <w:spacing w:after="0"/>
              <w:rPr>
                <w:sz w:val="20"/>
                <w:szCs w:val="20"/>
                <w:color w:val="auto"/>
              </w:rPr>
            </w:pPr>
            <w:r>
              <w:rPr>
                <w:rFonts w:ascii="Arial" w:cs="Arial" w:eastAsia="Arial" w:hAnsi="Arial"/>
                <w:sz w:val="12"/>
                <w:szCs w:val="12"/>
                <w:color w:val="auto"/>
              </w:rPr>
              <w:t>Deferred policy acquisition costs and deferred sales inducements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Charges assessed to contractholders for mortality and admin</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51"/>
        </w:trPr>
        <w:tc>
          <w:tcPr>
            <w:tcW w:w="9320" w:type="dxa"/>
            <w:vAlign w:val="bottom"/>
          </w:tcPr>
          <w:p>
            <w:pPr>
              <w:ind w:left="380"/>
              <w:spacing w:after="0"/>
              <w:rPr>
                <w:sz w:val="20"/>
                <w:szCs w:val="20"/>
                <w:color w:val="auto"/>
              </w:rPr>
            </w:pPr>
            <w:r>
              <w:rPr>
                <w:rFonts w:ascii="Arial" w:cs="Arial" w:eastAsia="Arial" w:hAnsi="Arial"/>
                <w:sz w:val="12"/>
                <w:szCs w:val="12"/>
                <w:color w:val="auto"/>
              </w:rPr>
              <w:t>Non-cash lease costs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77</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Operating lease payments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r>
      <w:tr>
        <w:trPr>
          <w:trHeight w:val="151"/>
        </w:trPr>
        <w:tc>
          <w:tcPr>
            <w:tcW w:w="9320" w:type="dxa"/>
            <w:vAlign w:val="bottom"/>
          </w:tcPr>
          <w:p>
            <w:pPr>
              <w:ind w:left="380"/>
              <w:spacing w:after="0"/>
              <w:rPr>
                <w:sz w:val="20"/>
                <w:szCs w:val="20"/>
                <w:color w:val="auto"/>
              </w:rPr>
            </w:pPr>
            <w:r>
              <w:rPr>
                <w:rFonts w:ascii="Arial" w:cs="Arial" w:eastAsia="Arial" w:hAnsi="Arial"/>
                <w:sz w:val="12"/>
                <w:szCs w:val="12"/>
                <w:color w:val="auto"/>
              </w:rPr>
              <w:t>Distributions from unconsolidated affiliates, return on investment</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9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Stock-based compensation cost</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r>
      <w:tr>
        <w:trPr>
          <w:trHeight w:val="151"/>
        </w:trPr>
        <w:tc>
          <w:tcPr>
            <w:tcW w:w="9320" w:type="dxa"/>
            <w:vAlign w:val="bottom"/>
          </w:tcPr>
          <w:p>
            <w:pPr>
              <w:ind w:left="380"/>
              <w:spacing w:after="0"/>
              <w:rPr>
                <w:sz w:val="20"/>
                <w:szCs w:val="20"/>
                <w:color w:val="auto"/>
              </w:rPr>
            </w:pPr>
            <w:r>
              <w:rPr>
                <w:rFonts w:ascii="Arial" w:cs="Arial" w:eastAsia="Arial" w:hAnsi="Arial"/>
                <w:sz w:val="12"/>
                <w:szCs w:val="12"/>
                <w:color w:val="auto"/>
              </w:rPr>
              <w:t>Change in valuation of derivatives, equity and preferred securities, net</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100</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Changes in assets and liabilities, net of effects from acquisitions: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1"/>
        </w:trPr>
        <w:tc>
          <w:tcPr>
            <w:tcW w:w="9320" w:type="dxa"/>
            <w:vAlign w:val="bottom"/>
          </w:tcPr>
          <w:p>
            <w:pPr>
              <w:ind w:left="420"/>
              <w:spacing w:after="0"/>
              <w:rPr>
                <w:sz w:val="20"/>
                <w:szCs w:val="20"/>
                <w:color w:val="auto"/>
              </w:rPr>
            </w:pPr>
            <w:r>
              <w:rPr>
                <w:rFonts w:ascii="Arial" w:cs="Arial" w:eastAsia="Arial" w:hAnsi="Arial"/>
                <w:sz w:val="12"/>
                <w:szCs w:val="12"/>
                <w:color w:val="auto"/>
              </w:rPr>
              <w:t>Change in collateral returned (posted)</w:t>
            </w:r>
          </w:p>
        </w:tc>
        <w:tc>
          <w:tcPr>
            <w:tcW w:w="6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Change in reinsurance recoverable</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w:t>
            </w:r>
          </w:p>
        </w:tc>
      </w:tr>
      <w:tr>
        <w:trPr>
          <w:trHeight w:val="151"/>
        </w:trPr>
        <w:tc>
          <w:tcPr>
            <w:tcW w:w="9320" w:type="dxa"/>
            <w:vAlign w:val="bottom"/>
          </w:tcPr>
          <w:p>
            <w:pPr>
              <w:ind w:left="420"/>
              <w:spacing w:after="0"/>
              <w:rPr>
                <w:sz w:val="20"/>
                <w:szCs w:val="20"/>
                <w:color w:val="auto"/>
              </w:rPr>
            </w:pPr>
            <w:r>
              <w:rPr>
                <w:rFonts w:ascii="Arial" w:cs="Arial" w:eastAsia="Arial" w:hAnsi="Arial"/>
                <w:sz w:val="12"/>
                <w:szCs w:val="12"/>
                <w:color w:val="auto"/>
              </w:rPr>
              <w:t>Change in future policy benefits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Change in funds withheld from reinsurers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r>
      <w:tr>
        <w:trPr>
          <w:trHeight w:val="151"/>
        </w:trPr>
        <w:tc>
          <w:tcPr>
            <w:tcW w:w="9320" w:type="dxa"/>
            <w:vAlign w:val="bottom"/>
          </w:tcPr>
          <w:p>
            <w:pPr>
              <w:ind w:left="420"/>
              <w:spacing w:after="0"/>
              <w:rPr>
                <w:sz w:val="20"/>
                <w:szCs w:val="20"/>
                <w:color w:val="auto"/>
              </w:rPr>
            </w:pPr>
            <w:r>
              <w:rPr>
                <w:rFonts w:ascii="Arial" w:cs="Arial" w:eastAsia="Arial" w:hAnsi="Arial"/>
                <w:sz w:val="12"/>
                <w:szCs w:val="12"/>
                <w:color w:val="auto"/>
              </w:rPr>
              <w:t>Net decrease in trade receivables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9</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Net increase in reserve for title claim losses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w:t>
            </w:r>
          </w:p>
        </w:tc>
      </w:tr>
      <w:tr>
        <w:trPr>
          <w:trHeight w:val="151"/>
        </w:trPr>
        <w:tc>
          <w:tcPr>
            <w:tcW w:w="9320" w:type="dxa"/>
            <w:vAlign w:val="bottom"/>
          </w:tcPr>
          <w:p>
            <w:pPr>
              <w:ind w:left="420"/>
              <w:spacing w:after="0"/>
              <w:rPr>
                <w:sz w:val="20"/>
                <w:szCs w:val="20"/>
                <w:color w:val="auto"/>
              </w:rPr>
            </w:pPr>
            <w:r>
              <w:rPr>
                <w:rFonts w:ascii="Arial" w:cs="Arial" w:eastAsia="Arial" w:hAnsi="Arial"/>
                <w:sz w:val="12"/>
                <w:szCs w:val="12"/>
                <w:color w:val="auto"/>
              </w:rPr>
              <w:t>Net change in income taxes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48</w:t>
            </w:r>
          </w:p>
        </w:tc>
      </w:tr>
      <w:tr>
        <w:trPr>
          <w:trHeight w:val="157"/>
        </w:trPr>
        <w:tc>
          <w:tcPr>
            <w:tcW w:w="93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Net change in other assets and other liabilities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w:t>
            </w:r>
          </w:p>
        </w:tc>
      </w:tr>
      <w:tr>
        <w:trPr>
          <w:trHeight w:val="142"/>
        </w:trPr>
        <w:tc>
          <w:tcPr>
            <w:tcW w:w="9320" w:type="dxa"/>
            <w:vAlign w:val="bottom"/>
          </w:tcPr>
          <w:p>
            <w:pPr>
              <w:ind w:left="20"/>
              <w:spacing w:after="0" w:line="135" w:lineRule="exact"/>
              <w:rPr>
                <w:sz w:val="20"/>
                <w:szCs w:val="20"/>
                <w:color w:val="auto"/>
              </w:rPr>
            </w:pPr>
            <w:r>
              <w:rPr>
                <w:rFonts w:ascii="Arial" w:cs="Arial" w:eastAsia="Arial" w:hAnsi="Arial"/>
                <w:sz w:val="12"/>
                <w:szCs w:val="12"/>
                <w:color w:val="auto"/>
              </w:rPr>
              <w:t>Net cash provided by operating activities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1,516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553</w:t>
            </w:r>
          </w:p>
        </w:tc>
      </w:tr>
      <w:tr>
        <w:trPr>
          <w:trHeight w:val="157"/>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Proceeds from sales, calls and maturities of investment securities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3,334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671</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sales of property and equipment and title plants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Additions to property and equipment and capitalized software</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Purchases of investment securities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4"/>
              </w:rPr>
              <w:t>(6,226)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Net proceeds from (purchases of) sales and maturities of short-term investment securities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704</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Additions to notes receivable</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Collections of notes receivable</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5</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Acquisitions and dispositions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Additional investments in unconsolidated affiliates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Distributions from unconsolidated affiliates, return of investment</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r>
      <w:tr>
        <w:trPr>
          <w:trHeight w:val="151"/>
        </w:trPr>
        <w:tc>
          <w:tcPr>
            <w:tcW w:w="93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Proceeds from sales of unconsolidated affiliates</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8"/>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4"/>
              </w:rPr>
              <w:t>(3,118)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Borrowings</w:t>
            </w:r>
          </w:p>
        </w:tc>
        <w:tc>
          <w:tcPr>
            <w:tcW w:w="3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1,000</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 offering</w:t>
            </w:r>
          </w:p>
        </w:tc>
        <w:tc>
          <w:tcPr>
            <w:tcW w:w="3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648</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Debt costs/equity issuance additions</w:t>
            </w:r>
          </w:p>
        </w:tc>
        <w:tc>
          <w:tcPr>
            <w:tcW w:w="3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 service payments</w:t>
            </w:r>
          </w:p>
        </w:tc>
        <w:tc>
          <w:tcPr>
            <w:tcW w:w="3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Dividends paid</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(186)</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Subsidiary dividends paid to non-controlling interest shareholders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Exercise of stock options</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37</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change in secured trust deposits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Additional investment in consolidated subsidiaries</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 of contingent consideration for prior period acquisitions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51"/>
        </w:trPr>
        <w:tc>
          <w:tcPr>
            <w:tcW w:w="9320" w:type="dxa"/>
            <w:vAlign w:val="bottom"/>
          </w:tcPr>
          <w:p>
            <w:pPr>
              <w:ind w:left="180"/>
              <w:spacing w:after="0"/>
              <w:rPr>
                <w:sz w:val="20"/>
                <w:szCs w:val="20"/>
                <w:color w:val="auto"/>
              </w:rPr>
            </w:pPr>
            <w:r>
              <w:rPr>
                <w:rFonts w:ascii="Arial" w:cs="Arial" w:eastAsia="Arial" w:hAnsi="Arial"/>
                <w:sz w:val="12"/>
                <w:szCs w:val="12"/>
                <w:color w:val="auto"/>
              </w:rPr>
              <w:t>Contractholder account deposits</w:t>
            </w: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4,190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297</w:t>
            </w:r>
          </w:p>
        </w:tc>
      </w:tr>
      <w:tr>
        <w:trPr>
          <w:trHeight w:val="157"/>
        </w:trPr>
        <w:tc>
          <w:tcPr>
            <w:tcW w:w="9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Contractholder account withdrawals</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r>
      <w:tr>
        <w:trPr>
          <w:trHeight w:val="151"/>
        </w:trPr>
        <w:tc>
          <w:tcPr>
            <w:tcW w:w="93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Purchases of treasury stock</w:t>
            </w: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w:t>
            </w:r>
          </w:p>
        </w:tc>
      </w:tr>
      <w:tr>
        <w:trPr>
          <w:trHeight w:val="148"/>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(used in) financing activities</w:t>
            </w: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777</w:t>
            </w:r>
          </w:p>
        </w:tc>
      </w:tr>
      <w:tr>
        <w:trPr>
          <w:trHeight w:val="142"/>
        </w:trPr>
        <w:tc>
          <w:tcPr>
            <w:tcW w:w="9320" w:type="dxa"/>
            <w:vAlign w:val="bottom"/>
          </w:tcPr>
          <w:p>
            <w:pPr>
              <w:ind w:left="20"/>
              <w:spacing w:after="0" w:line="135" w:lineRule="exact"/>
              <w:rPr>
                <w:sz w:val="20"/>
                <w:szCs w:val="20"/>
                <w:color w:val="auto"/>
              </w:rPr>
            </w:pPr>
            <w:r>
              <w:rPr>
                <w:rFonts w:ascii="Arial" w:cs="Arial" w:eastAsia="Arial" w:hAnsi="Arial"/>
                <w:sz w:val="12"/>
                <w:szCs w:val="12"/>
                <w:color w:val="auto"/>
              </w:rPr>
              <w:t>Net increase (decrease) in cash and cash equivalents</w:t>
            </w:r>
          </w:p>
        </w:tc>
        <w:tc>
          <w:tcPr>
            <w:tcW w:w="3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977</w:t>
            </w:r>
          </w:p>
        </w:tc>
      </w:tr>
      <w:tr>
        <w:trPr>
          <w:trHeight w:val="154"/>
        </w:trPr>
        <w:tc>
          <w:tcPr>
            <w:tcW w:w="9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3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1,376</w:t>
            </w:r>
          </w:p>
        </w:tc>
      </w:tr>
      <w:tr>
        <w:trPr>
          <w:trHeight w:val="148"/>
        </w:trPr>
        <w:tc>
          <w:tcPr>
            <w:tcW w:w="93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34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3,471</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2,353</w:t>
            </w:r>
          </w:p>
        </w:tc>
      </w:tr>
      <w:tr>
        <w:trPr>
          <w:trHeight w:val="20"/>
        </w:trPr>
        <w:tc>
          <w:tcPr>
            <w:tcW w:w="9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69"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Unaudited)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A — Basis of Financial Statements</w:t>
      </w:r>
    </w:p>
    <w:p>
      <w:pPr>
        <w:spacing w:after="0" w:line="3" w:lineRule="exact"/>
        <w:rPr>
          <w:sz w:val="20"/>
          <w:szCs w:val="20"/>
          <w:color w:val="auto"/>
        </w:rPr>
      </w:pPr>
    </w:p>
    <w:p>
      <w:pPr>
        <w:jc w:val="both"/>
        <w:ind w:firstLine="264"/>
        <w:spacing w:after="0" w:line="269" w:lineRule="auto"/>
        <w:rPr>
          <w:sz w:val="20"/>
          <w:szCs w:val="20"/>
          <w:color w:val="auto"/>
        </w:rPr>
      </w:pPr>
      <w:r>
        <w:rPr>
          <w:rFonts w:ascii="Arial" w:cs="Arial" w:eastAsia="Arial" w:hAnsi="Arial"/>
          <w:sz w:val="14"/>
          <w:szCs w:val="14"/>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2020.</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Description of the Business</w:t>
      </w:r>
    </w:p>
    <w:p>
      <w:pPr>
        <w:spacing w:after="0" w:line="91" w:lineRule="exact"/>
        <w:rPr>
          <w:sz w:val="20"/>
          <w:szCs w:val="20"/>
          <w:color w:val="auto"/>
        </w:rPr>
      </w:pPr>
    </w:p>
    <w:p>
      <w:pPr>
        <w:jc w:val="both"/>
        <w:ind w:firstLine="264"/>
        <w:spacing w:after="0" w:line="292" w:lineRule="auto"/>
        <w:rPr>
          <w:sz w:val="20"/>
          <w:szCs w:val="20"/>
          <w:color w:val="auto"/>
        </w:rPr>
      </w:pPr>
      <w:r>
        <w:rPr>
          <w:rFonts w:ascii="Arial" w:cs="Arial" w:eastAsia="Arial" w:hAnsi="Arial"/>
          <w:sz w:val="13"/>
          <w:szCs w:val="13"/>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provider of annuity and life insurance products, providing deferred annuities, including fixed index annuities ("FIA"), fixed rate annuities, and immediate annuities and indexed universal life ("IUL") insurance through our wholly-owned subsidiary, F&amp;G Annuities &amp; Life ("F&amp;G").</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For information about our reportable segments refer to Note H </w:t>
      </w:r>
      <w:r>
        <w:rPr>
          <w:rFonts w:ascii="Arial" w:cs="Arial" w:eastAsia="Arial" w:hAnsi="Arial"/>
          <w:sz w:val="15"/>
          <w:szCs w:val="15"/>
          <w:i w:val="1"/>
          <w:iCs w:val="1"/>
          <w:color w:val="auto"/>
        </w:rPr>
        <w:t>Segment Information</w:t>
      </w:r>
      <w:r>
        <w:rPr>
          <w:rFonts w:ascii="Arial" w:cs="Arial" w:eastAsia="Arial" w:hAnsi="Arial"/>
          <w:sz w:val="15"/>
          <w:szCs w:val="15"/>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Approval of the 2021 Repurchase Program</w:t>
      </w:r>
    </w:p>
    <w:p>
      <w:pPr>
        <w:spacing w:after="0" w:line="91"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On August 3, 2021, our Board of Directors approved a new three-year stock repurchase program effective August 3, 2021 (the "2021 Repurchase Program") under which we may purchase up to 25 million shares of our FNF common stock through July 31, 2024. We may make repurchases from time to time in the open market, in block purchases or in privately negotiated transactions, depending on market conditions and other factors.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F&amp;G Enters Pension Risk Transfer Market</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On July 28, 2021, F&amp;G secured its first pension risk transfer transaction which represents pension obligations of approximately $65 million and will close in August 2021.</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Merger of Alight, Inc. ("Alight") and Foley Trasimene Acquisition Corp. ("FTAC")</w:t>
      </w:r>
    </w:p>
    <w:p>
      <w:pPr>
        <w:spacing w:after="0" w:line="91"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On January 25, 2021, each of our wholly-owned subsidiaries, FNTIC, Commonwealth Title and Chicago Title (collectively, the "FTAC Subscribers") entered into common stock subscription agreements (the "FTAC Subscription Agreements") with Alight (f/k/a Acrobat Holdings, Inc.) and FTAC to purchase in the aggregate $150 million (the "Alight Purchase Price") of Class A Common Stock, par value $.001 per share, of Alight at a purchase price of $10.00 per share.</w:t>
      </w:r>
    </w:p>
    <w:p>
      <w:pPr>
        <w:spacing w:after="0" w:line="57" w:lineRule="exact"/>
        <w:rPr>
          <w:sz w:val="20"/>
          <w:szCs w:val="20"/>
          <w:color w:val="auto"/>
        </w:rPr>
      </w:pPr>
    </w:p>
    <w:p>
      <w:pPr>
        <w:jc w:val="both"/>
        <w:ind w:firstLine="264"/>
        <w:spacing w:after="0" w:line="225" w:lineRule="auto"/>
        <w:rPr>
          <w:sz w:val="20"/>
          <w:szCs w:val="20"/>
          <w:color w:val="auto"/>
        </w:rPr>
      </w:pPr>
      <w:r>
        <w:rPr>
          <w:rFonts w:ascii="Arial" w:cs="Arial" w:eastAsia="Arial" w:hAnsi="Arial"/>
          <w:sz w:val="15"/>
          <w:szCs w:val="15"/>
          <w:color w:val="auto"/>
        </w:rPr>
        <w:t xml:space="preserve">On June 29, 2021, we funded the Alight Purchase Price, which represents a deposit and is included in Other long-term investments in the accompanying unaudited Condensed Consolidated Balance Sheets as of June 30, 2021. For additional information related to the deposit of the Alight Purchase Price, refer to Note C </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Additionally, Alight paid the FTAC Subscribers a fee of 2.5% of the Alight Purchase Price upon closing of the transactions in accordance with the Business Combination Agreement dated January 25, 2021, as amended and restated April 29, 2021, by and among FTAC, Alight and other parties thereto.</w:t>
      </w:r>
    </w:p>
    <w:p>
      <w:pPr>
        <w:spacing w:after="0" w:line="45" w:lineRule="exact"/>
        <w:rPr>
          <w:sz w:val="20"/>
          <w:szCs w:val="20"/>
          <w:color w:val="auto"/>
        </w:rPr>
      </w:pPr>
    </w:p>
    <w:p>
      <w:pPr>
        <w:ind w:left="280" w:right="180"/>
        <w:spacing w:after="0" w:line="359" w:lineRule="auto"/>
        <w:rPr>
          <w:sz w:val="20"/>
          <w:szCs w:val="20"/>
          <w:color w:val="auto"/>
        </w:rPr>
      </w:pPr>
      <w:r>
        <w:rPr>
          <w:rFonts w:ascii="Arial" w:cs="Arial" w:eastAsia="Arial" w:hAnsi="Arial"/>
          <w:sz w:val="15"/>
          <w:szCs w:val="15"/>
          <w:color w:val="auto"/>
        </w:rPr>
        <w:t xml:space="preserve">On July 2, 2021, FTAC merged with Alight. The newly combined company operates as Alight, Inc. and is traded on the New York Stock Exchange ("NYSE") under the symbol "ALIT." </w:t>
      </w:r>
      <w:r>
        <w:rPr>
          <w:rFonts w:ascii="Arial" w:cs="Arial" w:eastAsia="Arial" w:hAnsi="Arial"/>
          <w:sz w:val="15"/>
          <w:szCs w:val="15"/>
          <w:i w:val="1"/>
          <w:iCs w:val="1"/>
          <w:color w:val="auto"/>
        </w:rPr>
        <w:t>F&amp;G Enters Funding Agreement Backed Note ("FABN") Market</w:t>
      </w:r>
    </w:p>
    <w:p>
      <w:pPr>
        <w:jc w:val="both"/>
        <w:ind w:firstLine="330"/>
        <w:spacing w:after="0" w:line="236" w:lineRule="auto"/>
        <w:rPr>
          <w:sz w:val="20"/>
          <w:szCs w:val="20"/>
          <w:color w:val="auto"/>
        </w:rPr>
      </w:pPr>
      <w:r>
        <w:rPr>
          <w:rFonts w:ascii="Arial" w:cs="Arial" w:eastAsia="Arial" w:hAnsi="Arial"/>
          <w:sz w:val="15"/>
          <w:szCs w:val="15"/>
          <w:color w:val="auto"/>
        </w:rPr>
        <w:t>In June 2021, we established a funding agreement-backed notes program (the “FABN Program”), pursuant to which Fidelity &amp; Guaranty Life Insurance Company (“FGL Insurance”) may issue funding agreements to 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special purpose statutory trust (the “Trust”) for spread lending purposes. The maximum aggregate principal amount permitted to be outstanding at any one time under the FABN Program is $5.0 billion. As of June 30, 2021, we had $750 million outstanding under the FABN program.</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Merger of Paysafe Limited ("Paysafe") and Foley Trasimene Acquisition Corp. II ("FTAC II")</w:t>
      </w:r>
    </w:p>
    <w:p>
      <w:pPr>
        <w:spacing w:after="0" w:line="69" w:lineRule="exact"/>
        <w:rPr>
          <w:sz w:val="20"/>
          <w:szCs w:val="20"/>
          <w:color w:val="auto"/>
        </w:rPr>
      </w:pPr>
    </w:p>
    <w:p>
      <w:pPr>
        <w:jc w:val="both"/>
        <w:ind w:firstLine="264"/>
        <w:spacing w:after="0" w:line="269" w:lineRule="auto"/>
        <w:rPr>
          <w:sz w:val="20"/>
          <w:szCs w:val="20"/>
          <w:color w:val="auto"/>
        </w:rPr>
      </w:pPr>
      <w:r>
        <w:rPr>
          <w:rFonts w:ascii="Arial" w:cs="Arial" w:eastAsia="Arial" w:hAnsi="Arial"/>
          <w:sz w:val="14"/>
          <w:szCs w:val="14"/>
          <w:color w:val="auto"/>
        </w:rPr>
        <w:t>On December 7, 2020, each of our wholly-owned subsidiaries, FNTIC, Commonwealth Title, Chicago Title and F&amp;G (collectively, the "FTAC II Subscribers"), entered into common stock subscription agreements with Paysafe and FTAC II to purchase in the aggregate $500 million (the "Purchase Price") of common shares, par value $0.001 per share, of Paysafe at a purchase price of $10.00 per share ("the PIPE Investment"). On March 30, 2021, FTAC II merged with Paysafe, an exempted limited company incorporated under the laws of Bermuda and a leading integrated payments platform (the "FTAC II Paysafe Merger"), in accordance with the agreement and plan of merger dated December 7, 2020. The newly combined company operates as Paysafe and is traded on the NYSE under the symbol PSFE. The FTAC II Paysafe Merger was funded with the cash held in trust at FTAC II, forward purchase commitments, private investment in public equity ("PIPE") commitments and equity of Paysafe.</w:t>
      </w:r>
    </w:p>
    <w:p>
      <w:pPr>
        <w:spacing w:after="0" w:line="60"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On March 30, 2021, the FTAC II Subscribers funded the subscription agreements and received 50 million common shares of Paysafe. As of June 30, 2021, we hold approximately 7% of the outstanding common shares of Paysafe. In connection with the PIPE Investment, we received a fee of 1.6% of the Purchase Price as described in the agreement and plan of merger dated December 7, 2020.</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w:t>
      </w:r>
    </w:p>
    <w:p>
      <w:pPr>
        <w:spacing w:after="0" w:line="69" w:lineRule="exact"/>
        <w:rPr>
          <w:sz w:val="20"/>
          <w:szCs w:val="20"/>
          <w:color w:val="auto"/>
        </w:rPr>
      </w:pPr>
    </w:p>
    <w:p>
      <w:pPr>
        <w:jc w:val="both"/>
        <w:ind w:firstLine="264"/>
        <w:spacing w:after="0" w:line="258" w:lineRule="auto"/>
        <w:rPr>
          <w:sz w:val="20"/>
          <w:szCs w:val="20"/>
          <w:color w:val="auto"/>
        </w:rPr>
      </w:pPr>
      <w:r>
        <w:rPr>
          <w:rFonts w:ascii="Arial" w:cs="Arial" w:eastAsia="Arial" w:hAnsi="Arial"/>
          <w:sz w:val="14"/>
          <w:szCs w:val="14"/>
          <w:color w:val="auto"/>
        </w:rPr>
        <w:t>Income tax expense was $176 million and $89 million in the three-month periods ended June 30, 2021 and 2020, respectively, and $342 million and $61 million in the six-months periods ended June 30, 2021 and 2020, respectively. Income tax expense as a percentage of earnings before income taxes was 25% and 22% in the three-month periods ended June 30, 2021 and 2020, respectively, and 23% and 19% in the six-month periods ended June 30, 2021 and 2020, respectively. The increase in income tax expense as a percentage of earnings before taxes in the 2021 periods is primarily attributable to a tax benefit associated with stock compensation recognized in the prior year periods.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 Per Share</w:t>
      </w:r>
    </w:p>
    <w:p>
      <w:pPr>
        <w:spacing w:after="0" w:line="91" w:lineRule="exact"/>
        <w:rPr>
          <w:sz w:val="20"/>
          <w:szCs w:val="20"/>
          <w:color w:val="auto"/>
        </w:rPr>
      </w:pPr>
    </w:p>
    <w:p>
      <w:pPr>
        <w:jc w:val="both"/>
        <w:ind w:firstLine="264"/>
        <w:spacing w:after="0" w:line="269" w:lineRule="auto"/>
        <w:rPr>
          <w:sz w:val="20"/>
          <w:szCs w:val="20"/>
          <w:color w:val="auto"/>
        </w:rPr>
      </w:pPr>
      <w:r>
        <w:rPr>
          <w:rFonts w:ascii="Arial" w:cs="Arial" w:eastAsia="Arial" w:hAnsi="Arial"/>
          <w:sz w:val="14"/>
          <w:szCs w:val="14"/>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and certain other convertible share based payments, which have been treated as common share equivalents for purposes of calculating diluted earnings per share for periods in which positive earnings have been reported.</w:t>
      </w:r>
    </w:p>
    <w:p>
      <w:pPr>
        <w:spacing w:after="0" w:line="60"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Options or other instruments, which provide the ability to purchase shares of our common stock that are antidilutive, are excluded from the computation of diluted earnings per share. There were fewer than 1 million antidilutive instruments outstanding during the three and six-month periods ended June 30, 2021. There were 1 million antidilutive securities outstanding during the three and six-month periods ended June 30, 2020.</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Discontinued Operations</w:t>
      </w:r>
    </w:p>
    <w:p>
      <w:pPr>
        <w:spacing w:after="0" w:line="91" w:lineRule="exact"/>
        <w:rPr>
          <w:sz w:val="20"/>
          <w:szCs w:val="20"/>
          <w:color w:val="auto"/>
        </w:rPr>
      </w:pPr>
    </w:p>
    <w:p>
      <w:pPr>
        <w:jc w:val="both"/>
        <w:ind w:firstLine="264"/>
        <w:spacing w:after="0" w:line="294" w:lineRule="auto"/>
        <w:rPr>
          <w:sz w:val="20"/>
          <w:szCs w:val="20"/>
          <w:color w:val="auto"/>
        </w:rPr>
      </w:pPr>
      <w:r>
        <w:rPr>
          <w:rFonts w:ascii="Arial" w:cs="Arial" w:eastAsia="Arial" w:hAnsi="Arial"/>
          <w:sz w:val="13"/>
          <w:szCs w:val="13"/>
          <w:color w:val="auto"/>
        </w:rPr>
        <w:t>In connection with the F&amp;G acquisition, certain third party offshore reinsurance businesses acquired were deemed discontinued operations and are presented as such within our Condensed Consolidated Statements of Earnings for the six months ended June 30, 2021. As of June 30, 2021, we have sold Front Street Re Cayman Ltd (“FSRC”) to Archipelago. The closing of the transaction was effective May 31, 2021. The transaction did not have a material impact to our financial results. As of June 30, 2021, we no longer have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Adopted Pronouncements</w:t>
      </w:r>
    </w:p>
    <w:p>
      <w:pPr>
        <w:spacing w:after="0" w:line="91"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We adopted this standard as of January 1, 2021, and it had no impact on our unaudited Condensed Consolidated Financial Statements upon adoption.</w:t>
      </w:r>
    </w:p>
    <w:p>
      <w:pPr>
        <w:spacing w:after="0" w:line="69"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color w:val="auto"/>
        </w:rPr>
        <w:t>In October 2020, the FASB issued ASU 2020-08, Codification Improvements to Subtopic 310-20, Receivables - Nonrefundable Fees and Other Costs. The amendments in this update clarify that callable debt securities should be re-evaluated each reporting period to determine if the amortized cost exceeds the amount repayable by the issuer at the next earliest call date, and, if so, the excess should be amortized to the next call date. We adopted this standard as of January 1, 2021 and are applying this guidance on a prospective basis. This pronouncement had no impact on our unaudited Condensed Consolidated Financial Statements upon adoption.</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Pronouncements Not Yet Adopted</w:t>
      </w:r>
    </w:p>
    <w:p>
      <w:pPr>
        <w:spacing w:after="0" w:line="91" w:lineRule="exact"/>
        <w:rPr>
          <w:sz w:val="20"/>
          <w:szCs w:val="20"/>
          <w:color w:val="auto"/>
        </w:rPr>
      </w:pPr>
    </w:p>
    <w:p>
      <w:pPr>
        <w:jc w:val="both"/>
        <w:ind w:firstLine="264"/>
        <w:spacing w:after="0" w:line="289" w:lineRule="auto"/>
        <w:rPr>
          <w:sz w:val="20"/>
          <w:szCs w:val="20"/>
          <w:color w:val="auto"/>
        </w:rPr>
      </w:pPr>
      <w:r>
        <w:rPr>
          <w:rFonts w:ascii="Arial" w:cs="Arial" w:eastAsia="Arial" w:hAnsi="Arial"/>
          <w:sz w:val="13"/>
          <w:szCs w:val="13"/>
          <w:color w:val="auto"/>
        </w:rPr>
        <w:t>In August 2018, the FASB issued ASU 2018-12, Financial Services-Insurance (Topic 944), Targeted Improvements to the Accounting for Long-Duration Contracts,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required to be amortized in proportion to premiums, gross profits, or gross margins and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w:t>
      </w:r>
    </w:p>
    <w:p>
      <w:pPr>
        <w:spacing w:after="0" w:line="50" w:lineRule="exact"/>
        <w:rPr>
          <w:sz w:val="20"/>
          <w:szCs w:val="20"/>
          <w:color w:val="auto"/>
        </w:rPr>
      </w:pPr>
    </w:p>
    <w:p>
      <w:pPr>
        <w:jc w:val="both"/>
        <w:ind w:firstLine="264"/>
        <w:spacing w:after="0" w:line="281" w:lineRule="auto"/>
        <w:rPr>
          <w:sz w:val="20"/>
          <w:szCs w:val="20"/>
          <w:color w:val="auto"/>
        </w:rPr>
      </w:pPr>
      <w:r>
        <w:rPr>
          <w:rFonts w:ascii="Arial" w:cs="Arial" w:eastAsia="Arial" w:hAnsi="Arial"/>
          <w:sz w:val="14"/>
          <w:szCs w:val="14"/>
          <w:color w:val="auto"/>
        </w:rPr>
        <w:t>The amendments in this ASU may be early adopted as of the beginning of an annual reporting period for which financial statements have not yet been issued, including interim financial statements. We do not currently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B — Summary of Reserve for Title Claim Losses</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 summary of the reserve for title claim losses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2"/>
                <w:szCs w:val="12"/>
                <w:b w:val="1"/>
                <w:bCs w:val="1"/>
                <w:color w:val="auto"/>
                <w:w w:val="89"/>
              </w:rPr>
              <w:t>Six months ended June 30,</w:t>
            </w:r>
          </w:p>
        </w:tc>
        <w:tc>
          <w:tcPr>
            <w:tcW w:w="1080" w:type="dxa"/>
            <w:vAlign w:val="bottom"/>
            <w:tcBorders>
              <w:bottom w:val="single" w:sz="8" w:color="auto"/>
            </w:tcBorders>
          </w:tcPr>
          <w:p>
            <w:pPr>
              <w:spacing w:after="0"/>
              <w:rPr>
                <w:sz w:val="13"/>
                <w:szCs w:val="13"/>
                <w:color w:val="auto"/>
              </w:rPr>
            </w:pPr>
          </w:p>
        </w:tc>
      </w:tr>
      <w:tr>
        <w:trPr>
          <w:trHeight w:val="148"/>
        </w:trPr>
        <w:tc>
          <w:tcPr>
            <w:tcW w:w="7640" w:type="dxa"/>
            <w:vAlign w:val="bottom"/>
          </w:tcPr>
          <w:p>
            <w:pPr>
              <w:spacing w:after="0"/>
              <w:rPr>
                <w:sz w:val="12"/>
                <w:szCs w:val="1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8"/>
              <w:spacing w:after="0"/>
              <w:rPr>
                <w:sz w:val="20"/>
                <w:szCs w:val="20"/>
                <w:color w:val="auto"/>
              </w:rPr>
            </w:pPr>
            <w:r>
              <w:rPr>
                <w:rFonts w:ascii="Arial" w:cs="Arial" w:eastAsia="Arial" w:hAnsi="Arial"/>
                <w:sz w:val="12"/>
                <w:szCs w:val="12"/>
                <w:b w:val="1"/>
                <w:bCs w:val="1"/>
                <w:color w:val="auto"/>
              </w:rPr>
              <w:t>2020</w:t>
            </w:r>
          </w:p>
        </w:tc>
      </w:tr>
      <w:tr>
        <w:trPr>
          <w:trHeight w:val="145"/>
        </w:trPr>
        <w:tc>
          <w:tcPr>
            <w:tcW w:w="7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gridSpan w:val="3"/>
          </w:tcPr>
          <w:p>
            <w:pPr>
              <w:jc w:val="right"/>
              <w:ind w:right="167"/>
              <w:spacing w:after="0"/>
              <w:rPr>
                <w:sz w:val="20"/>
                <w:szCs w:val="20"/>
                <w:color w:val="auto"/>
              </w:rPr>
            </w:pPr>
            <w:r>
              <w:rPr>
                <w:rFonts w:ascii="Arial" w:cs="Arial" w:eastAsia="Arial" w:hAnsi="Arial"/>
                <w:sz w:val="12"/>
                <w:szCs w:val="12"/>
                <w:b w:val="1"/>
                <w:bCs w:val="1"/>
                <w:color w:val="auto"/>
              </w:rPr>
              <w:t>(Dollars in millions)</w:t>
            </w:r>
          </w:p>
        </w:tc>
        <w:tc>
          <w:tcPr>
            <w:tcW w:w="1080" w:type="dxa"/>
            <w:vAlign w:val="bottom"/>
          </w:tcPr>
          <w:p>
            <w:pPr>
              <w:spacing w:after="0"/>
              <w:rPr>
                <w:sz w:val="12"/>
                <w:szCs w:val="12"/>
                <w:color w:val="auto"/>
              </w:rPr>
            </w:pPr>
          </w:p>
        </w:tc>
      </w:tr>
      <w:tr>
        <w:trPr>
          <w:trHeight w:val="189"/>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080" w:type="dxa"/>
            <w:vAlign w:val="bottom"/>
            <w:shd w:val="clear" w:color="auto" w:fill="CCEEFF"/>
          </w:tcPr>
          <w:p>
            <w:pPr>
              <w:jc w:val="right"/>
              <w:ind w:right="912"/>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1,623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1,509</w:t>
            </w:r>
          </w:p>
        </w:tc>
      </w:tr>
      <w:tr>
        <w:trPr>
          <w:trHeight w:val="187"/>
        </w:trPr>
        <w:tc>
          <w:tcPr>
            <w:tcW w:w="7640" w:type="dxa"/>
            <w:vAlign w:val="bottom"/>
          </w:tcPr>
          <w:p>
            <w:pPr>
              <w:ind w:left="20"/>
              <w:spacing w:after="0"/>
              <w:rPr>
                <w:sz w:val="20"/>
                <w:szCs w:val="20"/>
                <w:color w:val="auto"/>
              </w:rPr>
            </w:pPr>
            <w:r>
              <w:rPr>
                <w:rFonts w:ascii="Arial" w:cs="Arial" w:eastAsia="Arial" w:hAnsi="Arial"/>
                <w:sz w:val="15"/>
                <w:szCs w:val="15"/>
                <w:color w:val="auto"/>
              </w:rPr>
              <w:t>Change in insurance recoverable</w:t>
            </w:r>
          </w:p>
        </w:tc>
        <w:tc>
          <w:tcPr>
            <w:tcW w:w="108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5"/>
                <w:szCs w:val="15"/>
                <w:color w:val="auto"/>
              </w:rPr>
              <w:t>(1)</w:t>
            </w:r>
          </w:p>
        </w:tc>
      </w:tr>
      <w:tr>
        <w:trPr>
          <w:trHeight w:val="187"/>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Claim loss provision related to:</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7"/>
        </w:trPr>
        <w:tc>
          <w:tcPr>
            <w:tcW w:w="7640" w:type="dxa"/>
            <w:vAlign w:val="bottom"/>
          </w:tcPr>
          <w:p>
            <w:pPr>
              <w:ind w:left="180"/>
              <w:spacing w:after="0"/>
              <w:rPr>
                <w:sz w:val="20"/>
                <w:szCs w:val="20"/>
                <w:color w:val="auto"/>
              </w:rPr>
            </w:pPr>
            <w:r>
              <w:rPr>
                <w:rFonts w:ascii="Arial" w:cs="Arial" w:eastAsia="Arial" w:hAnsi="Arial"/>
                <w:sz w:val="15"/>
                <w:szCs w:val="15"/>
                <w:color w:val="auto"/>
              </w:rPr>
              <w:t>Current year</w:t>
            </w:r>
          </w:p>
        </w:tc>
        <w:tc>
          <w:tcPr>
            <w:tcW w:w="108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Arial" w:cs="Arial" w:eastAsia="Arial" w:hAnsi="Arial"/>
                <w:sz w:val="15"/>
                <w:szCs w:val="15"/>
                <w:color w:val="auto"/>
              </w:rPr>
              <w:t>178</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5"/>
                <w:szCs w:val="15"/>
                <w:color w:val="auto"/>
              </w:rPr>
              <w:t>119</w:t>
            </w:r>
          </w:p>
        </w:tc>
      </w:tr>
      <w:tr>
        <w:trPr>
          <w:trHeight w:val="187"/>
        </w:trPr>
        <w:tc>
          <w:tcPr>
            <w:tcW w:w="7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Prior years</w:t>
            </w:r>
          </w:p>
        </w:tc>
        <w:tc>
          <w:tcPr>
            <w:tcW w:w="10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w:t>
            </w:r>
          </w:p>
        </w:tc>
      </w:tr>
      <w:tr>
        <w:trPr>
          <w:trHeight w:val="178"/>
        </w:trPr>
        <w:tc>
          <w:tcPr>
            <w:tcW w:w="7640" w:type="dxa"/>
            <w:vAlign w:val="bottom"/>
          </w:tcPr>
          <w:p>
            <w:pPr>
              <w:ind w:left="380"/>
              <w:spacing w:after="0"/>
              <w:rPr>
                <w:sz w:val="20"/>
                <w:szCs w:val="20"/>
                <w:color w:val="auto"/>
              </w:rPr>
            </w:pPr>
            <w:r>
              <w:rPr>
                <w:rFonts w:ascii="Arial" w:cs="Arial" w:eastAsia="Arial" w:hAnsi="Arial"/>
                <w:sz w:val="15"/>
                <w:szCs w:val="15"/>
                <w:color w:val="auto"/>
              </w:rPr>
              <w:t>Total title claim loss provision</w:t>
            </w:r>
          </w:p>
        </w:tc>
        <w:tc>
          <w:tcPr>
            <w:tcW w:w="10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5"/>
                <w:szCs w:val="15"/>
                <w:color w:val="auto"/>
              </w:rPr>
              <w:t>178</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08"/>
              <w:spacing w:after="0"/>
              <w:rPr>
                <w:sz w:val="20"/>
                <w:szCs w:val="20"/>
                <w:color w:val="auto"/>
              </w:rPr>
            </w:pPr>
            <w:r>
              <w:rPr>
                <w:rFonts w:ascii="Arial" w:cs="Arial" w:eastAsia="Arial" w:hAnsi="Arial"/>
                <w:sz w:val="15"/>
                <w:szCs w:val="15"/>
                <w:color w:val="auto"/>
              </w:rPr>
              <w:t>119</w:t>
            </w:r>
          </w:p>
        </w:tc>
      </w:tr>
      <w:tr>
        <w:trPr>
          <w:trHeight w:val="187"/>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Claims paid, net of recoupments related to:</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7"/>
        </w:trPr>
        <w:tc>
          <w:tcPr>
            <w:tcW w:w="7640" w:type="dxa"/>
            <w:vAlign w:val="bottom"/>
          </w:tcPr>
          <w:p>
            <w:pPr>
              <w:ind w:left="180"/>
              <w:spacing w:after="0"/>
              <w:rPr>
                <w:sz w:val="20"/>
                <w:szCs w:val="20"/>
                <w:color w:val="auto"/>
              </w:rPr>
            </w:pPr>
            <w:r>
              <w:rPr>
                <w:rFonts w:ascii="Arial" w:cs="Arial" w:eastAsia="Arial" w:hAnsi="Arial"/>
                <w:sz w:val="15"/>
                <w:szCs w:val="15"/>
                <w:color w:val="auto"/>
              </w:rPr>
              <w:t>Current year</w:t>
            </w:r>
          </w:p>
        </w:tc>
        <w:tc>
          <w:tcPr>
            <w:tcW w:w="108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5"/>
                <w:szCs w:val="15"/>
                <w:color w:val="auto"/>
              </w:rPr>
              <w:t>(2)</w:t>
            </w:r>
          </w:p>
        </w:tc>
      </w:tr>
      <w:tr>
        <w:trPr>
          <w:trHeight w:val="187"/>
        </w:trPr>
        <w:tc>
          <w:tcPr>
            <w:tcW w:w="7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Prior years</w:t>
            </w:r>
          </w:p>
        </w:tc>
        <w:tc>
          <w:tcPr>
            <w:tcW w:w="10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rPr>
              <w:t>(97)</w:t>
            </w:r>
          </w:p>
        </w:tc>
      </w:tr>
      <w:tr>
        <w:trPr>
          <w:trHeight w:val="178"/>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Total title claims paid, net of recoupments</w:t>
            </w: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(102)</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(99)</w:t>
            </w:r>
          </w:p>
        </w:tc>
      </w:tr>
      <w:tr>
        <w:trPr>
          <w:trHeight w:val="20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 of claim loss reserve for title insurance</w:t>
            </w: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1,677</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rPr>
              <w:t>1,528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7640" w:type="dxa"/>
            <w:vAlign w:val="bottom"/>
          </w:tcPr>
          <w:p>
            <w:pPr>
              <w:ind w:left="20"/>
              <w:spacing w:after="0" w:line="151" w:lineRule="exact"/>
              <w:rPr>
                <w:sz w:val="20"/>
                <w:szCs w:val="20"/>
                <w:color w:val="auto"/>
              </w:rPr>
            </w:pPr>
            <w:r>
              <w:rPr>
                <w:rFonts w:ascii="Arial" w:cs="Arial" w:eastAsia="Arial" w:hAnsi="Arial"/>
                <w:sz w:val="15"/>
                <w:szCs w:val="15"/>
                <w:color w:val="auto"/>
              </w:rPr>
              <w:t>Provision for title insurance claim losses as a percentage of title insurance premiums</w:t>
            </w: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4.5 %</w:t>
            </w: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4.5 %</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Several lawsuits have been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 seeking to acquire California alcoholic beverage licenses. Plaintiffs contend that under California state law, alcoholic beverage license applicants are required 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the plaintiffs’ funds were deposited. The federal court continues to pursue court-ordered mediation with all remaining parties in an effort to fully resolve the claims related to this matter.</w:t>
      </w:r>
    </w:p>
    <w:p>
      <w:pPr>
        <w:spacing w:after="0" w:line="167" w:lineRule="exact"/>
        <w:rPr>
          <w:sz w:val="20"/>
          <w:szCs w:val="20"/>
          <w:color w:val="auto"/>
        </w:rPr>
      </w:pPr>
    </w:p>
    <w:p>
      <w:pPr>
        <w:ind w:right="140" w:firstLine="264"/>
        <w:spacing w:after="0" w:line="236" w:lineRule="auto"/>
        <w:rPr>
          <w:sz w:val="20"/>
          <w:szCs w:val="20"/>
          <w:color w:val="auto"/>
        </w:rPr>
      </w:pPr>
      <w:r>
        <w:rPr>
          <w:rFonts w:ascii="Arial" w:cs="Arial" w:eastAsia="Arial" w:hAnsi="Arial"/>
          <w:sz w:val="15"/>
          <w:szCs w:val="15"/>
          <w:color w:val="auto"/>
        </w:rPr>
        <w:t>The following lawsuits are pending in the Superior Court of San Diego County for the State of California. While they have not been consolidated into one action, they have been deemed by the court to be related and are assigned to the same judge for purposes of judicial economy.</w:t>
      </w:r>
    </w:p>
    <w:p>
      <w:pPr>
        <w:spacing w:after="0" w:line="166" w:lineRule="exact"/>
        <w:rPr>
          <w:sz w:val="20"/>
          <w:szCs w:val="20"/>
          <w:color w:val="auto"/>
        </w:rPr>
      </w:pPr>
    </w:p>
    <w:p>
      <w:pPr>
        <w:jc w:val="both"/>
        <w:ind w:left="280" w:firstLine="264"/>
        <w:spacing w:after="0" w:line="222" w:lineRule="auto"/>
        <w:rPr>
          <w:sz w:val="20"/>
          <w:szCs w:val="20"/>
          <w:color w:val="auto"/>
        </w:rPr>
      </w:pPr>
      <w:r>
        <w:rPr>
          <w:rFonts w:ascii="Arial" w:cs="Arial" w:eastAsia="Arial" w:hAnsi="Arial"/>
          <w:sz w:val="15"/>
          <w:szCs w:val="15"/>
          <w:color w:val="auto"/>
        </w:rPr>
        <w:t xml:space="preserve">On December 13, 2019, a lawsuit styled, </w:t>
      </w:r>
      <w:r>
        <w:rPr>
          <w:rFonts w:ascii="Arial" w:cs="Arial" w:eastAsia="Arial" w:hAnsi="Arial"/>
          <w:sz w:val="15"/>
          <w:szCs w:val="15"/>
          <w:i w:val="1"/>
          <w:iCs w:val="1"/>
          <w:color w:val="auto"/>
        </w:rPr>
        <w:t>Kim Funding, LLC, Kim H. Peterson, Joseph J. Cohen, and ABC Funding Strategies, LLC v. Chicago Title Co., Chicago Title Ins. Co.,</w:t>
      </w:r>
      <w:r>
        <w:rPr>
          <w:rFonts w:ascii="Arial" w:cs="Arial" w:eastAsia="Arial" w:hAnsi="Arial"/>
          <w:sz w:val="15"/>
          <w:szCs w:val="15"/>
          <w:color w:val="auto"/>
        </w:rPr>
        <w:t xml:space="preserve"> </w:t>
      </w:r>
      <w:r>
        <w:rPr>
          <w:rFonts w:ascii="Arial" w:cs="Arial" w:eastAsia="Arial" w:hAnsi="Arial"/>
          <w:sz w:val="15"/>
          <w:szCs w:val="15"/>
          <w:i w:val="1"/>
          <w:iCs w:val="1"/>
          <w:color w:val="auto"/>
        </w:rPr>
        <w:t>Thomas Schwiebert, Adelle Ducharme, and Betty Elixman</w:t>
      </w:r>
      <w:r>
        <w:rPr>
          <w:rFonts w:ascii="Arial" w:cs="Arial" w:eastAsia="Arial" w:hAnsi="Arial"/>
          <w:sz w:val="15"/>
          <w:szCs w:val="15"/>
          <w:color w:val="auto"/>
        </w:rPr>
        <w:t>, was filed in San Diego County Superior Court. Plaintiffs claim losses of more than $250 million as a result of the alleged fraud</w:t>
      </w:r>
      <w:r>
        <w:rPr>
          <w:rFonts w:ascii="Arial" w:cs="Arial" w:eastAsia="Arial" w:hAnsi="Arial"/>
          <w:sz w:val="15"/>
          <w:szCs w:val="15"/>
          <w:i w:val="1"/>
          <w:iCs w:val="1"/>
          <w:color w:val="auto"/>
        </w:rPr>
        <w:t xml:space="preserve"> </w:t>
      </w:r>
      <w:r>
        <w:rPr>
          <w:rFonts w:ascii="Arial" w:cs="Arial" w:eastAsia="Arial" w:hAnsi="Arial"/>
          <w:sz w:val="15"/>
          <w:szCs w:val="15"/>
          <w:color w:val="auto"/>
        </w:rPr>
        <w:t>scheme, and also seek statutory, treble, and punitive damages. The Named Companies have filed a cross-complaint against Ms. Champion-Cain, among others. A demurrer to the Named Companies’ cross-complaint has been filed and is set for hearing in November 2021.</w:t>
      </w:r>
    </w:p>
    <w:p>
      <w:pPr>
        <w:jc w:val="both"/>
        <w:ind w:left="280" w:firstLine="264"/>
        <w:spacing w:after="0" w:line="239" w:lineRule="auto"/>
        <w:rPr>
          <w:sz w:val="20"/>
          <w:szCs w:val="20"/>
          <w:color w:val="auto"/>
        </w:rPr>
      </w:pPr>
      <w:r>
        <w:rPr>
          <w:rFonts w:ascii="Arial" w:cs="Arial" w:eastAsia="Arial" w:hAnsi="Arial"/>
          <w:sz w:val="15"/>
          <w:szCs w:val="15"/>
          <w:color w:val="auto"/>
        </w:rPr>
        <w:t xml:space="preserve">On March 6, 2020, a lawsuit styled, </w:t>
      </w:r>
      <w:r>
        <w:rPr>
          <w:rFonts w:ascii="Arial" w:cs="Arial" w:eastAsia="Arial" w:hAnsi="Arial"/>
          <w:sz w:val="15"/>
          <w:szCs w:val="15"/>
          <w:i w:val="1"/>
          <w:iCs w:val="1"/>
          <w:color w:val="auto"/>
        </w:rPr>
        <w:t>Wakefield Capital, LLC, Wakefield Investments, LLC, 2Budz Holding, LLC, Doug and Kristine Heidrich, and Jeff and Heidi Orr v. Chicago Title</w:t>
      </w:r>
      <w:r>
        <w:rPr>
          <w:rFonts w:ascii="Arial" w:cs="Arial" w:eastAsia="Arial" w:hAnsi="Arial"/>
          <w:sz w:val="15"/>
          <w:szCs w:val="15"/>
          <w:color w:val="auto"/>
        </w:rPr>
        <w:t xml:space="preserve"> </w:t>
      </w:r>
      <w:r>
        <w:rPr>
          <w:rFonts w:ascii="Arial" w:cs="Arial" w:eastAsia="Arial" w:hAnsi="Arial"/>
          <w:sz w:val="15"/>
          <w:szCs w:val="15"/>
          <w:i w:val="1"/>
          <w:iCs w:val="1"/>
          <w:color w:val="auto"/>
        </w:rPr>
        <w:t>Co. and Chicago Title Ins. Co.</w:t>
      </w:r>
      <w:r>
        <w:rPr>
          <w:rFonts w:ascii="Arial" w:cs="Arial" w:eastAsia="Arial" w:hAnsi="Arial"/>
          <w:sz w:val="15"/>
          <w:szCs w:val="15"/>
          <w:color w:val="auto"/>
        </w:rPr>
        <w:t>, was filed in San Diego County Superior Court. Plaintiffs claim losses in excess of $7 million as a result of the alleged fraud scheme, and also seek punitive</w:t>
      </w:r>
      <w:r>
        <w:rPr>
          <w:rFonts w:ascii="Arial" w:cs="Arial" w:eastAsia="Arial" w:hAnsi="Arial"/>
          <w:sz w:val="15"/>
          <w:szCs w:val="15"/>
          <w:i w:val="1"/>
          <w:iCs w:val="1"/>
          <w:color w:val="auto"/>
        </w:rPr>
        <w:t xml:space="preserve"> </w:t>
      </w:r>
      <w:r>
        <w:rPr>
          <w:rFonts w:ascii="Arial" w:cs="Arial" w:eastAsia="Arial" w:hAnsi="Arial"/>
          <w:sz w:val="15"/>
          <w:szCs w:val="15"/>
          <w:color w:val="auto"/>
        </w:rPr>
        <w:t>damages, recovery of attorneys’ fees, and disgorgement.</w:t>
      </w:r>
    </w:p>
    <w:p>
      <w:pPr>
        <w:spacing w:after="0" w:line="1" w:lineRule="exact"/>
        <w:rPr>
          <w:sz w:val="20"/>
          <w:szCs w:val="20"/>
          <w:color w:val="auto"/>
        </w:rPr>
      </w:pPr>
    </w:p>
    <w:p>
      <w:pPr>
        <w:jc w:val="both"/>
        <w:ind w:left="280" w:firstLine="264"/>
        <w:spacing w:after="0" w:line="236" w:lineRule="auto"/>
        <w:rPr>
          <w:sz w:val="20"/>
          <w:szCs w:val="20"/>
          <w:color w:val="auto"/>
        </w:rPr>
      </w:pPr>
      <w:r>
        <w:rPr>
          <w:rFonts w:ascii="Arial" w:cs="Arial" w:eastAsia="Arial" w:hAnsi="Arial"/>
          <w:sz w:val="14"/>
          <w:szCs w:val="14"/>
          <w:color w:val="auto"/>
        </w:rPr>
        <w:t xml:space="preserve">On June 29, 2020, a lawsuit styled, </w:t>
      </w:r>
      <w:r>
        <w:rPr>
          <w:rFonts w:ascii="Arial" w:cs="Arial" w:eastAsia="Arial" w:hAnsi="Arial"/>
          <w:sz w:val="14"/>
          <w:szCs w:val="14"/>
          <w:i w:val="1"/>
          <w:iCs w:val="1"/>
          <w:color w:val="auto"/>
        </w:rPr>
        <w:t>Susan Heller Fenley Separate Property Trust, DTD 03/04/2010, Susan Heller Fenley Inherited Roth IRA, Shelley Lynn Tarditi Trust and ROJ, LLC</w:t>
      </w:r>
      <w:r>
        <w:rPr>
          <w:rFonts w:ascii="Arial" w:cs="Arial" w:eastAsia="Arial" w:hAnsi="Arial"/>
          <w:sz w:val="14"/>
          <w:szCs w:val="14"/>
          <w:color w:val="auto"/>
        </w:rPr>
        <w:t xml:space="preserve"> </w:t>
      </w:r>
      <w:r>
        <w:rPr>
          <w:rFonts w:ascii="Arial" w:cs="Arial" w:eastAsia="Arial" w:hAnsi="Arial"/>
          <w:sz w:val="14"/>
          <w:szCs w:val="14"/>
          <w:i w:val="1"/>
          <w:iCs w:val="1"/>
          <w:color w:val="auto"/>
        </w:rPr>
        <w:t>v. Chicago Title Co., Chicago Title Ins. Co., Thomas Schwiebert, Adelle Ducharme, and Betty Elixman</w:t>
      </w:r>
      <w:r>
        <w:rPr>
          <w:rFonts w:ascii="Arial" w:cs="Arial" w:eastAsia="Arial" w:hAnsi="Arial"/>
          <w:sz w:val="14"/>
          <w:szCs w:val="14"/>
          <w:color w:val="auto"/>
        </w:rPr>
        <w:t>, was filed in San Diego County Superior Court. Plaintiffs claim losses in excess of</w:t>
      </w:r>
      <w:r>
        <w:rPr>
          <w:rFonts w:ascii="Arial" w:cs="Arial" w:eastAsia="Arial" w:hAnsi="Arial"/>
          <w:sz w:val="14"/>
          <w:szCs w:val="14"/>
          <w:i w:val="1"/>
          <w:iCs w:val="1"/>
          <w:color w:val="auto"/>
        </w:rPr>
        <w:t xml:space="preserve"> </w:t>
      </w:r>
      <w:r>
        <w:rPr>
          <w:rFonts w:ascii="Arial" w:cs="Arial" w:eastAsia="Arial" w:hAnsi="Arial"/>
          <w:sz w:val="14"/>
          <w:szCs w:val="14"/>
          <w:color w:val="auto"/>
        </w:rPr>
        <w:t>$6 million as a result of the alleged fraud scheme, and also seek statutory, treble, and punitive damages. The Named Companies have filed a cross-complaint against Ms. Champion-Cain, among others. A demurrer to the Named Companies’ cross-complaint has been filed and is set for hearing in November 2021.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both"/>
        <w:ind w:left="280" w:firstLine="264"/>
        <w:spacing w:after="0" w:line="218" w:lineRule="auto"/>
        <w:rPr>
          <w:sz w:val="20"/>
          <w:szCs w:val="20"/>
          <w:color w:val="auto"/>
        </w:rPr>
      </w:pPr>
      <w:r>
        <w:rPr>
          <w:rFonts w:ascii="Arial" w:cs="Arial" w:eastAsia="Arial" w:hAnsi="Arial"/>
          <w:sz w:val="15"/>
          <w:szCs w:val="15"/>
          <w:color w:val="auto"/>
        </w:rPr>
        <w:t xml:space="preserve">On June 29, 2020, a lawsuit styled, </w:t>
      </w:r>
      <w:r>
        <w:rPr>
          <w:rFonts w:ascii="Arial" w:cs="Arial" w:eastAsia="Arial" w:hAnsi="Arial"/>
          <w:sz w:val="15"/>
          <w:szCs w:val="15"/>
          <w:i w:val="1"/>
          <w:iCs w:val="1"/>
          <w:color w:val="auto"/>
        </w:rPr>
        <w:t>Yuan Yu and Polly Yu v. Chicago Title Co., Chicago Title Ins. Co., Thomas Schwiebert, Adelle Ducharme, and Betty Elixman</w:t>
      </w:r>
      <w:r>
        <w:rPr>
          <w:rFonts w:ascii="Arial" w:cs="Arial" w:eastAsia="Arial" w:hAnsi="Arial"/>
          <w:sz w:val="15"/>
          <w:szCs w:val="15"/>
          <w:color w:val="auto"/>
        </w:rPr>
        <w:t>, was filed in San Diego County Superior Court. Plaintiffs claim losses in excess of $1 million as a result of the alleged fraud scheme, and also seek statutory, treble, and punitive damages. The Named Companies have filed a cross-complaint against Ms. Champion-Cain, among others. A demurrer to the Named Companies’ cross-complaint has been filed and is set for hearing in November 2021.</w:t>
      </w:r>
    </w:p>
    <w:p>
      <w:pPr>
        <w:spacing w:after="0" w:line="1" w:lineRule="exact"/>
        <w:rPr>
          <w:sz w:val="20"/>
          <w:szCs w:val="20"/>
          <w:color w:val="auto"/>
        </w:rPr>
      </w:pPr>
    </w:p>
    <w:p>
      <w:pPr>
        <w:jc w:val="both"/>
        <w:ind w:left="280" w:firstLine="264"/>
        <w:spacing w:after="0" w:line="250" w:lineRule="auto"/>
        <w:rPr>
          <w:sz w:val="20"/>
          <w:szCs w:val="20"/>
          <w:color w:val="auto"/>
        </w:rPr>
      </w:pPr>
      <w:r>
        <w:rPr>
          <w:rFonts w:ascii="Arial" w:cs="Arial" w:eastAsia="Arial" w:hAnsi="Arial"/>
          <w:sz w:val="13"/>
          <w:szCs w:val="13"/>
          <w:color w:val="auto"/>
        </w:rPr>
        <w:t xml:space="preserve">On July 7, 2020, a cross-claim styled, </w:t>
      </w:r>
      <w:r>
        <w:rPr>
          <w:rFonts w:ascii="Arial" w:cs="Arial" w:eastAsia="Arial" w:hAnsi="Arial"/>
          <w:sz w:val="13"/>
          <w:szCs w:val="13"/>
          <w:i w:val="1"/>
          <w:iCs w:val="1"/>
          <w:color w:val="auto"/>
        </w:rPr>
        <w:t>Laurie Peterson v. Chicago Title Co., Chicago Title Ins. Co., Thomas Schwiebert, Adelle Ducharme, and Betty Elixman</w:t>
      </w:r>
      <w:r>
        <w:rPr>
          <w:rFonts w:ascii="Arial" w:cs="Arial" w:eastAsia="Arial" w:hAnsi="Arial"/>
          <w:sz w:val="13"/>
          <w:szCs w:val="13"/>
          <w:color w:val="auto"/>
        </w:rPr>
        <w:t xml:space="preserve">, was filed in an existing lawsuit styled, </w:t>
      </w:r>
      <w:r>
        <w:rPr>
          <w:rFonts w:ascii="Arial" w:cs="Arial" w:eastAsia="Arial" w:hAnsi="Arial"/>
          <w:sz w:val="13"/>
          <w:szCs w:val="13"/>
          <w:i w:val="1"/>
          <w:iCs w:val="1"/>
          <w:color w:val="auto"/>
        </w:rPr>
        <w:t>Banc of California, National Association v. Laurie Peterson</w:t>
      </w:r>
      <w:r>
        <w:rPr>
          <w:rFonts w:ascii="Arial" w:cs="Arial" w:eastAsia="Arial" w:hAnsi="Arial"/>
          <w:sz w:val="13"/>
          <w:szCs w:val="13"/>
          <w:color w:val="auto"/>
        </w:rPr>
        <w:t>, which is pending in San Diego County 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 The Named Companies have filed a cross-complaint against Ms. Champion-Cain, among others. A demurrer to the Named Companies’ cross-complaint has been filed and is set for hearing in November 2021.</w:t>
      </w:r>
    </w:p>
    <w:p>
      <w:pPr>
        <w:spacing w:after="0" w:line="1" w:lineRule="exact"/>
        <w:rPr>
          <w:sz w:val="20"/>
          <w:szCs w:val="20"/>
          <w:color w:val="auto"/>
        </w:rPr>
      </w:pPr>
    </w:p>
    <w:p>
      <w:pPr>
        <w:jc w:val="both"/>
        <w:ind w:left="280" w:firstLine="264"/>
        <w:spacing w:after="0" w:line="281" w:lineRule="auto"/>
        <w:rPr>
          <w:sz w:val="20"/>
          <w:szCs w:val="20"/>
          <w:color w:val="auto"/>
        </w:rPr>
      </w:pPr>
      <w:r>
        <w:rPr>
          <w:rFonts w:ascii="Arial" w:cs="Arial" w:eastAsia="Arial" w:hAnsi="Arial"/>
          <w:sz w:val="13"/>
          <w:szCs w:val="13"/>
          <w:color w:val="auto"/>
        </w:rPr>
        <w:t xml:space="preserve">On September 3, 2020, a cross-claim styled, </w:t>
      </w:r>
      <w:r>
        <w:rPr>
          <w:rFonts w:ascii="Arial" w:cs="Arial" w:eastAsia="Arial" w:hAnsi="Arial"/>
          <w:sz w:val="13"/>
          <w:szCs w:val="13"/>
          <w:i w:val="1"/>
          <w:iCs w:val="1"/>
          <w:color w:val="auto"/>
        </w:rPr>
        <w:t>Kim H. Peterson Trustee of the Peterson Family Trust dated April 14 1992 v. Chicago Title Co., Chicago Title Ins. Co., Thomas</w:t>
      </w:r>
      <w:r>
        <w:rPr>
          <w:rFonts w:ascii="Arial" w:cs="Arial" w:eastAsia="Arial" w:hAnsi="Arial"/>
          <w:sz w:val="13"/>
          <w:szCs w:val="13"/>
          <w:color w:val="auto"/>
        </w:rPr>
        <w:t xml:space="preserve"> </w:t>
      </w:r>
      <w:r>
        <w:rPr>
          <w:rFonts w:ascii="Arial" w:cs="Arial" w:eastAsia="Arial" w:hAnsi="Arial"/>
          <w:sz w:val="13"/>
          <w:szCs w:val="13"/>
          <w:i w:val="1"/>
          <w:iCs w:val="1"/>
          <w:color w:val="auto"/>
        </w:rPr>
        <w:t>Schwiebert, Adelle Ducharme, and Betty Elixman</w:t>
      </w:r>
      <w:r>
        <w:rPr>
          <w:rFonts w:ascii="Arial" w:cs="Arial" w:eastAsia="Arial" w:hAnsi="Arial"/>
          <w:sz w:val="13"/>
          <w:szCs w:val="13"/>
          <w:color w:val="auto"/>
        </w:rPr>
        <w:t>, was filed in an existing lawsuit styled,</w:t>
      </w:r>
      <w:r>
        <w:rPr>
          <w:rFonts w:ascii="Arial" w:cs="Arial" w:eastAsia="Arial" w:hAnsi="Arial"/>
          <w:sz w:val="13"/>
          <w:szCs w:val="13"/>
          <w:i w:val="1"/>
          <w:iCs w:val="1"/>
          <w:color w:val="auto"/>
        </w:rPr>
        <w:t xml:space="preserve"> CalPrivate Bank v. Kim H. Peterson Trustee of the Peterson Family Trust dated April 14 1992</w:t>
      </w:r>
      <w:r>
        <w:rPr>
          <w:rFonts w:ascii="Arial" w:cs="Arial" w:eastAsia="Arial" w:hAnsi="Arial"/>
          <w:sz w:val="13"/>
          <w:szCs w:val="13"/>
          <w:color w:val="auto"/>
        </w:rPr>
        <w:t>,</w:t>
      </w:r>
    </w:p>
    <w:p>
      <w:pPr>
        <w:jc w:val="both"/>
        <w:ind w:left="280"/>
        <w:spacing w:after="0" w:line="246" w:lineRule="auto"/>
        <w:rPr>
          <w:sz w:val="20"/>
          <w:szCs w:val="20"/>
          <w:color w:val="auto"/>
        </w:rPr>
      </w:pPr>
      <w:r>
        <w:rPr>
          <w:rFonts w:ascii="Arial" w:cs="Arial" w:eastAsia="Arial" w:hAnsi="Arial"/>
          <w:sz w:val="15"/>
          <w:szCs w:val="15"/>
          <w:color w:val="auto"/>
        </w:rPr>
        <w:t>which is pending in Superior Court of San Diego County for the State of 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173" w:lineRule="exact"/>
        <w:rPr>
          <w:sz w:val="20"/>
          <w:szCs w:val="20"/>
          <w:color w:val="auto"/>
        </w:rPr>
      </w:pPr>
    </w:p>
    <w:p>
      <w:pPr>
        <w:jc w:val="both"/>
        <w:ind w:left="280" w:firstLine="264"/>
        <w:spacing w:after="0" w:line="248" w:lineRule="auto"/>
        <w:rPr>
          <w:sz w:val="20"/>
          <w:szCs w:val="20"/>
          <w:color w:val="auto"/>
        </w:rPr>
      </w:pPr>
      <w:r>
        <w:rPr>
          <w:rFonts w:ascii="Arial" w:cs="Arial" w:eastAsia="Arial" w:hAnsi="Arial"/>
          <w:sz w:val="14"/>
          <w:szCs w:val="14"/>
          <w:color w:val="auto"/>
        </w:rPr>
        <w:t xml:space="preserve">On October 1, 2020, a lawsuit styled, </w:t>
      </w:r>
      <w:r>
        <w:rPr>
          <w:rFonts w:ascii="Arial" w:cs="Arial" w:eastAsia="Arial" w:hAnsi="Arial"/>
          <w:sz w:val="14"/>
          <w:szCs w:val="14"/>
          <w:i w:val="1"/>
          <w:iCs w:val="1"/>
          <w:color w:val="auto"/>
        </w:rPr>
        <w:t>Ovation Fin. Holdings 2 LLC, Ovation Fund Mgmt. II, LLC, Banc of California, N.A. v. Chicago Title Ins. Co.</w:t>
      </w:r>
      <w:r>
        <w:rPr>
          <w:rFonts w:ascii="Arial" w:cs="Arial" w:eastAsia="Arial" w:hAnsi="Arial"/>
          <w:sz w:val="14"/>
          <w:szCs w:val="14"/>
          <w:color w:val="auto"/>
        </w:rPr>
        <w:t>, was filed in San Diego County Superior Court. Plaintiffs claim losses of more than $75 million, as well as consequential and punitive damages. The Named Companies have filed a cross-complaint against Ms. Champion-Cain, among others. A demurrer to the Named Companies’ cross-complaint has been filed and is set for hearing in November 2021.</w:t>
      </w:r>
    </w:p>
    <w:p>
      <w:pPr>
        <w:spacing w:after="0" w:line="160" w:lineRule="exact"/>
        <w:rPr>
          <w:sz w:val="20"/>
          <w:szCs w:val="20"/>
          <w:color w:val="auto"/>
        </w:rPr>
      </w:pPr>
    </w:p>
    <w:p>
      <w:pPr>
        <w:jc w:val="both"/>
        <w:ind w:left="280" w:firstLine="264"/>
        <w:spacing w:after="0" w:line="273" w:lineRule="auto"/>
        <w:rPr>
          <w:sz w:val="20"/>
          <w:szCs w:val="20"/>
          <w:color w:val="auto"/>
        </w:rPr>
      </w:pPr>
      <w:r>
        <w:rPr>
          <w:rFonts w:ascii="Arial" w:cs="Arial" w:eastAsia="Arial" w:hAnsi="Arial"/>
          <w:sz w:val="13"/>
          <w:szCs w:val="13"/>
          <w:color w:val="auto"/>
        </w:rPr>
        <w:t xml:space="preserve">On November 2, 2020, a lawsuit styled, </w:t>
      </w:r>
      <w:r>
        <w:rPr>
          <w:rFonts w:ascii="Arial" w:cs="Arial" w:eastAsia="Arial" w:hAnsi="Arial"/>
          <w:sz w:val="13"/>
          <w:szCs w:val="13"/>
          <w:i w:val="1"/>
          <w:iCs w:val="1"/>
          <w:color w:val="auto"/>
        </w:rPr>
        <w:t>CalPrivate Bank v. Chicago Title Co. and Chicago Title Ins. Co.,</w:t>
      </w:r>
      <w:r>
        <w:rPr>
          <w:rFonts w:ascii="Arial" w:cs="Arial" w:eastAsia="Arial" w:hAnsi="Arial"/>
          <w:sz w:val="13"/>
          <w:szCs w:val="13"/>
          <w:color w:val="auto"/>
        </w:rPr>
        <w:t xml:space="preserve"> was also filed in the Superior Court of San Diego County for the State of California. Plaintiff claims losses in excess of $12 million based upon business loan advances made in the alcoholic beverage license scheme, and also seeks punitive damages and the</w:t>
      </w:r>
    </w:p>
    <w:p>
      <w:pPr>
        <w:jc w:val="both"/>
        <w:ind w:left="280"/>
        <w:spacing w:after="0" w:line="236" w:lineRule="auto"/>
        <w:rPr>
          <w:sz w:val="20"/>
          <w:szCs w:val="20"/>
          <w:color w:val="auto"/>
        </w:rPr>
      </w:pPr>
      <w:r>
        <w:rPr>
          <w:rFonts w:ascii="Arial" w:cs="Arial" w:eastAsia="Arial" w:hAnsi="Arial"/>
          <w:sz w:val="15"/>
          <w:szCs w:val="15"/>
          <w:color w:val="auto"/>
        </w:rPr>
        <w:t>recovery of attorneys’ fees. The Named Companies have filed a cross-complaint against Ms. Champion-Cain, among others. A demurrer to the Named Companies’ cross-complaint has been filed and is set for hearing in November 2021.</w:t>
      </w:r>
    </w:p>
    <w:p>
      <w:pPr>
        <w:spacing w:after="0" w:line="166" w:lineRule="exact"/>
        <w:rPr>
          <w:sz w:val="20"/>
          <w:szCs w:val="20"/>
          <w:color w:val="auto"/>
        </w:rPr>
      </w:pPr>
    </w:p>
    <w:p>
      <w:pPr>
        <w:jc w:val="both"/>
        <w:ind w:left="280" w:firstLine="264"/>
        <w:spacing w:after="0" w:line="236" w:lineRule="auto"/>
        <w:rPr>
          <w:sz w:val="20"/>
          <w:szCs w:val="20"/>
          <w:color w:val="auto"/>
        </w:rPr>
      </w:pPr>
      <w:r>
        <w:rPr>
          <w:rFonts w:ascii="Arial" w:cs="Arial" w:eastAsia="Arial" w:hAnsi="Arial"/>
          <w:sz w:val="15"/>
          <w:szCs w:val="15"/>
          <w:color w:val="auto"/>
        </w:rPr>
        <w:t xml:space="preserve">On February 24, 2021, a putative class action lawsuit styled, </w:t>
      </w:r>
      <w:r>
        <w:rPr>
          <w:rFonts w:ascii="Arial" w:cs="Arial" w:eastAsia="Arial" w:hAnsi="Arial"/>
          <w:sz w:val="15"/>
          <w:szCs w:val="15"/>
          <w:i w:val="1"/>
          <w:iCs w:val="1"/>
          <w:color w:val="auto"/>
        </w:rPr>
        <w:t>Blake E. Allred and Melissa M. Allred v. Chicago Title Co., Chicago Title Ins. Co.</w:t>
      </w:r>
      <w:r>
        <w:rPr>
          <w:rFonts w:ascii="Arial" w:cs="Arial" w:eastAsia="Arial" w:hAnsi="Arial"/>
          <w:sz w:val="15"/>
          <w:szCs w:val="15"/>
          <w:color w:val="auto"/>
        </w:rPr>
        <w:t>, was filed in the Superior Court of San Diego County for the State of California. Plaintiffs are seeking compensatory, statutory, treble, and punitive damages.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5"/>
          <w:szCs w:val="15"/>
          <w:color w:val="auto"/>
        </w:rPr>
        <w:t>In addition, Chicago Title Company has resolved claims from both individual and groups of alleged investors under confidential terms during pre-suit mediations. As of June 30, 2021, the Company has recorded an incurred claim loss reserve for legal fees which is included in its consolidated reserve for title claim losses. The Company has also recorded an insurance recoverable for amounts it expects to recover from its insurance carriers relating to these matters.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this time, the Company is unable to ascertain its liability, if any, and is unable to make an estimate of a reasonably possible claim loss for any of the unresolved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 possible defenses, counterclaims, crossclaims or third-party claims that may exist. Moreover, it is likely that in some instances, the claims listed above are duplicative. As further information becomes available, the Company will continue to evaluate the adequacy of its consolidated reserve for title claim losses. As of June 30, 2021, the Company believes that its reserves are adequate to cover losses related to this matter and other claims.</w:t>
      </w:r>
    </w:p>
    <w:p>
      <w:pPr>
        <w:spacing w:after="0" w:line="165"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We continually update loss reserve estimates as new information becomes known, new loss patterns emerge or as other contributing factors are considered and incorporated into the analysis of reserve for claim losses.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Estimating future title loss payments is difficult because of the complex nature of title claims, the long periods of time over which claims are paid, significantly varying dollar amounts of individual claims and other factors.</w:t>
      </w:r>
    </w:p>
    <w:p>
      <w:pPr>
        <w:spacing w:after="0" w:line="49"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C — Fair Value of Financial Instruments</w:t>
      </w:r>
    </w:p>
    <w:p>
      <w:pPr>
        <w:spacing w:after="0" w:line="139" w:lineRule="exact"/>
        <w:rPr>
          <w:sz w:val="20"/>
          <w:szCs w:val="20"/>
          <w:color w:val="auto"/>
        </w:rPr>
      </w:pPr>
    </w:p>
    <w:p>
      <w:pPr>
        <w:jc w:val="both"/>
        <w:ind w:firstLine="330"/>
        <w:spacing w:after="0" w:line="271" w:lineRule="auto"/>
        <w:rPr>
          <w:sz w:val="20"/>
          <w:szCs w:val="20"/>
          <w:color w:val="auto"/>
        </w:rPr>
      </w:pPr>
      <w:r>
        <w:rPr>
          <w:rFonts w:ascii="Arial" w:cs="Arial" w:eastAsia="Arial" w:hAnsi="Arial"/>
          <w:sz w:val="14"/>
          <w:szCs w:val="14"/>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Values are unadjusted quoted prices for identical assets and liabilities in active markets accessible at the measurement date.</w:t>
      </w:r>
    </w:p>
    <w:p>
      <w:pPr>
        <w:spacing w:after="0" w:line="69" w:lineRule="exact"/>
        <w:rPr>
          <w:sz w:val="20"/>
          <w:szCs w:val="20"/>
          <w:color w:val="auto"/>
        </w:rPr>
      </w:pPr>
    </w:p>
    <w:p>
      <w:pPr>
        <w:jc w:val="both"/>
        <w:ind w:left="380"/>
        <w:spacing w:after="0" w:line="300" w:lineRule="auto"/>
        <w:rPr>
          <w:sz w:val="20"/>
          <w:szCs w:val="20"/>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include quoted prices for similar assets or liabilities in active markets, quoted prices from those willing to trade in markets that are not active, or other inputs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observable or can be corroborated by market data for the term of the instrument. Such inputs include market interest rates and volatilities, spreads, and yield curves.</w:t>
      </w:r>
    </w:p>
    <w:p>
      <w:pPr>
        <w:spacing w:after="0" w:line="15" w:lineRule="exact"/>
        <w:rPr>
          <w:sz w:val="20"/>
          <w:szCs w:val="20"/>
          <w:color w:val="auto"/>
        </w:rPr>
      </w:pPr>
    </w:p>
    <w:p>
      <w:pPr>
        <w:jc w:val="both"/>
        <w:ind w:left="380"/>
        <w:spacing w:after="0" w:line="254" w:lineRule="auto"/>
        <w:rPr>
          <w:sz w:val="20"/>
          <w:szCs w:val="20"/>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 Certain inputs are unobservable (supported by little or no market activity) and significant to the fair value measurement. Unobservable inputs reflect the Company’s best</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 of what hypothetical market participants would use to determine a transaction price for the asset or liability at the reporting date based on the best information available in the circumstances.</w:t>
      </w:r>
    </w:p>
    <w:p>
      <w:pPr>
        <w:spacing w:after="0" w:line="90"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5"/>
          <w:szCs w:val="15"/>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79" w:lineRule="exact"/>
        <w:rPr>
          <w:sz w:val="20"/>
          <w:szCs w:val="20"/>
          <w:color w:val="auto"/>
        </w:rPr>
      </w:pPr>
    </w:p>
    <w:p>
      <w:pPr>
        <w:jc w:val="both"/>
        <w:ind w:firstLine="363"/>
        <w:spacing w:after="0" w:line="251" w:lineRule="auto"/>
        <w:rPr>
          <w:sz w:val="20"/>
          <w:szCs w:val="20"/>
          <w:color w:val="auto"/>
        </w:rPr>
      </w:pPr>
      <w:r>
        <w:rPr>
          <w:rFonts w:ascii="Arial" w:cs="Arial" w:eastAsia="Arial" w:hAnsi="Arial"/>
          <w:sz w:val="15"/>
          <w:szCs w:val="15"/>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5"/>
          <w:szCs w:val="15"/>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83" w:lineRule="exact"/>
        <w:rPr>
          <w:sz w:val="20"/>
          <w:szCs w:val="20"/>
          <w:color w:val="auto"/>
        </w:rPr>
      </w:pPr>
    </w:p>
    <w:tbl>
      <w:tblPr>
        <w:tblLayout w:type="fixed"/>
        <w:tblInd w:w="720" w:type="dxa"/>
        <w:tblCellMar>
          <w:top w:w="0" w:type="dxa"/>
          <w:left w:w="0" w:type="dxa"/>
          <w:bottom w:w="0" w:type="dxa"/>
          <w:right w:w="0" w:type="dxa"/>
        </w:tblCellMar>
      </w:tblPr>
      <w:tr>
        <w:trPr>
          <w:trHeight w:val="155"/>
        </w:trPr>
        <w:tc>
          <w:tcPr>
            <w:tcW w:w="38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June 30, 2021</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2</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Level 3</w:t>
            </w:r>
          </w:p>
        </w:tc>
        <w:tc>
          <w:tcPr>
            <w:tcW w:w="18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80" w:type="dxa"/>
            <w:vAlign w:val="bottom"/>
          </w:tcPr>
          <w:p>
            <w:pPr>
              <w:spacing w:after="0"/>
              <w:rPr>
                <w:sz w:val="12"/>
                <w:szCs w:val="12"/>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b w:val="1"/>
                <w:bCs w:val="1"/>
                <w:color w:val="auto"/>
                <w:w w:val="91"/>
              </w:rPr>
              <w:t>Carrying Amount</w:t>
            </w:r>
          </w:p>
        </w:tc>
        <w:tc>
          <w:tcPr>
            <w:tcW w:w="0" w:type="dxa"/>
            <w:vAlign w:val="bottom"/>
          </w:tcPr>
          <w:p>
            <w:pPr>
              <w:spacing w:after="0"/>
              <w:rPr>
                <w:sz w:val="1"/>
                <w:szCs w:val="1"/>
                <w:color w:val="auto"/>
              </w:rPr>
            </w:pPr>
          </w:p>
        </w:tc>
      </w:tr>
      <w:tr>
        <w:trPr>
          <w:trHeight w:val="136"/>
        </w:trPr>
        <w:tc>
          <w:tcPr>
            <w:tcW w:w="382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Assets</w:t>
            </w: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82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780" w:type="dxa"/>
            <w:vAlign w:val="bottom"/>
          </w:tcPr>
          <w:p>
            <w:pPr>
              <w:jc w:val="right"/>
              <w:ind w:right="670"/>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3,471</w:t>
            </w:r>
          </w:p>
        </w:tc>
        <w:tc>
          <w:tcPr>
            <w:tcW w:w="10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3,471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3,471</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available-for-sale:</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20" w:type="dxa"/>
            <w:vAlign w:val="bottom"/>
          </w:tcPr>
          <w:p>
            <w:pPr>
              <w:ind w:left="160"/>
              <w:spacing w:after="0"/>
              <w:rPr>
                <w:sz w:val="20"/>
                <w:szCs w:val="20"/>
                <w:color w:val="auto"/>
              </w:rPr>
            </w:pPr>
            <w:r>
              <w:rPr>
                <w:rFonts w:ascii="Arial" w:cs="Arial" w:eastAsia="Arial" w:hAnsi="Arial"/>
                <w:sz w:val="12"/>
                <w:szCs w:val="12"/>
                <w:color w:val="auto"/>
              </w:rPr>
              <w:t>Asset-backed securities</w:t>
            </w:r>
          </w:p>
        </w:tc>
        <w:tc>
          <w:tcPr>
            <w:tcW w:w="78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5,095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2,309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7,404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7,404</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Commercial mortgage-backed securities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2,946</w:t>
            </w:r>
          </w:p>
        </w:tc>
        <w:tc>
          <w:tcPr>
            <w:tcW w:w="0" w:type="dxa"/>
            <w:vAlign w:val="bottom"/>
          </w:tcPr>
          <w:p>
            <w:pPr>
              <w:spacing w:after="0"/>
              <w:rPr>
                <w:sz w:val="1"/>
                <w:szCs w:val="1"/>
                <w:color w:val="auto"/>
              </w:rPr>
            </w:pPr>
          </w:p>
        </w:tc>
      </w:tr>
      <w:tr>
        <w:trPr>
          <w:trHeight w:val="151"/>
        </w:trPr>
        <w:tc>
          <w:tcPr>
            <w:tcW w:w="3820" w:type="dxa"/>
            <w:vAlign w:val="bottom"/>
          </w:tcPr>
          <w:p>
            <w:pPr>
              <w:ind w:left="160"/>
              <w:spacing w:after="0"/>
              <w:rPr>
                <w:sz w:val="20"/>
                <w:szCs w:val="20"/>
                <w:color w:val="auto"/>
              </w:rPr>
            </w:pPr>
            <w:r>
              <w:rPr>
                <w:rFonts w:ascii="Arial" w:cs="Arial" w:eastAsia="Arial" w:hAnsi="Arial"/>
                <w:sz w:val="12"/>
                <w:szCs w:val="12"/>
                <w:color w:val="auto"/>
              </w:rPr>
              <w:t>Corporates</w:t>
            </w:r>
          </w:p>
        </w:tc>
        <w:tc>
          <w:tcPr>
            <w:tcW w:w="7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13,453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14,691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14,691</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Hybrids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964</w:t>
            </w:r>
          </w:p>
        </w:tc>
        <w:tc>
          <w:tcPr>
            <w:tcW w:w="0" w:type="dxa"/>
            <w:vAlign w:val="bottom"/>
          </w:tcPr>
          <w:p>
            <w:pPr>
              <w:spacing w:after="0"/>
              <w:rPr>
                <w:sz w:val="1"/>
                <w:szCs w:val="1"/>
                <w:color w:val="auto"/>
              </w:rPr>
            </w:pPr>
          </w:p>
        </w:tc>
      </w:tr>
      <w:tr>
        <w:trPr>
          <w:trHeight w:val="151"/>
        </w:trPr>
        <w:tc>
          <w:tcPr>
            <w:tcW w:w="3820" w:type="dxa"/>
            <w:vAlign w:val="bottom"/>
          </w:tcPr>
          <w:p>
            <w:pPr>
              <w:ind w:left="160"/>
              <w:spacing w:after="0"/>
              <w:rPr>
                <w:sz w:val="20"/>
                <w:szCs w:val="20"/>
                <w:color w:val="auto"/>
              </w:rPr>
            </w:pPr>
            <w:r>
              <w:rPr>
                <w:rFonts w:ascii="Arial" w:cs="Arial" w:eastAsia="Arial" w:hAnsi="Arial"/>
                <w:sz w:val="12"/>
                <w:szCs w:val="12"/>
                <w:color w:val="auto"/>
              </w:rPr>
              <w:t>Municipals</w:t>
            </w:r>
          </w:p>
        </w:tc>
        <w:tc>
          <w:tcPr>
            <w:tcW w:w="78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1,403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1,446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1,446</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Residential mortgage-backed securities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w:t>
            </w:r>
          </w:p>
        </w:tc>
        <w:tc>
          <w:tcPr>
            <w:tcW w:w="0" w:type="dxa"/>
            <w:vAlign w:val="bottom"/>
          </w:tcPr>
          <w:p>
            <w:pPr>
              <w:spacing w:after="0"/>
              <w:rPr>
                <w:sz w:val="1"/>
                <w:szCs w:val="1"/>
                <w:color w:val="auto"/>
              </w:rPr>
            </w:pPr>
          </w:p>
        </w:tc>
      </w:tr>
      <w:tr>
        <w:trPr>
          <w:trHeight w:val="151"/>
        </w:trPr>
        <w:tc>
          <w:tcPr>
            <w:tcW w:w="3820" w:type="dxa"/>
            <w:vAlign w:val="bottom"/>
          </w:tcPr>
          <w:p>
            <w:pPr>
              <w:ind w:left="160"/>
              <w:spacing w:after="0"/>
              <w:rPr>
                <w:sz w:val="20"/>
                <w:szCs w:val="20"/>
                <w:color w:val="auto"/>
              </w:rPr>
            </w:pPr>
            <w:r>
              <w:rPr>
                <w:rFonts w:ascii="Arial" w:cs="Arial" w:eastAsia="Arial" w:hAnsi="Arial"/>
                <w:sz w:val="12"/>
                <w:szCs w:val="12"/>
                <w:color w:val="auto"/>
              </w:rPr>
              <w:t>U.S. Government</w:t>
            </w:r>
          </w:p>
        </w:tc>
        <w:tc>
          <w:tcPr>
            <w:tcW w:w="7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1,059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1,059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1,059</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Governments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20"/>
                <w:szCs w:val="20"/>
                <w:color w:val="auto"/>
              </w:rPr>
            </w:pPr>
            <w:r>
              <w:rPr>
                <w:rFonts w:ascii="Arial" w:cs="Arial" w:eastAsia="Arial" w:hAnsi="Arial"/>
                <w:sz w:val="12"/>
                <w:szCs w:val="12"/>
                <w:color w:val="auto"/>
              </w:rPr>
              <w:t>Equity securities</w:t>
            </w:r>
          </w:p>
        </w:tc>
        <w:tc>
          <w:tcPr>
            <w:tcW w:w="7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1,382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1,390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1,390</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Preferred securities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1,198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1,198</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20"/>
                <w:szCs w:val="20"/>
                <w:color w:val="auto"/>
              </w:rPr>
            </w:pPr>
            <w:r>
              <w:rPr>
                <w:rFonts w:ascii="Arial" w:cs="Arial" w:eastAsia="Arial" w:hAnsi="Arial"/>
                <w:sz w:val="12"/>
                <w:szCs w:val="12"/>
                <w:color w:val="auto"/>
              </w:rPr>
              <w:t>Derivative investments</w:t>
            </w:r>
          </w:p>
        </w:tc>
        <w:tc>
          <w:tcPr>
            <w:tcW w:w="7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691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692</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Short term investments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20"/>
                <w:szCs w:val="20"/>
                <w:color w:val="auto"/>
              </w:rPr>
            </w:pPr>
            <w:r>
              <w:rPr>
                <w:rFonts w:ascii="Arial" w:cs="Arial" w:eastAsia="Arial" w:hAnsi="Arial"/>
                <w:sz w:val="12"/>
                <w:szCs w:val="12"/>
                <w:color w:val="auto"/>
              </w:rPr>
              <w:t>Other long-term investments</w:t>
            </w:r>
          </w:p>
        </w:tc>
        <w:tc>
          <w:tcPr>
            <w:tcW w:w="78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73"/>
        </w:trPr>
        <w:tc>
          <w:tcPr>
            <w:tcW w:w="3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Total financial assets at fair value</w:t>
            </w:r>
          </w:p>
        </w:tc>
        <w:tc>
          <w:tcPr>
            <w:tcW w:w="7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6,671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25,819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36,890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36,890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2"/>
                <w:szCs w:val="12"/>
                <w:b w:val="1"/>
                <w:bCs w:val="1"/>
                <w:color w:val="auto"/>
              </w:rPr>
              <w:t>Liabilities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8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Derivatives: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20" w:type="dxa"/>
            <w:vAlign w:val="bottom"/>
          </w:tcPr>
          <w:p>
            <w:pPr>
              <w:ind w:left="160"/>
              <w:spacing w:after="0"/>
              <w:rPr>
                <w:sz w:val="20"/>
                <w:szCs w:val="20"/>
                <w:color w:val="auto"/>
              </w:rPr>
            </w:pPr>
            <w:r>
              <w:rPr>
                <w:rFonts w:ascii="Arial" w:cs="Arial" w:eastAsia="Arial" w:hAnsi="Arial"/>
                <w:sz w:val="12"/>
                <w:szCs w:val="12"/>
                <w:color w:val="auto"/>
              </w:rPr>
              <w:t>FIA embedded derivatives, included in contractholder funds</w:t>
            </w:r>
          </w:p>
        </w:tc>
        <w:tc>
          <w:tcPr>
            <w:tcW w:w="78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3,759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3,759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3,759</w:t>
            </w:r>
          </w:p>
        </w:tc>
        <w:tc>
          <w:tcPr>
            <w:tcW w:w="0" w:type="dxa"/>
            <w:vAlign w:val="bottom"/>
          </w:tcPr>
          <w:p>
            <w:pPr>
              <w:spacing w:after="0"/>
              <w:rPr>
                <w:sz w:val="1"/>
                <w:szCs w:val="1"/>
                <w:color w:val="auto"/>
              </w:rPr>
            </w:pPr>
          </w:p>
        </w:tc>
      </w:tr>
      <w:tr>
        <w:trPr>
          <w:trHeight w:val="113"/>
        </w:trPr>
        <w:tc>
          <w:tcPr>
            <w:tcW w:w="3820" w:type="dxa"/>
            <w:vAlign w:val="bottom"/>
            <w:shd w:val="clear" w:color="auto" w:fill="CCEEFF"/>
          </w:tcPr>
          <w:p>
            <w:pPr>
              <w:ind w:left="160"/>
              <w:spacing w:after="0" w:line="113" w:lineRule="exact"/>
              <w:rPr>
                <w:sz w:val="20"/>
                <w:szCs w:val="20"/>
                <w:color w:val="auto"/>
              </w:rPr>
            </w:pPr>
            <w:r>
              <w:rPr>
                <w:rFonts w:ascii="Arial" w:cs="Arial" w:eastAsia="Arial" w:hAnsi="Arial"/>
                <w:sz w:val="12"/>
                <w:szCs w:val="12"/>
                <w:color w:val="auto"/>
                <w:w w:val="88"/>
              </w:rPr>
              <w:t>Reinsurance related embedded derivatives, included in accounts payable and</w:t>
            </w:r>
          </w:p>
        </w:tc>
        <w:tc>
          <w:tcPr>
            <w:tcW w:w="78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54"/>
        </w:trPr>
        <w:tc>
          <w:tcPr>
            <w:tcW w:w="3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liabilities</w:t>
            </w:r>
          </w:p>
        </w:tc>
        <w:tc>
          <w:tcPr>
            <w:tcW w:w="7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20" w:type="dxa"/>
            <w:vAlign w:val="bottom"/>
          </w:tcPr>
          <w:p>
            <w:pPr>
              <w:ind w:left="360"/>
              <w:spacing w:after="0"/>
              <w:rPr>
                <w:sz w:val="20"/>
                <w:szCs w:val="20"/>
                <w:color w:val="auto"/>
              </w:rPr>
            </w:pPr>
            <w:r>
              <w:rPr>
                <w:rFonts w:ascii="Arial" w:cs="Arial" w:eastAsia="Arial" w:hAnsi="Arial"/>
                <w:sz w:val="12"/>
                <w:szCs w:val="12"/>
                <w:color w:val="auto"/>
              </w:rPr>
              <w:t>Total financial liabilities at fair value</w:t>
            </w:r>
          </w:p>
        </w:tc>
        <w:tc>
          <w:tcPr>
            <w:tcW w:w="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3,759</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3,866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3,866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20" w:type="dxa"/>
        <w:tblCellMar>
          <w:top w:w="0" w:type="dxa"/>
          <w:left w:w="0" w:type="dxa"/>
          <w:bottom w:w="0" w:type="dxa"/>
          <w:right w:w="0" w:type="dxa"/>
        </w:tblCellMar>
      </w:tblPr>
      <w:tr>
        <w:trPr>
          <w:trHeight w:val="155"/>
        </w:trPr>
        <w:tc>
          <w:tcPr>
            <w:tcW w:w="40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6"/>
              </w:rPr>
              <w:t>December 31, 2020</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2</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Level 3</w:t>
            </w:r>
          </w:p>
        </w:tc>
        <w:tc>
          <w:tcPr>
            <w:tcW w:w="18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b w:val="1"/>
                <w:bCs w:val="1"/>
                <w:color w:val="auto"/>
                <w:w w:val="91"/>
              </w:rPr>
              <w:t>Carrying Amount</w:t>
            </w:r>
          </w:p>
        </w:tc>
        <w:tc>
          <w:tcPr>
            <w:tcW w:w="0" w:type="dxa"/>
            <w:vAlign w:val="bottom"/>
          </w:tcPr>
          <w:p>
            <w:pPr>
              <w:spacing w:after="0"/>
              <w:rPr>
                <w:sz w:val="1"/>
                <w:szCs w:val="1"/>
                <w:color w:val="auto"/>
              </w:rPr>
            </w:pPr>
          </w:p>
        </w:tc>
      </w:tr>
      <w:tr>
        <w:trPr>
          <w:trHeight w:val="136"/>
        </w:trPr>
        <w:tc>
          <w:tcPr>
            <w:tcW w:w="400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Assets</w:t>
            </w:r>
          </w:p>
        </w:tc>
        <w:tc>
          <w:tcPr>
            <w:tcW w:w="7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0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780" w:type="dxa"/>
            <w:vAlign w:val="bottom"/>
          </w:tcPr>
          <w:p>
            <w:pPr>
              <w:jc w:val="right"/>
              <w:ind w:right="641"/>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ind w:right="1"/>
              <w:spacing w:after="0"/>
              <w:rPr>
                <w:sz w:val="20"/>
                <w:szCs w:val="20"/>
                <w:color w:val="auto"/>
              </w:rPr>
            </w:pPr>
            <w:r>
              <w:rPr>
                <w:rFonts w:ascii="Arial" w:cs="Arial" w:eastAsia="Arial" w:hAnsi="Arial"/>
                <w:sz w:val="12"/>
                <w:szCs w:val="12"/>
                <w:color w:val="auto"/>
                <w:w w:val="93"/>
              </w:rPr>
              <w:t>2,719</w:t>
            </w:r>
          </w:p>
        </w:tc>
        <w:tc>
          <w:tcPr>
            <w:tcW w:w="1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2,719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2,719</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available-for-sale:</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00" w:type="dxa"/>
            <w:vAlign w:val="bottom"/>
          </w:tcPr>
          <w:p>
            <w:pPr>
              <w:ind w:left="160"/>
              <w:spacing w:after="0"/>
              <w:rPr>
                <w:sz w:val="20"/>
                <w:szCs w:val="20"/>
                <w:color w:val="auto"/>
              </w:rPr>
            </w:pPr>
            <w:r>
              <w:rPr>
                <w:rFonts w:ascii="Arial" w:cs="Arial" w:eastAsia="Arial" w:hAnsi="Arial"/>
                <w:sz w:val="12"/>
                <w:szCs w:val="12"/>
                <w:color w:val="auto"/>
              </w:rPr>
              <w:t>Asset-backed securities</w:t>
            </w:r>
          </w:p>
        </w:tc>
        <w:tc>
          <w:tcPr>
            <w:tcW w:w="7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4,916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1,350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6,266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6,266</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Commercial mortgage-backed securities</w:t>
            </w: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2,829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w:t>
            </w:r>
          </w:p>
        </w:tc>
        <w:tc>
          <w:tcPr>
            <w:tcW w:w="0" w:type="dxa"/>
            <w:vAlign w:val="bottom"/>
          </w:tcPr>
          <w:p>
            <w:pPr>
              <w:spacing w:after="0"/>
              <w:rPr>
                <w:sz w:val="1"/>
                <w:szCs w:val="1"/>
                <w:color w:val="auto"/>
              </w:rPr>
            </w:pPr>
          </w:p>
        </w:tc>
      </w:tr>
      <w:tr>
        <w:trPr>
          <w:trHeight w:val="151"/>
        </w:trPr>
        <w:tc>
          <w:tcPr>
            <w:tcW w:w="4000" w:type="dxa"/>
            <w:vAlign w:val="bottom"/>
          </w:tcPr>
          <w:p>
            <w:pPr>
              <w:ind w:left="160"/>
              <w:spacing w:after="0"/>
              <w:rPr>
                <w:sz w:val="20"/>
                <w:szCs w:val="20"/>
                <w:color w:val="auto"/>
              </w:rPr>
            </w:pPr>
            <w:r>
              <w:rPr>
                <w:rFonts w:ascii="Arial" w:cs="Arial" w:eastAsia="Arial" w:hAnsi="Arial"/>
                <w:sz w:val="12"/>
                <w:szCs w:val="12"/>
                <w:color w:val="auto"/>
              </w:rPr>
              <w:t>Corporates</w:t>
            </w:r>
          </w:p>
        </w:tc>
        <w:tc>
          <w:tcPr>
            <w:tcW w:w="78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13,421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1,289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14,735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14,735</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Hybrids</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w:t>
            </w:r>
          </w:p>
        </w:tc>
        <w:tc>
          <w:tcPr>
            <w:tcW w:w="0" w:type="dxa"/>
            <w:vAlign w:val="bottom"/>
          </w:tcPr>
          <w:p>
            <w:pPr>
              <w:spacing w:after="0"/>
              <w:rPr>
                <w:sz w:val="1"/>
                <w:szCs w:val="1"/>
                <w:color w:val="auto"/>
              </w:rPr>
            </w:pPr>
          </w:p>
        </w:tc>
      </w:tr>
      <w:tr>
        <w:trPr>
          <w:trHeight w:val="151"/>
        </w:trPr>
        <w:tc>
          <w:tcPr>
            <w:tcW w:w="4000" w:type="dxa"/>
            <w:vAlign w:val="bottom"/>
          </w:tcPr>
          <w:p>
            <w:pPr>
              <w:ind w:left="160"/>
              <w:spacing w:after="0"/>
              <w:rPr>
                <w:sz w:val="20"/>
                <w:szCs w:val="20"/>
                <w:color w:val="auto"/>
              </w:rPr>
            </w:pPr>
            <w:r>
              <w:rPr>
                <w:rFonts w:ascii="Arial" w:cs="Arial" w:eastAsia="Arial" w:hAnsi="Arial"/>
                <w:sz w:val="12"/>
                <w:szCs w:val="12"/>
                <w:color w:val="auto"/>
              </w:rPr>
              <w:t>Municipals</w:t>
            </w:r>
          </w:p>
        </w:tc>
        <w:tc>
          <w:tcPr>
            <w:tcW w:w="7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1,360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1,403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1,403</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Residential mortgage-backed securities</w:t>
            </w: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51"/>
        </w:trPr>
        <w:tc>
          <w:tcPr>
            <w:tcW w:w="4000" w:type="dxa"/>
            <w:vAlign w:val="bottom"/>
          </w:tcPr>
          <w:p>
            <w:pPr>
              <w:ind w:left="160"/>
              <w:spacing w:after="0"/>
              <w:rPr>
                <w:sz w:val="20"/>
                <w:szCs w:val="20"/>
                <w:color w:val="auto"/>
              </w:rPr>
            </w:pPr>
            <w:r>
              <w:rPr>
                <w:rFonts w:ascii="Arial" w:cs="Arial" w:eastAsia="Arial" w:hAnsi="Arial"/>
                <w:sz w:val="12"/>
                <w:szCs w:val="12"/>
                <w:color w:val="auto"/>
              </w:rPr>
              <w:t>U.S. Government</w:t>
            </w:r>
          </w:p>
        </w:tc>
        <w:tc>
          <w:tcPr>
            <w:tcW w:w="78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Governments</w:t>
            </w: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20"/>
                <w:szCs w:val="20"/>
                <w:color w:val="auto"/>
              </w:rPr>
            </w:pPr>
            <w:r>
              <w:rPr>
                <w:rFonts w:ascii="Arial" w:cs="Arial" w:eastAsia="Arial" w:hAnsi="Arial"/>
                <w:sz w:val="12"/>
                <w:szCs w:val="12"/>
                <w:color w:val="auto"/>
              </w:rPr>
              <w:t>Equity securities</w:t>
            </w:r>
          </w:p>
        </w:tc>
        <w:tc>
          <w:tcPr>
            <w:tcW w:w="78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791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796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Preferred securities</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1,341</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20"/>
                <w:szCs w:val="20"/>
                <w:color w:val="auto"/>
              </w:rPr>
            </w:pPr>
            <w:r>
              <w:rPr>
                <w:rFonts w:ascii="Arial" w:cs="Arial" w:eastAsia="Arial" w:hAnsi="Arial"/>
                <w:sz w:val="12"/>
                <w:szCs w:val="12"/>
                <w:color w:val="auto"/>
              </w:rPr>
              <w:t>Subscription agreements (1)</w:t>
            </w:r>
          </w:p>
        </w:tc>
        <w:tc>
          <w:tcPr>
            <w:tcW w:w="7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Derivative investments</w:t>
            </w: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20"/>
                <w:szCs w:val="20"/>
                <w:color w:val="auto"/>
              </w:rPr>
            </w:pPr>
            <w:r>
              <w:rPr>
                <w:rFonts w:ascii="Arial" w:cs="Arial" w:eastAsia="Arial" w:hAnsi="Arial"/>
                <w:sz w:val="12"/>
                <w:szCs w:val="12"/>
                <w:color w:val="auto"/>
              </w:rPr>
              <w:t>Short term investments</w:t>
            </w:r>
          </w:p>
        </w:tc>
        <w:tc>
          <w:tcPr>
            <w:tcW w:w="78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769</w:t>
            </w:r>
          </w:p>
        </w:tc>
        <w:tc>
          <w:tcPr>
            <w:tcW w:w="0" w:type="dxa"/>
            <w:vAlign w:val="bottom"/>
          </w:tcPr>
          <w:p>
            <w:pPr>
              <w:spacing w:after="0"/>
              <w:rPr>
                <w:sz w:val="1"/>
                <w:szCs w:val="1"/>
                <w:color w:val="auto"/>
              </w:rPr>
            </w:pPr>
          </w:p>
        </w:tc>
      </w:tr>
      <w:tr>
        <w:trPr>
          <w:trHeight w:val="154"/>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investments</w:t>
            </w: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8"/>
        </w:trPr>
        <w:tc>
          <w:tcPr>
            <w:tcW w:w="4000" w:type="dxa"/>
            <w:vAlign w:val="bottom"/>
          </w:tcPr>
          <w:p>
            <w:pPr>
              <w:ind w:left="360"/>
              <w:spacing w:after="0"/>
              <w:rPr>
                <w:sz w:val="20"/>
                <w:szCs w:val="20"/>
                <w:color w:val="auto"/>
              </w:rPr>
            </w:pPr>
            <w:r>
              <w:rPr>
                <w:rFonts w:ascii="Arial" w:cs="Arial" w:eastAsia="Arial" w:hAnsi="Arial"/>
                <w:sz w:val="12"/>
                <w:szCs w:val="12"/>
                <w:color w:val="auto"/>
              </w:rPr>
              <w:t>Total financial assets at fair value</w:t>
            </w:r>
          </w:p>
        </w:tc>
        <w:tc>
          <w:tcPr>
            <w:tcW w:w="7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93"/>
              </w:rPr>
              <w:t>5,311</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25,431</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3,267</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34,009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34,009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0" w:type="dxa"/>
            <w:vAlign w:val="bottom"/>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Liabilities</w:t>
            </w: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000" w:type="dxa"/>
            <w:vAlign w:val="bottom"/>
          </w:tcPr>
          <w:p>
            <w:pPr>
              <w:spacing w:after="0"/>
              <w:rPr>
                <w:sz w:val="20"/>
                <w:szCs w:val="20"/>
                <w:color w:val="auto"/>
              </w:rPr>
            </w:pPr>
            <w:r>
              <w:rPr>
                <w:rFonts w:ascii="Arial" w:cs="Arial" w:eastAsia="Arial" w:hAnsi="Arial"/>
                <w:sz w:val="12"/>
                <w:szCs w:val="12"/>
                <w:color w:val="auto"/>
              </w:rPr>
              <w:t>Fair value of future policy benefits</w:t>
            </w:r>
          </w:p>
        </w:tc>
        <w:tc>
          <w:tcPr>
            <w:tcW w:w="7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Derivatives:</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00" w:type="dxa"/>
            <w:vAlign w:val="bottom"/>
          </w:tcPr>
          <w:p>
            <w:pPr>
              <w:ind w:left="160"/>
              <w:spacing w:after="0"/>
              <w:rPr>
                <w:sz w:val="20"/>
                <w:szCs w:val="20"/>
                <w:color w:val="auto"/>
              </w:rPr>
            </w:pPr>
            <w:r>
              <w:rPr>
                <w:rFonts w:ascii="Arial" w:cs="Arial" w:eastAsia="Arial" w:hAnsi="Arial"/>
                <w:sz w:val="12"/>
                <w:szCs w:val="12"/>
                <w:color w:val="auto"/>
              </w:rPr>
              <w:t>FIA embedded derivatives, included in contractholder funds</w:t>
            </w:r>
          </w:p>
        </w:tc>
        <w:tc>
          <w:tcPr>
            <w:tcW w:w="7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3,404</w:t>
            </w: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ind w:left="160"/>
              <w:spacing w:after="0" w:line="113" w:lineRule="exact"/>
              <w:rPr>
                <w:sz w:val="20"/>
                <w:szCs w:val="20"/>
                <w:color w:val="auto"/>
              </w:rPr>
            </w:pPr>
            <w:r>
              <w:rPr>
                <w:rFonts w:ascii="Arial" w:cs="Arial" w:eastAsia="Arial" w:hAnsi="Arial"/>
                <w:sz w:val="12"/>
                <w:szCs w:val="12"/>
                <w:color w:val="auto"/>
                <w:w w:val="92"/>
              </w:rPr>
              <w:t>Reinsurance related embedded derivatives, included in accounts payable and</w:t>
            </w:r>
          </w:p>
        </w:tc>
        <w:tc>
          <w:tcPr>
            <w:tcW w:w="7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54"/>
        </w:trPr>
        <w:tc>
          <w:tcPr>
            <w:tcW w:w="4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liabilities</w:t>
            </w: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00" w:type="dxa"/>
            <w:vAlign w:val="bottom"/>
          </w:tcPr>
          <w:p>
            <w:pPr>
              <w:ind w:left="360"/>
              <w:spacing w:after="0"/>
              <w:rPr>
                <w:sz w:val="20"/>
                <w:szCs w:val="20"/>
                <w:color w:val="auto"/>
              </w:rPr>
            </w:pPr>
            <w:r>
              <w:rPr>
                <w:rFonts w:ascii="Arial" w:cs="Arial" w:eastAsia="Arial" w:hAnsi="Arial"/>
                <w:sz w:val="12"/>
                <w:szCs w:val="12"/>
                <w:color w:val="auto"/>
              </w:rPr>
              <w:t>Total financial liabilities at fair value</w:t>
            </w:r>
          </w:p>
        </w:tc>
        <w:tc>
          <w:tcPr>
            <w:tcW w:w="7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3,409</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3,510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(1) Included within equity securities in the accompanying Condensed Consolidated Balance Sheets as of December 31, 2020.</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Methodologies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Fixed Maturity Securities &amp; Equity Securities</w:t>
      </w:r>
    </w:p>
    <w:p>
      <w:pPr>
        <w:spacing w:after="0" w:line="113" w:lineRule="exact"/>
        <w:rPr>
          <w:sz w:val="20"/>
          <w:szCs w:val="20"/>
          <w:color w:val="auto"/>
        </w:rPr>
      </w:pPr>
    </w:p>
    <w:p>
      <w:pPr>
        <w:jc w:val="both"/>
        <w:ind w:firstLine="330"/>
        <w:spacing w:after="0" w:line="294" w:lineRule="auto"/>
        <w:rPr>
          <w:sz w:val="20"/>
          <w:szCs w:val="20"/>
          <w:color w:val="auto"/>
        </w:rPr>
      </w:pPr>
      <w:r>
        <w:rPr>
          <w:rFonts w:ascii="Arial" w:cs="Arial" w:eastAsia="Arial" w:hAnsi="Arial"/>
          <w:sz w:val="13"/>
          <w:szCs w:val="13"/>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55" w:lineRule="exact"/>
        <w:rPr>
          <w:sz w:val="20"/>
          <w:szCs w:val="20"/>
          <w:color w:val="auto"/>
        </w:rPr>
      </w:pPr>
    </w:p>
    <w:p>
      <w:pPr>
        <w:jc w:val="both"/>
        <w:ind w:firstLine="330"/>
        <w:spacing w:after="0" w:line="274" w:lineRule="auto"/>
        <w:rPr>
          <w:sz w:val="20"/>
          <w:szCs w:val="20"/>
          <w:color w:val="auto"/>
        </w:rPr>
      </w:pPr>
      <w:r>
        <w:rPr>
          <w:rFonts w:ascii="Arial" w:cs="Arial" w:eastAsia="Arial" w:hAnsi="Arial"/>
          <w:sz w:val="14"/>
          <w:szCs w:val="14"/>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67"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We analyze the third-party valuation methodologies and related inputs to perform assessments to determine the appropriate level within the fair value hierarchy. However, we did not adjust prices received from third parties as of June 30, 2021 or December 31,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Financial Instruments</w:t>
      </w:r>
    </w:p>
    <w:p>
      <w:pPr>
        <w:spacing w:after="0" w:line="102"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The fair value of call options are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90"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fair value of futures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71" w:lineRule="exact"/>
        <w:rPr>
          <w:sz w:val="20"/>
          <w:szCs w:val="20"/>
          <w:color w:val="auto"/>
        </w:rPr>
      </w:pPr>
    </w:p>
    <w:p>
      <w:pPr>
        <w:jc w:val="both"/>
        <w:ind w:firstLine="330"/>
        <w:spacing w:after="0" w:line="294" w:lineRule="auto"/>
        <w:rPr>
          <w:sz w:val="20"/>
          <w:szCs w:val="20"/>
          <w:color w:val="auto"/>
        </w:rPr>
      </w:pPr>
      <w:r>
        <w:rPr>
          <w:rFonts w:ascii="Arial" w:cs="Arial" w:eastAsia="Arial" w:hAnsi="Arial"/>
          <w:sz w:val="13"/>
          <w:szCs w:val="13"/>
          <w:color w:val="auto"/>
        </w:rPr>
        <w:t>The fair value measurement of the FIA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June 30, 2021 was applied to the Annuity 2000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55"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 xml:space="preserve">The fair value of the reinsurance-related embedded derivative in the funds withheld reinsurance agreement with Kubera Insurance (SAC) Ltd. ("Kubera"), a third party insurer, is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P </w:t>
      </w:r>
      <w:r>
        <w:rPr>
          <w:rFonts w:ascii="Arial" w:cs="Arial" w:eastAsia="Arial" w:hAnsi="Arial"/>
          <w:sz w:val="15"/>
          <w:szCs w:val="15"/>
          <w:i w:val="1"/>
          <w:iCs w:val="1"/>
          <w:color w:val="auto"/>
        </w:rPr>
        <w:t>Reinsurance</w:t>
      </w:r>
      <w:r>
        <w:rPr>
          <w:rFonts w:ascii="Arial" w:cs="Arial" w:eastAsia="Arial" w:hAnsi="Arial"/>
          <w:sz w:val="15"/>
          <w:szCs w:val="15"/>
          <w:color w:val="auto"/>
        </w:rPr>
        <w:t xml:space="preserve"> in our Annual Report on Form 10-K for the year ended December 31, 2020 for further discussion on F&amp;G reinsurance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long-term investments</w:t>
      </w:r>
    </w:p>
    <w:p>
      <w:pPr>
        <w:spacing w:after="0" w:line="113" w:lineRule="exact"/>
        <w:rPr>
          <w:sz w:val="20"/>
          <w:szCs w:val="20"/>
          <w:color w:val="auto"/>
        </w:rPr>
      </w:pPr>
    </w:p>
    <w:p>
      <w:pPr>
        <w:jc w:val="both"/>
        <w:ind w:firstLine="330"/>
        <w:spacing w:after="0" w:line="292" w:lineRule="auto"/>
        <w:rPr>
          <w:sz w:val="20"/>
          <w:szCs w:val="20"/>
          <w:color w:val="auto"/>
        </w:rPr>
      </w:pPr>
      <w:r>
        <w:rPr>
          <w:rFonts w:ascii="Arial" w:cs="Arial" w:eastAsia="Arial" w:hAnsi="Arial"/>
          <w:sz w:val="13"/>
          <w:szCs w:val="13"/>
          <w:color w:val="auto"/>
        </w:rPr>
        <w:t xml:space="preserve">Fair value of the available-for-sale embedded derivative is based on an unobservable input, the net asset value of the fund at the balance sheet date and is considered to be a Level 3 fair value measurement. The embedded derivative is similar to a call option on the net asset value of the fund with a strike price of zero since Fidelity &amp; Guaranty Life Insurance Company ("FGL Insurance")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Arial" w:cs="Arial" w:eastAsia="Arial" w:hAnsi="Arial"/>
          <w:sz w:val="13"/>
          <w:szCs w:val="13"/>
          <w:i w:val="1"/>
          <w:iCs w:val="1"/>
          <w:color w:val="auto"/>
        </w:rPr>
        <w:t>Derivative Financial Instruments</w:t>
      </w:r>
      <w:r>
        <w:rPr>
          <w:rFonts w:ascii="Arial" w:cs="Arial" w:eastAsia="Arial" w:hAnsi="Arial"/>
          <w:sz w:val="13"/>
          <w:szCs w:val="13"/>
          <w:color w:val="auto"/>
        </w:rPr>
        <w:t>.</w:t>
      </w:r>
    </w:p>
    <w:p>
      <w:pPr>
        <w:spacing w:after="0" w:line="56" w:lineRule="exact"/>
        <w:rPr>
          <w:sz w:val="20"/>
          <w:szCs w:val="20"/>
          <w:color w:val="auto"/>
        </w:rPr>
      </w:pPr>
    </w:p>
    <w:p>
      <w:pPr>
        <w:jc w:val="both"/>
        <w:ind w:firstLine="330"/>
        <w:spacing w:after="0" w:line="281" w:lineRule="auto"/>
        <w:rPr>
          <w:sz w:val="20"/>
          <w:szCs w:val="20"/>
          <w:color w:val="auto"/>
        </w:rPr>
      </w:pPr>
      <w:r>
        <w:rPr>
          <w:rFonts w:ascii="Arial" w:cs="Arial" w:eastAsia="Arial" w:hAnsi="Arial"/>
          <w:sz w:val="14"/>
          <w:szCs w:val="14"/>
          <w:color w:val="auto"/>
        </w:rPr>
        <w:t>The fair value of the credit-linked note is based on a weighted average of a broker quote and a discounted cash flow analysis and is considered to be a Level 3 fair value measurement.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Quantitative information regarding significant unobservable inputs used for recurring Level 3 fair value measurements of financial instruments carried at fair value as of June 30, 2021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are as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tcPr>
          <w:p>
            <w:pPr>
              <w:jc w:val="center"/>
              <w:ind w:left="334"/>
              <w:spacing w:after="0"/>
              <w:rPr>
                <w:sz w:val="20"/>
                <w:szCs w:val="20"/>
                <w:color w:val="auto"/>
              </w:rPr>
            </w:pPr>
            <w:r>
              <w:rPr>
                <w:rFonts w:ascii="Arial" w:cs="Arial" w:eastAsia="Arial" w:hAnsi="Arial"/>
                <w:sz w:val="13"/>
                <w:szCs w:val="13"/>
                <w:b w:val="1"/>
                <w:bCs w:val="1"/>
                <w:color w:val="auto"/>
                <w:w w:val="93"/>
              </w:rPr>
              <w:t>Fair Value at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jc w:val="center"/>
              <w:ind w:left="334"/>
              <w:spacing w:after="0"/>
              <w:rPr>
                <w:sz w:val="20"/>
                <w:szCs w:val="20"/>
                <w:color w:val="auto"/>
              </w:rPr>
            </w:pPr>
            <w:r>
              <w:rPr>
                <w:rFonts w:ascii="Arial" w:cs="Arial" w:eastAsia="Arial" w:hAnsi="Arial"/>
                <w:sz w:val="13"/>
                <w:szCs w:val="13"/>
                <w:b w:val="1"/>
                <w:bCs w:val="1"/>
                <w:color w:val="auto"/>
                <w:w w:val="89"/>
              </w:rPr>
              <w:t>June 30, 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ind w:left="240"/>
              <w:spacing w:after="0"/>
              <w:rPr>
                <w:sz w:val="20"/>
                <w:szCs w:val="20"/>
                <w:color w:val="auto"/>
              </w:rPr>
            </w:pPr>
            <w:r>
              <w:rPr>
                <w:rFonts w:ascii="Arial" w:cs="Arial" w:eastAsia="Arial" w:hAnsi="Arial"/>
                <w:sz w:val="13"/>
                <w:szCs w:val="13"/>
                <w:b w:val="1"/>
                <w:bCs w:val="1"/>
                <w:color w:val="auto"/>
              </w:rPr>
              <w:t>Range (Weighted average)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jc w:val="center"/>
              <w:ind w:left="334"/>
              <w:spacing w:after="0"/>
              <w:rPr>
                <w:sz w:val="20"/>
                <w:szCs w:val="20"/>
                <w:color w:val="auto"/>
              </w:rPr>
            </w:pPr>
            <w:r>
              <w:rPr>
                <w:rFonts w:ascii="Arial" w:cs="Arial" w:eastAsia="Arial" w:hAnsi="Arial"/>
                <w:sz w:val="13"/>
                <w:szCs w:val="13"/>
                <w:b w:val="1"/>
                <w:bCs w:val="1"/>
                <w:color w:val="auto"/>
                <w:w w:val="93"/>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420"/>
              <w:spacing w:after="0"/>
              <w:rPr>
                <w:sz w:val="20"/>
                <w:szCs w:val="20"/>
                <w:color w:val="auto"/>
              </w:rPr>
            </w:pPr>
            <w:r>
              <w:rPr>
                <w:rFonts w:ascii="Arial" w:cs="Arial" w:eastAsia="Arial" w:hAnsi="Arial"/>
                <w:sz w:val="13"/>
                <w:szCs w:val="13"/>
                <w:b w:val="1"/>
                <w:bCs w:val="1"/>
                <w:color w:val="auto"/>
              </w:rPr>
              <w:t>Valuation Technique</w:t>
            </w:r>
          </w:p>
        </w:tc>
        <w:tc>
          <w:tcPr>
            <w:tcW w:w="1740" w:type="dxa"/>
            <w:vAlign w:val="bottom"/>
            <w:gridSpan w:val="2"/>
          </w:tcPr>
          <w:p>
            <w:pPr>
              <w:ind w:left="180"/>
              <w:spacing w:after="0"/>
              <w:rPr>
                <w:sz w:val="20"/>
                <w:szCs w:val="20"/>
                <w:color w:val="auto"/>
              </w:rPr>
            </w:pPr>
            <w:r>
              <w:rPr>
                <w:rFonts w:ascii="Arial" w:cs="Arial" w:eastAsia="Arial" w:hAnsi="Arial"/>
                <w:sz w:val="13"/>
                <w:szCs w:val="13"/>
                <w:b w:val="1"/>
                <w:bCs w:val="1"/>
                <w:color w:val="auto"/>
              </w:rPr>
              <w:t>Unobservable Input(s)</w:t>
            </w:r>
          </w:p>
        </w:tc>
        <w:tc>
          <w:tcPr>
            <w:tcW w:w="380" w:type="dxa"/>
            <w:vAlign w:val="bottom"/>
          </w:tcPr>
          <w:p>
            <w:pPr>
              <w:spacing w:after="0"/>
              <w:rPr>
                <w:sz w:val="15"/>
                <w:szCs w:val="15"/>
                <w:color w:val="auto"/>
              </w:rPr>
            </w:pPr>
          </w:p>
        </w:tc>
        <w:tc>
          <w:tcPr>
            <w:tcW w:w="1580" w:type="dxa"/>
            <w:vAlign w:val="bottom"/>
          </w:tcPr>
          <w:p>
            <w:pPr>
              <w:ind w:left="220"/>
              <w:spacing w:after="0"/>
              <w:rPr>
                <w:sz w:val="20"/>
                <w:szCs w:val="20"/>
                <w:color w:val="auto"/>
              </w:rPr>
            </w:pPr>
            <w:r>
              <w:rPr>
                <w:rFonts w:ascii="Arial" w:cs="Arial" w:eastAsia="Arial" w:hAnsi="Arial"/>
                <w:sz w:val="13"/>
                <w:szCs w:val="13"/>
                <w:b w:val="1"/>
                <w:bCs w:val="1"/>
                <w:color w:val="auto"/>
              </w:rPr>
              <w:t>June 30, 2021</w:t>
            </w:r>
          </w:p>
        </w:tc>
        <w:tc>
          <w:tcPr>
            <w:tcW w:w="0" w:type="dxa"/>
            <w:vAlign w:val="bottom"/>
          </w:tcPr>
          <w:p>
            <w:pPr>
              <w:spacing w:after="0"/>
              <w:rPr>
                <w:sz w:val="1"/>
                <w:szCs w:val="1"/>
                <w:color w:val="auto"/>
              </w:rPr>
            </w:pPr>
          </w:p>
        </w:tc>
      </w:tr>
      <w:tr>
        <w:trPr>
          <w:trHeight w:val="13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auto"/>
            </w:tcBorders>
            <w:shd w:val="clear" w:color="auto" w:fill="CCEEFF"/>
          </w:tcPr>
          <w:p>
            <w:pPr>
              <w:spacing w:after="0" w:line="126" w:lineRule="exact"/>
              <w:rPr>
                <w:sz w:val="20"/>
                <w:szCs w:val="20"/>
                <w:color w:val="auto"/>
              </w:rPr>
            </w:pPr>
            <w:r>
              <w:rPr>
                <w:rFonts w:ascii="Arial" w:cs="Arial" w:eastAsia="Arial" w:hAnsi="Arial"/>
                <w:sz w:val="13"/>
                <w:szCs w:val="13"/>
                <w:b w:val="1"/>
                <w:bCs w:val="1"/>
                <w:color w:val="auto"/>
                <w:w w:val="79"/>
              </w:rPr>
              <w:t>Assets</w:t>
            </w:r>
          </w:p>
        </w:tc>
        <w:tc>
          <w:tcPr>
            <w:tcW w:w="334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158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Asset-backed securities</w:t>
            </w:r>
          </w:p>
        </w:tc>
        <w:tc>
          <w:tcPr>
            <w:tcW w:w="1240" w:type="dxa"/>
            <w:vAlign w:val="bottom"/>
          </w:tcPr>
          <w:p>
            <w:pPr>
              <w:jc w:val="right"/>
              <w:ind w:right="1094"/>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2,142</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51.65% - 139.91% (95.37)%</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93.75% - 104.70% (102.13)%</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Commercial mortgage-backed securities</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129.75% - 129.75% (129.75)%</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Corporates</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92.96% - 111.84% (103.01)%</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Corporates</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44.00% - 100.00% N/A</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Corporates</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86.56% - 122.65% (108.24)%</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Municipals</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136.02% - 136.02% (136.02)%</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Residential mortgage-backed securities</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- 114.49% (114.49)%</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Foreign governments</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107.66% - 112.96% (109.32)%</w:t>
            </w:r>
          </w:p>
        </w:tc>
        <w:tc>
          <w:tcPr>
            <w:tcW w:w="0" w:type="dxa"/>
            <w:vAlign w:val="bottom"/>
          </w:tcPr>
          <w:p>
            <w:pPr>
              <w:spacing w:after="0"/>
              <w:rPr>
                <w:sz w:val="1"/>
                <w:szCs w:val="1"/>
                <w:color w:val="auto"/>
              </w:rPr>
            </w:pPr>
          </w:p>
        </w:tc>
      </w:tr>
      <w:tr>
        <w:trPr>
          <w:trHeight w:val="139"/>
        </w:trPr>
        <w:tc>
          <w:tcPr>
            <w:tcW w:w="372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rPr>
              <w:t>Short-term</w:t>
            </w:r>
          </w:p>
        </w:tc>
        <w:tc>
          <w:tcPr>
            <w:tcW w:w="12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2"/>
                <w:szCs w:val="12"/>
                <w:color w:val="auto"/>
              </w:rPr>
            </w:pPr>
          </w:p>
        </w:tc>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98.57% - 100.00%</w:t>
            </w:r>
          </w:p>
        </w:tc>
        <w:tc>
          <w:tcPr>
            <w:tcW w:w="0" w:type="dxa"/>
            <w:vAlign w:val="bottom"/>
          </w:tcPr>
          <w:p>
            <w:pPr>
              <w:spacing w:after="0"/>
              <w:rPr>
                <w:sz w:val="1"/>
                <w:szCs w:val="1"/>
                <w:color w:val="auto"/>
              </w:rPr>
            </w:pPr>
          </w:p>
        </w:tc>
      </w:tr>
      <w:tr>
        <w:trPr>
          <w:trHeight w:val="171"/>
        </w:trPr>
        <w:tc>
          <w:tcPr>
            <w:tcW w:w="3720" w:type="dxa"/>
            <w:vAlign w:val="bottom"/>
            <w:gridSpan w:val="3"/>
            <w:vMerge w:val="continue"/>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vMerge w:val="continue"/>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(99.39)%</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Preferred securities</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Income-Approach</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Yield</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2.53%</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Equity securities</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Black Scholes model</w:t>
            </w: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Risk Free Rate</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0.50%</w:t>
            </w: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- 0.50% (0.50%)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Strike Price</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$1.50 - $1.50 ($1.50)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Volatility</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120.00% - 120.00% (120.00%)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Dividend Yield</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tcPr>
          <w:p>
            <w:pPr>
              <w:ind w:left="20"/>
              <w:spacing w:after="0"/>
              <w:rPr>
                <w:sz w:val="20"/>
                <w:szCs w:val="20"/>
                <w:color w:val="auto"/>
              </w:rPr>
            </w:pPr>
            <w:r>
              <w:rPr>
                <w:rFonts w:ascii="Arial" w:cs="Arial" w:eastAsia="Arial" w:hAnsi="Arial"/>
                <w:sz w:val="13"/>
                <w:szCs w:val="13"/>
                <w:color w:val="auto"/>
              </w:rPr>
              <w:t>- 0.00% (0.00%)</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Equity securities</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 Quoted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Equity securities</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Discount rate</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12.40% - 12.40% (12.40%)</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Market Comparable Company</w:t>
            </w:r>
          </w:p>
        </w:tc>
        <w:tc>
          <w:tcPr>
            <w:tcW w:w="174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EBITDA multiple</w:t>
            </w: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6.6x - 6.6x (6.6x)</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Analysis</w:t>
            </w:r>
          </w:p>
        </w:tc>
        <w:tc>
          <w:tcPr>
            <w:tcW w:w="1740" w:type="dxa"/>
            <w:vAlign w:val="bottom"/>
            <w:gridSpan w:val="2"/>
            <w:vMerge w:val="continue"/>
            <w:shd w:val="clear" w:color="auto" w:fill="CCEEFF"/>
          </w:tcPr>
          <w:p>
            <w:pPr>
              <w:spacing w:after="0"/>
              <w:rPr>
                <w:sz w:val="14"/>
                <w:szCs w:val="14"/>
                <w:color w:val="auto"/>
              </w:rPr>
            </w:pPr>
          </w:p>
        </w:tc>
        <w:tc>
          <w:tcPr>
            <w:tcW w:w="1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Other long-term assets:</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Available-for-sale embedded derivative</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 value of fund</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gridSpan w:val="2"/>
          </w:tcPr>
          <w:p>
            <w:pPr>
              <w:ind w:left="160"/>
              <w:spacing w:after="0"/>
              <w:rPr>
                <w:sz w:val="20"/>
                <w:szCs w:val="20"/>
                <w:color w:val="auto"/>
              </w:rPr>
            </w:pPr>
            <w:r>
              <w:rPr>
                <w:rFonts w:ascii="Arial" w:cs="Arial" w:eastAsia="Arial" w:hAnsi="Arial"/>
                <w:sz w:val="13"/>
                <w:szCs w:val="13"/>
                <w:color w:val="auto"/>
              </w:rPr>
              <w:t>Credit Linked Note</w:t>
            </w: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financial assets at fair value</w:t>
            </w:r>
          </w:p>
        </w:tc>
        <w:tc>
          <w:tcPr>
            <w:tcW w:w="124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4,400</w:t>
            </w: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3"/>
                <w:szCs w:val="13"/>
                <w:b w:val="1"/>
                <w:bCs w:val="1"/>
                <w:color w:val="auto"/>
              </w:rPr>
              <w:t>Liabilities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2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Derivatives:</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FIA embedded derivatives, included in contractholder funds</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3,759</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 value of option</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- 28.12% (3.00%)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Swap rates</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0.05%</w:t>
            </w:r>
          </w:p>
        </w:tc>
        <w:tc>
          <w:tcPr>
            <w:tcW w:w="1580" w:type="dxa"/>
            <w:vAlign w:val="bottom"/>
          </w:tcPr>
          <w:p>
            <w:pPr>
              <w:ind w:left="20"/>
              <w:spacing w:after="0"/>
              <w:rPr>
                <w:sz w:val="20"/>
                <w:szCs w:val="20"/>
                <w:color w:val="auto"/>
              </w:rPr>
            </w:pPr>
            <w:r>
              <w:rPr>
                <w:rFonts w:ascii="Arial" w:cs="Arial" w:eastAsia="Arial" w:hAnsi="Arial"/>
                <w:sz w:val="13"/>
                <w:szCs w:val="13"/>
                <w:color w:val="auto"/>
              </w:rPr>
              <w:t>- 2.06% (1.06%)</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Mortality multiplier</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100.00% - 100.00% (100.00%)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Surrender rates</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0.25%</w:t>
            </w:r>
          </w:p>
        </w:tc>
        <w:tc>
          <w:tcPr>
            <w:tcW w:w="1580" w:type="dxa"/>
            <w:vAlign w:val="bottom"/>
          </w:tcPr>
          <w:p>
            <w:pPr>
              <w:ind w:left="20"/>
              <w:spacing w:after="0"/>
              <w:rPr>
                <w:sz w:val="20"/>
                <w:szCs w:val="20"/>
                <w:color w:val="auto"/>
              </w:rPr>
            </w:pPr>
            <w:r>
              <w:rPr>
                <w:rFonts w:ascii="Arial" w:cs="Arial" w:eastAsia="Arial" w:hAnsi="Arial"/>
                <w:sz w:val="13"/>
                <w:szCs w:val="13"/>
                <w:color w:val="auto"/>
              </w:rPr>
              <w:t>- 55.00% (5.42%)</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Partial withdrawals</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2.00%</w:t>
            </w: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- 3.50% (2.63%)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Non-performance spread</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0.68%</w:t>
            </w:r>
          </w:p>
        </w:tc>
        <w:tc>
          <w:tcPr>
            <w:tcW w:w="1580" w:type="dxa"/>
            <w:vAlign w:val="bottom"/>
          </w:tcPr>
          <w:p>
            <w:pPr>
              <w:ind w:left="20"/>
              <w:spacing w:after="0"/>
              <w:rPr>
                <w:sz w:val="20"/>
                <w:szCs w:val="20"/>
                <w:color w:val="auto"/>
              </w:rPr>
            </w:pPr>
            <w:r>
              <w:rPr>
                <w:rFonts w:ascii="Arial" w:cs="Arial" w:eastAsia="Arial" w:hAnsi="Arial"/>
                <w:sz w:val="13"/>
                <w:szCs w:val="13"/>
                <w:color w:val="auto"/>
              </w:rPr>
              <w:t>- 0.68% (0.68%)</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Option cost</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- 4.81% (1.71%)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Total financial liabilities at fair value</w:t>
            </w:r>
          </w:p>
        </w:tc>
        <w:tc>
          <w:tcPr>
            <w:tcW w:w="1240" w:type="dxa"/>
            <w:vAlign w:val="bottom"/>
            <w:tcBorders>
              <w:bottom w:val="single" w:sz="8" w:color="auto"/>
            </w:tcBorders>
          </w:tcPr>
          <w:p>
            <w:pPr>
              <w:jc w:val="right"/>
              <w:ind w:right="1094"/>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3,759</w:t>
            </w: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jc w:val="center"/>
              <w:ind w:left="358"/>
              <w:spacing w:after="0"/>
              <w:rPr>
                <w:sz w:val="20"/>
                <w:szCs w:val="20"/>
                <w:color w:val="auto"/>
              </w:rPr>
            </w:pPr>
            <w:r>
              <w:rPr>
                <w:rFonts w:ascii="Arial" w:cs="Arial" w:eastAsia="Arial" w:hAnsi="Arial"/>
                <w:sz w:val="12"/>
                <w:szCs w:val="12"/>
                <w:b w:val="1"/>
                <w:bCs w:val="1"/>
                <w:color w:val="auto"/>
                <w:w w:val="89"/>
              </w:rPr>
              <w:t>Fair Value at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December 31, 2020</w:t>
            </w: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ind w:left="340"/>
              <w:spacing w:after="0"/>
              <w:rPr>
                <w:sz w:val="20"/>
                <w:szCs w:val="20"/>
                <w:color w:val="auto"/>
              </w:rPr>
            </w:pPr>
            <w:r>
              <w:rPr>
                <w:rFonts w:ascii="Arial" w:cs="Arial" w:eastAsia="Arial" w:hAnsi="Arial"/>
                <w:sz w:val="12"/>
                <w:szCs w:val="12"/>
                <w:b w:val="1"/>
                <w:bCs w:val="1"/>
                <w:color w:val="auto"/>
              </w:rPr>
              <w:t>Range (Weighted average)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jc w:val="center"/>
              <w:ind w:left="358"/>
              <w:spacing w:after="0"/>
              <w:rPr>
                <w:sz w:val="20"/>
                <w:szCs w:val="20"/>
                <w:color w:val="auto"/>
              </w:rPr>
            </w:pPr>
            <w:r>
              <w:rPr>
                <w:rFonts w:ascii="Arial" w:cs="Arial" w:eastAsia="Arial" w:hAnsi="Arial"/>
                <w:sz w:val="12"/>
                <w:szCs w:val="12"/>
                <w:b w:val="1"/>
                <w:bCs w:val="1"/>
                <w:color w:val="auto"/>
                <w:w w:val="89"/>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480"/>
              <w:spacing w:after="0"/>
              <w:rPr>
                <w:sz w:val="20"/>
                <w:szCs w:val="20"/>
                <w:color w:val="auto"/>
              </w:rPr>
            </w:pPr>
            <w:r>
              <w:rPr>
                <w:rFonts w:ascii="Arial" w:cs="Arial" w:eastAsia="Arial" w:hAnsi="Arial"/>
                <w:sz w:val="12"/>
                <w:szCs w:val="12"/>
                <w:b w:val="1"/>
                <w:bCs w:val="1"/>
                <w:color w:val="auto"/>
              </w:rPr>
              <w:t>Valuation Technique</w:t>
            </w:r>
          </w:p>
        </w:tc>
        <w:tc>
          <w:tcPr>
            <w:tcW w:w="1740" w:type="dxa"/>
            <w:vAlign w:val="bottom"/>
            <w:gridSpan w:val="2"/>
          </w:tcPr>
          <w:p>
            <w:pPr>
              <w:ind w:left="260"/>
              <w:spacing w:after="0"/>
              <w:rPr>
                <w:sz w:val="20"/>
                <w:szCs w:val="20"/>
                <w:color w:val="auto"/>
              </w:rPr>
            </w:pPr>
            <w:r>
              <w:rPr>
                <w:rFonts w:ascii="Arial" w:cs="Arial" w:eastAsia="Arial" w:hAnsi="Arial"/>
                <w:sz w:val="12"/>
                <w:szCs w:val="12"/>
                <w:b w:val="1"/>
                <w:bCs w:val="1"/>
                <w:color w:val="auto"/>
              </w:rPr>
              <w:t>Unobservable Input(s)</w:t>
            </w:r>
          </w:p>
        </w:tc>
        <w:tc>
          <w:tcPr>
            <w:tcW w:w="380" w:type="dxa"/>
            <w:vAlign w:val="bottom"/>
          </w:tcPr>
          <w:p>
            <w:pPr>
              <w:spacing w:after="0"/>
              <w:rPr>
                <w:sz w:val="15"/>
                <w:szCs w:val="15"/>
                <w:color w:val="auto"/>
              </w:rPr>
            </w:pPr>
          </w:p>
        </w:tc>
        <w:tc>
          <w:tcPr>
            <w:tcW w:w="1600" w:type="dxa"/>
            <w:vAlign w:val="bottom"/>
          </w:tcPr>
          <w:p>
            <w:pPr>
              <w:ind w:left="14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auto"/>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w w:val="76"/>
              </w:rPr>
              <w:t>Assets</w:t>
            </w:r>
          </w:p>
        </w:tc>
        <w:tc>
          <w:tcPr>
            <w:tcW w:w="3380" w:type="dxa"/>
            <w:vAlign w:val="bottom"/>
            <w:tcBorders>
              <w:top w:val="single" w:sz="8" w:color="CCEEFF"/>
              <w:bottom w:val="single" w:sz="8" w:color="CCEEFF"/>
            </w:tcBorders>
            <w:shd w:val="clear" w:color="auto" w:fill="CCEEFF"/>
          </w:tcPr>
          <w:p>
            <w:pPr>
              <w:spacing w:after="0"/>
              <w:rPr>
                <w:sz w:val="10"/>
                <w:szCs w:val="10"/>
                <w:color w:val="auto"/>
              </w:rPr>
            </w:pPr>
          </w:p>
        </w:tc>
        <w:tc>
          <w:tcPr>
            <w:tcW w:w="1220" w:type="dxa"/>
            <w:vAlign w:val="bottom"/>
            <w:tcBorders>
              <w:top w:val="single" w:sz="8" w:color="auto"/>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64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CCEEFF"/>
            </w:tcBorders>
            <w:shd w:val="clear" w:color="auto" w:fill="CCEEFF"/>
          </w:tcPr>
          <w:p>
            <w:pPr>
              <w:spacing w:after="0"/>
              <w:rPr>
                <w:sz w:val="10"/>
                <w:szCs w:val="10"/>
                <w:color w:val="auto"/>
              </w:rPr>
            </w:pPr>
          </w:p>
        </w:tc>
        <w:tc>
          <w:tcPr>
            <w:tcW w:w="16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Asset-backed securities</w:t>
            </w:r>
          </w:p>
        </w:tc>
        <w:tc>
          <w:tcPr>
            <w:tcW w:w="1220" w:type="dxa"/>
            <w:vAlign w:val="bottom"/>
          </w:tcPr>
          <w:p>
            <w:pPr>
              <w:jc w:val="right"/>
              <w:ind w:right="1078"/>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1,175</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85% - 126.15% (103.96%)</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- 107.25% (79.87%)</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Commercial mortgage-backed securities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131.59% - 131.59% (131.59%)</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Corporates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75.20% - 114.68% ( 103.36%)</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Corporates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88.42% - 125.83% (109.47%)</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Hybrids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112.06% - 112.06% ( 112.06%)</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Municipals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133.53% - 133.53% (133.53%)</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Residential mortgage-backed securities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112.58% - 112.58% (112.58%)</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Foreign governments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107.87% - 113.80% (109.72%)</w:t>
            </w: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Equity securities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Income-Approach</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Yield</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2.61%</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Equity securities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Black Scholes model</w:t>
            </w: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Risk Free Rate</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0.29%</w:t>
            </w:r>
          </w:p>
        </w:tc>
        <w:tc>
          <w:tcPr>
            <w:tcW w:w="1600" w:type="dxa"/>
            <w:vAlign w:val="bottom"/>
          </w:tcPr>
          <w:p>
            <w:pPr>
              <w:ind w:left="20"/>
              <w:spacing w:after="0"/>
              <w:rPr>
                <w:sz w:val="20"/>
                <w:szCs w:val="20"/>
                <w:color w:val="auto"/>
              </w:rPr>
            </w:pPr>
            <w:r>
              <w:rPr>
                <w:rFonts w:ascii="Arial" w:cs="Arial" w:eastAsia="Arial" w:hAnsi="Arial"/>
                <w:sz w:val="13"/>
                <w:szCs w:val="13"/>
                <w:color w:val="auto"/>
              </w:rPr>
              <w:t>- 0.29% (0.29%)</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Strike Price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$1.50 - $1.50 ($1.50)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Volatility</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1.00%</w:t>
            </w:r>
          </w:p>
        </w:tc>
        <w:tc>
          <w:tcPr>
            <w:tcW w:w="1600" w:type="dxa"/>
            <w:vAlign w:val="bottom"/>
          </w:tcPr>
          <w:p>
            <w:pPr>
              <w:ind w:left="20"/>
              <w:spacing w:after="0"/>
              <w:rPr>
                <w:sz w:val="20"/>
                <w:szCs w:val="20"/>
                <w:color w:val="auto"/>
              </w:rPr>
            </w:pPr>
            <w:r>
              <w:rPr>
                <w:rFonts w:ascii="Arial" w:cs="Arial" w:eastAsia="Arial" w:hAnsi="Arial"/>
                <w:sz w:val="13"/>
                <w:szCs w:val="13"/>
                <w:color w:val="auto"/>
              </w:rPr>
              <w:t>- 1.00% (1.00%)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 Yield</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- 0.00% (0.00%)</w:t>
            </w: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Equity securities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tcPr>
          <w:p>
            <w:pPr>
              <w:ind w:left="40"/>
              <w:spacing w:after="0"/>
              <w:rPr>
                <w:sz w:val="20"/>
                <w:szCs w:val="20"/>
                <w:color w:val="auto"/>
              </w:rPr>
            </w:pPr>
            <w:r>
              <w:rPr>
                <w:rFonts w:ascii="Arial" w:cs="Arial" w:eastAsia="Arial" w:hAnsi="Arial"/>
                <w:sz w:val="13"/>
                <w:szCs w:val="13"/>
                <w:color w:val="auto"/>
              </w:rPr>
              <w:t>Discount rate</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10.60% - 10.60% (10.60%)</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Market Comparable Company</w:t>
            </w:r>
          </w:p>
        </w:tc>
        <w:tc>
          <w:tcPr>
            <w:tcW w:w="174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EBITDA multiple</w:t>
            </w:r>
          </w:p>
        </w:tc>
        <w:tc>
          <w:tcPr>
            <w:tcW w:w="19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6.6x - 6.6x (6.6x)</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Analysis</w:t>
            </w:r>
          </w:p>
        </w:tc>
        <w:tc>
          <w:tcPr>
            <w:tcW w:w="1740" w:type="dxa"/>
            <w:vAlign w:val="bottom"/>
            <w:gridSpan w:val="2"/>
            <w:vMerge w:val="continue"/>
            <w:shd w:val="clear" w:color="auto" w:fill="CCEEFF"/>
          </w:tcPr>
          <w:p>
            <w:pPr>
              <w:spacing w:after="0"/>
              <w:rPr>
                <w:sz w:val="14"/>
                <w:szCs w:val="14"/>
                <w:color w:val="auto"/>
              </w:rPr>
            </w:pPr>
          </w:p>
        </w:tc>
        <w:tc>
          <w:tcPr>
            <w:tcW w:w="1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20" w:type="dxa"/>
            <w:vAlign w:val="bottom"/>
            <w:gridSpan w:val="3"/>
          </w:tcPr>
          <w:p>
            <w:pPr>
              <w:ind w:left="20"/>
              <w:spacing w:after="0"/>
              <w:rPr>
                <w:sz w:val="20"/>
                <w:szCs w:val="20"/>
                <w:color w:val="auto"/>
              </w:rPr>
            </w:pPr>
            <w:r>
              <w:rPr>
                <w:rFonts w:ascii="Arial" w:cs="Arial" w:eastAsia="Arial" w:hAnsi="Arial"/>
                <w:sz w:val="13"/>
                <w:szCs w:val="13"/>
                <w:color w:val="auto"/>
              </w:rPr>
              <w:t>Other long-term assets:</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Available-for-sale embedded derivative</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 value of fund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gridSpan w:val="2"/>
          </w:tcPr>
          <w:p>
            <w:pPr>
              <w:ind w:left="160"/>
              <w:spacing w:after="0"/>
              <w:rPr>
                <w:sz w:val="20"/>
                <w:szCs w:val="20"/>
                <w:color w:val="auto"/>
              </w:rPr>
            </w:pPr>
            <w:r>
              <w:rPr>
                <w:rFonts w:ascii="Arial" w:cs="Arial" w:eastAsia="Arial" w:hAnsi="Arial"/>
                <w:sz w:val="13"/>
                <w:szCs w:val="13"/>
                <w:color w:val="auto"/>
              </w:rPr>
              <w:t>Credit Linked Note</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Broker-quoted</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financial assets at fair value</w:t>
            </w:r>
          </w:p>
        </w:tc>
        <w:tc>
          <w:tcPr>
            <w:tcW w:w="1220" w:type="dxa"/>
            <w:vAlign w:val="bottom"/>
            <w:tcBorders>
              <w:bottom w:val="single" w:sz="8" w:color="auto"/>
            </w:tcBorders>
            <w:shd w:val="clear" w:color="auto" w:fill="CCEEFF"/>
          </w:tcPr>
          <w:p>
            <w:pPr>
              <w:jc w:val="right"/>
              <w:ind w:right="1078"/>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10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Liabilities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7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Future policy benefits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Non-performance spread</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0.00%</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Risk margin to reflect</w:t>
            </w:r>
          </w:p>
        </w:tc>
        <w:tc>
          <w:tcPr>
            <w:tcW w:w="380" w:type="dxa"/>
            <w:vAlign w:val="bottom"/>
            <w:vMerge w:val="restart"/>
          </w:tcPr>
          <w:p>
            <w:pPr>
              <w:ind w:left="20"/>
              <w:spacing w:after="0"/>
              <w:rPr>
                <w:sz w:val="20"/>
                <w:szCs w:val="20"/>
                <w:color w:val="auto"/>
              </w:rPr>
            </w:pPr>
            <w:r>
              <w:rPr>
                <w:rFonts w:ascii="Arial" w:cs="Arial" w:eastAsia="Arial" w:hAnsi="Arial"/>
                <w:sz w:val="13"/>
                <w:szCs w:val="13"/>
                <w:color w:val="auto"/>
                <w:w w:val="92"/>
              </w:rPr>
              <w:t>0.50%</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uncertainty</w:t>
            </w:r>
          </w:p>
        </w:tc>
        <w:tc>
          <w:tcPr>
            <w:tcW w:w="3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Derivatives: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gridSpan w:val="2"/>
          </w:tcPr>
          <w:p>
            <w:pPr>
              <w:ind w:left="160"/>
              <w:spacing w:after="0"/>
              <w:rPr>
                <w:sz w:val="20"/>
                <w:szCs w:val="20"/>
                <w:color w:val="auto"/>
              </w:rPr>
            </w:pPr>
            <w:r>
              <w:rPr>
                <w:rFonts w:ascii="Arial" w:cs="Arial" w:eastAsia="Arial" w:hAnsi="Arial"/>
                <w:sz w:val="13"/>
                <w:szCs w:val="13"/>
                <w:color w:val="auto"/>
              </w:rPr>
              <w:t>FIA embedded derivatives, included in contractholder funds</w:t>
            </w: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3,404</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Discounted cash flow</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Market value of option</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0.00%</w:t>
            </w:r>
          </w:p>
        </w:tc>
        <w:tc>
          <w:tcPr>
            <w:tcW w:w="1600" w:type="dxa"/>
            <w:vAlign w:val="bottom"/>
          </w:tcPr>
          <w:p>
            <w:pPr>
              <w:ind w:left="20"/>
              <w:spacing w:after="0"/>
              <w:rPr>
                <w:sz w:val="20"/>
                <w:szCs w:val="20"/>
                <w:color w:val="auto"/>
              </w:rPr>
            </w:pPr>
            <w:r>
              <w:rPr>
                <w:rFonts w:ascii="Arial" w:cs="Arial" w:eastAsia="Arial" w:hAnsi="Arial"/>
                <w:sz w:val="13"/>
                <w:szCs w:val="13"/>
                <w:color w:val="auto"/>
              </w:rPr>
              <w:t>- 67.65% (2.25%)</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rates</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0.08%</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- 1.65% (0.87%)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Mortality multiplier</w:t>
            </w: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100.00% - 100.00% (100.00%)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Surrender rates</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0.25%</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- 55.00% (5.24%)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Partial withdrawals</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2.00%</w:t>
            </w:r>
          </w:p>
        </w:tc>
        <w:tc>
          <w:tcPr>
            <w:tcW w:w="1600" w:type="dxa"/>
            <w:vAlign w:val="bottom"/>
          </w:tcPr>
          <w:p>
            <w:pPr>
              <w:ind w:left="20"/>
              <w:spacing w:after="0"/>
              <w:rPr>
                <w:sz w:val="20"/>
                <w:szCs w:val="20"/>
                <w:color w:val="auto"/>
              </w:rPr>
            </w:pPr>
            <w:r>
              <w:rPr>
                <w:rFonts w:ascii="Arial" w:cs="Arial" w:eastAsia="Arial" w:hAnsi="Arial"/>
                <w:sz w:val="13"/>
                <w:szCs w:val="13"/>
                <w:color w:val="auto"/>
              </w:rPr>
              <w:t>- 3.50% (2.58%)</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Non-performance spread</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0.74%</w:t>
            </w:r>
          </w:p>
        </w:tc>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- 0.74% (0.74%)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Option cost</w:t>
            </w:r>
          </w:p>
        </w:tc>
        <w:tc>
          <w:tcPr>
            <w:tcW w:w="380" w:type="dxa"/>
            <w:vAlign w:val="bottom"/>
          </w:tcPr>
          <w:p>
            <w:pPr>
              <w:ind w:left="20"/>
              <w:spacing w:after="0"/>
              <w:rPr>
                <w:sz w:val="20"/>
                <w:szCs w:val="20"/>
                <w:color w:val="auto"/>
              </w:rPr>
            </w:pPr>
            <w:r>
              <w:rPr>
                <w:rFonts w:ascii="Arial" w:cs="Arial" w:eastAsia="Arial" w:hAnsi="Arial"/>
                <w:sz w:val="13"/>
                <w:szCs w:val="13"/>
                <w:color w:val="auto"/>
                <w:w w:val="92"/>
              </w:rPr>
              <w:t>0.05%</w:t>
            </w:r>
          </w:p>
        </w:tc>
        <w:tc>
          <w:tcPr>
            <w:tcW w:w="1600" w:type="dxa"/>
            <w:vAlign w:val="bottom"/>
          </w:tcPr>
          <w:p>
            <w:pPr>
              <w:ind w:left="20"/>
              <w:spacing w:after="0"/>
              <w:rPr>
                <w:sz w:val="20"/>
                <w:szCs w:val="20"/>
                <w:color w:val="auto"/>
              </w:rPr>
            </w:pPr>
            <w:r>
              <w:rPr>
                <w:rFonts w:ascii="Arial" w:cs="Arial" w:eastAsia="Arial" w:hAnsi="Arial"/>
                <w:sz w:val="13"/>
                <w:szCs w:val="13"/>
                <w:color w:val="auto"/>
              </w:rPr>
              <w:t>- 16.61% (2.25%)</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financial liabilities at fair value</w:t>
            </w:r>
          </w:p>
        </w:tc>
        <w:tc>
          <w:tcPr>
            <w:tcW w:w="1220" w:type="dxa"/>
            <w:vAlign w:val="bottom"/>
            <w:tcBorders>
              <w:bottom w:val="single" w:sz="8" w:color="auto"/>
            </w:tcBorders>
            <w:shd w:val="clear" w:color="auto" w:fill="CCEEFF"/>
          </w:tcPr>
          <w:p>
            <w:pPr>
              <w:jc w:val="right"/>
              <w:ind w:right="1078"/>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3,409</w:t>
            </w:r>
          </w:p>
        </w:tc>
        <w:tc>
          <w:tcPr>
            <w:tcW w:w="10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The following tables summarize changes to the Company’s financial instruments carried at fair value and classified within Level 3 of the fair value hierarchy for the three and six months ended June 30, 2021 and 2020. This summary excludes any impact of amortization of VOBA, DAC and DSI. The gains and losses below may include changes in fair value due in part to observable inputs that are a component of the valuation methodology.</w:t>
      </w:r>
    </w:p>
    <w:p>
      <w:pPr>
        <w:spacing w:after="0" w:line="116"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Three months ended June 30, 2021</w:t>
      </w:r>
    </w:p>
    <w:p>
      <w:pPr>
        <w:spacing w:after="0" w:line="16"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13970</wp:posOffset>
            </wp:positionV>
            <wp:extent cx="553910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39105" cy="6985"/>
                    </a:xfrm>
                    <a:prstGeom prst="rect">
                      <a:avLst/>
                    </a:prstGeom>
                    <a:noFill/>
                  </pic:spPr>
                </pic:pic>
              </a:graphicData>
            </a:graphic>
          </wp:anchor>
        </w:drawing>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50"/>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280"/>
              <w:spacing w:after="0"/>
              <w:rPr>
                <w:sz w:val="20"/>
                <w:szCs w:val="20"/>
                <w:color w:val="auto"/>
              </w:rPr>
            </w:pPr>
            <w:r>
              <w:rPr>
                <w:rFonts w:ascii="Arial" w:cs="Arial" w:eastAsia="Arial" w:hAnsi="Arial"/>
                <w:sz w:val="12"/>
                <w:szCs w:val="12"/>
                <w:b w:val="1"/>
                <w:bCs w:val="1"/>
                <w:color w:val="auto"/>
              </w:rPr>
              <w:t>Total 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right="61"/>
              <w:spacing w:after="0"/>
              <w:rPr>
                <w:sz w:val="20"/>
                <w:szCs w:val="20"/>
                <w:color w:val="auto"/>
              </w:rPr>
            </w:pPr>
            <w:r>
              <w:rPr>
                <w:rFonts w:ascii="Arial" w:cs="Arial" w:eastAsia="Arial" w:hAnsi="Arial"/>
                <w:sz w:val="12"/>
                <w:szCs w:val="12"/>
                <w:b w:val="1"/>
                <w:bCs w:val="1"/>
                <w:color w:val="auto"/>
                <w:w w:val="89"/>
              </w:rPr>
              <w:t>Change in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6"/>
              </w:rPr>
              <w:t>Balance at</w:t>
            </w: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3"/>
              </w:rPr>
              <w:t>Net transfer In</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88"/>
              </w:rPr>
              <w:t>Balance at End</w:t>
            </w: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8"/>
              </w:rPr>
              <w:t>Included in</w:t>
            </w: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Included in</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9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8"/>
              </w:rPr>
              <w:t>Unrealized Gains</w:t>
            </w: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88"/>
              </w:rPr>
              <w:t>Beginning</w:t>
            </w: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Purchases</w:t>
            </w:r>
          </w:p>
        </w:tc>
        <w:tc>
          <w:tcPr>
            <w:tcW w:w="180" w:type="dxa"/>
            <w:vAlign w:val="bottom"/>
          </w:tcPr>
          <w:p>
            <w:pPr>
              <w:spacing w:after="0"/>
              <w:rPr>
                <w:sz w:val="9"/>
                <w:szCs w:val="9"/>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Sales</w:t>
            </w:r>
          </w:p>
        </w:tc>
        <w:tc>
          <w:tcPr>
            <w:tcW w:w="140" w:type="dxa"/>
            <w:vAlign w:val="bottom"/>
          </w:tcPr>
          <w:p>
            <w:pPr>
              <w:spacing w:after="0"/>
              <w:rPr>
                <w:sz w:val="9"/>
                <w:szCs w:val="9"/>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Settlements</w:t>
            </w: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2"/>
              </w:rPr>
              <w:t>(Out) of</w:t>
            </w:r>
          </w:p>
        </w:tc>
        <w:tc>
          <w:tcPr>
            <w:tcW w:w="160" w:type="dxa"/>
            <w:vAlign w:val="bottom"/>
          </w:tcPr>
          <w:p>
            <w:pPr>
              <w:spacing w:after="0"/>
              <w:rPr>
                <w:sz w:val="9"/>
                <w:szCs w:val="9"/>
                <w:color w:val="auto"/>
              </w:rPr>
            </w:pPr>
          </w:p>
        </w:tc>
        <w:tc>
          <w:tcPr>
            <w:tcW w:w="76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9"/>
                <w:szCs w:val="9"/>
                <w:color w:val="auto"/>
              </w:rPr>
            </w:pPr>
          </w:p>
        </w:tc>
        <w:tc>
          <w:tcPr>
            <w:tcW w:w="880" w:type="dxa"/>
            <w:vAlign w:val="bottom"/>
          </w:tcPr>
          <w:p>
            <w:pPr>
              <w:jc w:val="center"/>
              <w:ind w:right="61"/>
              <w:spacing w:after="0" w:line="110" w:lineRule="exact"/>
              <w:rPr>
                <w:sz w:val="20"/>
                <w:szCs w:val="20"/>
                <w:color w:val="auto"/>
              </w:rPr>
            </w:pPr>
            <w:r>
              <w:rPr>
                <w:rFonts w:ascii="Arial" w:cs="Arial" w:eastAsia="Arial" w:hAnsi="Arial"/>
                <w:sz w:val="12"/>
                <w:szCs w:val="12"/>
                <w:b w:val="1"/>
                <w:bCs w:val="1"/>
                <w:color w:val="auto"/>
                <w:w w:val="86"/>
              </w:rPr>
              <w:t>(Losses) Incl in</w:t>
            </w: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of Period</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Earnings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Level 3 (a)</w:t>
            </w:r>
          </w:p>
        </w:tc>
        <w:tc>
          <w:tcPr>
            <w:tcW w:w="16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Period</w:t>
            </w:r>
          </w:p>
        </w:tc>
        <w:tc>
          <w:tcPr>
            <w:tcW w:w="100" w:type="dxa"/>
            <w:vAlign w:val="bottom"/>
          </w:tcPr>
          <w:p>
            <w:pPr>
              <w:spacing w:after="0"/>
              <w:rPr>
                <w:sz w:val="13"/>
                <w:szCs w:val="13"/>
                <w:color w:val="auto"/>
              </w:rPr>
            </w:pPr>
          </w:p>
        </w:tc>
        <w:tc>
          <w:tcPr>
            <w:tcW w:w="880" w:type="dxa"/>
            <w:vAlign w:val="bottom"/>
          </w:tcPr>
          <w:p>
            <w:pPr>
              <w:jc w:val="center"/>
              <w:ind w:right="41"/>
              <w:spacing w:after="0"/>
              <w:rPr>
                <w:sz w:val="20"/>
                <w:szCs w:val="20"/>
                <w:color w:val="auto"/>
              </w:rPr>
            </w:pPr>
            <w:r>
              <w:rPr>
                <w:rFonts w:ascii="Arial" w:cs="Arial" w:eastAsia="Arial" w:hAnsi="Arial"/>
                <w:sz w:val="12"/>
                <w:szCs w:val="12"/>
                <w:b w:val="1"/>
                <w:bCs w:val="1"/>
                <w:color w:val="auto"/>
              </w:rPr>
              <w:t>OCI</w:t>
            </w:r>
          </w:p>
        </w:tc>
        <w:tc>
          <w:tcPr>
            <w:tcW w:w="0" w:type="dxa"/>
            <w:vAlign w:val="bottom"/>
          </w:tcPr>
          <w:p>
            <w:pPr>
              <w:spacing w:after="0"/>
              <w:rPr>
                <w:sz w:val="1"/>
                <w:szCs w:val="1"/>
                <w:color w:val="auto"/>
              </w:rPr>
            </w:pPr>
          </w:p>
        </w:tc>
      </w:tr>
      <w:tr>
        <w:trPr>
          <w:trHeight w:val="134"/>
        </w:trPr>
        <w:tc>
          <w:tcPr>
            <w:tcW w:w="21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Assets</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Fixed maturity securities available-for-sale: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1,593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813</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2,309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2"/>
              </w:rPr>
              <w:t>Commercial mortgage-backed securities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1,247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Arial" w:cs="Arial" w:eastAsia="Arial" w:hAnsi="Arial"/>
                <w:sz w:val="12"/>
                <w:szCs w:val="12"/>
                <w:color w:val="auto"/>
                <w:w w:val="95"/>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1,201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Municipals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w w:val="94"/>
              </w:rPr>
              <w:t>Residential mortgage-backed securities</w:t>
            </w: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487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443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Governments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Short-Term</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303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and preferred securities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ind w:left="460"/>
              <w:spacing w:after="0"/>
              <w:rPr>
                <w:sz w:val="20"/>
                <w:szCs w:val="20"/>
                <w:color w:val="auto"/>
              </w:rPr>
            </w:pPr>
            <w:r>
              <w:rPr>
                <w:rFonts w:ascii="Arial" w:cs="Arial" w:eastAsia="Arial" w:hAnsi="Arial"/>
                <w:sz w:val="12"/>
                <w:szCs w:val="12"/>
                <w:color w:val="auto"/>
                <w:w w:val="95"/>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20"/>
              <w:spacing w:after="0"/>
              <w:rPr>
                <w:sz w:val="20"/>
                <w:szCs w:val="20"/>
                <w:color w:val="auto"/>
              </w:rPr>
            </w:pPr>
            <w:r>
              <w:rPr>
                <w:rFonts w:ascii="Arial" w:cs="Arial" w:eastAsia="Arial" w:hAnsi="Arial"/>
                <w:sz w:val="12"/>
                <w:szCs w:val="12"/>
                <w:color w:val="auto"/>
              </w:rPr>
              <w:t>Other long-term assets: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5"/>
              </w:rPr>
              <w:t>Available-for-sale embedded derivative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Credit linked note</w:t>
            </w:r>
          </w:p>
        </w:tc>
        <w:tc>
          <w:tcPr>
            <w:tcW w:w="1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assets at Level 3 fair value</w:t>
            </w: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3,467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w w:val="95"/>
              </w:rPr>
              <w:t>(8)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20"/>
              <w:spacing w:after="0" w:line="134" w:lineRule="exact"/>
              <w:rPr>
                <w:sz w:val="20"/>
                <w:szCs w:val="20"/>
                <w:color w:val="auto"/>
              </w:rPr>
            </w:pPr>
            <w:r>
              <w:rPr>
                <w:rFonts w:ascii="Arial" w:cs="Arial" w:eastAsia="Arial" w:hAnsi="Arial"/>
                <w:sz w:val="12"/>
                <w:szCs w:val="12"/>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Future policy benefits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ind w:left="460"/>
              <w:spacing w:after="0"/>
              <w:rPr>
                <w:sz w:val="20"/>
                <w:szCs w:val="20"/>
                <w:color w:val="auto"/>
              </w:rPr>
            </w:pPr>
            <w:r>
              <w:rPr>
                <w:rFonts w:ascii="Arial" w:cs="Arial" w:eastAsia="Arial" w:hAnsi="Arial"/>
                <w:sz w:val="12"/>
                <w:szCs w:val="12"/>
                <w:color w:val="auto"/>
                <w:w w:val="95"/>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180" w:type="dxa"/>
            <w:vAlign w:val="bottom"/>
          </w:tcPr>
          <w:p>
            <w:pPr>
              <w:ind w:left="20"/>
              <w:spacing w:after="0" w:line="110" w:lineRule="exact"/>
              <w:rPr>
                <w:sz w:val="20"/>
                <w:szCs w:val="20"/>
                <w:color w:val="auto"/>
              </w:rPr>
            </w:pPr>
            <w:r>
              <w:rPr>
                <w:rFonts w:ascii="Arial" w:cs="Arial" w:eastAsia="Arial" w:hAnsi="Arial"/>
                <w:sz w:val="12"/>
                <w:szCs w:val="12"/>
                <w:color w:val="auto"/>
              </w:rPr>
              <w:t>FIA embedded derivatives, included in</w:t>
            </w:r>
          </w:p>
        </w:tc>
        <w:tc>
          <w:tcPr>
            <w:tcW w:w="120" w:type="dxa"/>
            <w:vAlign w:val="bottom"/>
          </w:tcPr>
          <w:p>
            <w:pPr>
              <w:spacing w:after="0"/>
              <w:rPr>
                <w:sz w:val="9"/>
                <w:szCs w:val="9"/>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3,293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466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98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3,759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20"/>
              <w:spacing w:after="0"/>
              <w:rPr>
                <w:sz w:val="20"/>
                <w:szCs w:val="20"/>
                <w:color w:val="auto"/>
              </w:rPr>
            </w:pPr>
            <w:r>
              <w:rPr>
                <w:rFonts w:ascii="Arial" w:cs="Arial" w:eastAsia="Arial" w:hAnsi="Arial"/>
                <w:sz w:val="12"/>
                <w:szCs w:val="12"/>
                <w:color w:val="auto"/>
              </w:rPr>
              <w:t>contractholder funds</w:t>
            </w: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w w:val="95"/>
              </w:rPr>
              <w:t>Total liabilities at Level 3 fair value</w:t>
            </w: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3,297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w w:val="95"/>
              </w:rPr>
              <w:t>(4)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 The net transfers out of Level 3 during the three months ended June 30, 2021 were exclusively to Level 2.</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1020"/>
        <w:spacing w:after="0"/>
        <w:rPr>
          <w:sz w:val="20"/>
          <w:szCs w:val="20"/>
          <w:color w:val="auto"/>
        </w:rPr>
      </w:pPr>
      <w:r>
        <w:rPr>
          <w:rFonts w:ascii="Arial" w:cs="Arial" w:eastAsia="Arial" w:hAnsi="Arial"/>
          <w:sz w:val="12"/>
          <w:szCs w:val="12"/>
          <w:b w:val="1"/>
          <w:bCs w:val="1"/>
          <w:color w:val="auto"/>
        </w:rPr>
        <w:t>Three months ended June 30, 2020</w:t>
      </w:r>
    </w:p>
    <w:p>
      <w:pPr>
        <w:spacing w:after="0" w:line="16" w:lineRule="exact"/>
        <w:rPr>
          <w:sz w:val="20"/>
          <w:szCs w:val="20"/>
          <w:color w:val="auto"/>
        </w:rPr>
      </w:pPr>
    </w:p>
    <w:p>
      <w:pPr>
        <w:jc w:val="center"/>
        <w:ind w:left="1020"/>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13970</wp:posOffset>
            </wp:positionV>
            <wp:extent cx="580453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04535" cy="698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5"/>
          </w:tcPr>
          <w:p>
            <w:pPr>
              <w:ind w:left="320"/>
              <w:spacing w:after="0"/>
              <w:rPr>
                <w:sz w:val="20"/>
                <w:szCs w:val="20"/>
                <w:color w:val="auto"/>
              </w:rPr>
            </w:pPr>
            <w:r>
              <w:rPr>
                <w:rFonts w:ascii="Arial" w:cs="Arial" w:eastAsia="Arial" w:hAnsi="Arial"/>
                <w:sz w:val="10"/>
                <w:szCs w:val="10"/>
                <w:b w:val="1"/>
                <w:bCs w:val="1"/>
                <w:color w:val="auto"/>
              </w:rPr>
              <w:t>Total Gains (Losses)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60" w:type="dxa"/>
            <w:vAlign w:val="bottom"/>
          </w:tcPr>
          <w:p>
            <w:pPr>
              <w:spacing w:after="0"/>
              <w:rPr>
                <w:sz w:val="13"/>
                <w:szCs w:val="13"/>
                <w:color w:val="auto"/>
              </w:rPr>
            </w:pPr>
          </w:p>
        </w:tc>
        <w:tc>
          <w:tcPr>
            <w:tcW w:w="700" w:type="dxa"/>
            <w:vAlign w:val="bottom"/>
            <w:vMerge w:val="restart"/>
          </w:tcPr>
          <w:p>
            <w:pPr>
              <w:jc w:val="center"/>
              <w:ind w:left="151"/>
              <w:spacing w:after="0"/>
              <w:rPr>
                <w:sz w:val="20"/>
                <w:szCs w:val="20"/>
                <w:color w:val="auto"/>
              </w:rPr>
            </w:pPr>
            <w:r>
              <w:rPr>
                <w:rFonts w:ascii="Arial" w:cs="Arial" w:eastAsia="Arial" w:hAnsi="Arial"/>
                <w:sz w:val="10"/>
                <w:szCs w:val="10"/>
                <w:b w:val="1"/>
                <w:bCs w:val="1"/>
                <w:color w:val="auto"/>
                <w:w w:val="91"/>
              </w:rPr>
              <w:t>Balance at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w w:val="97"/>
              </w:rPr>
              <w:t>Net transfer In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Arial" w:cs="Arial" w:eastAsia="Arial" w:hAnsi="Arial"/>
                <w:sz w:val="10"/>
                <w:szCs w:val="10"/>
                <w:b w:val="1"/>
                <w:bCs w:val="1"/>
                <w:color w:val="auto"/>
                <w:w w:val="95"/>
              </w:rPr>
              <w:t>Change in</w:t>
            </w:r>
          </w:p>
        </w:tc>
        <w:tc>
          <w:tcPr>
            <w:tcW w:w="0" w:type="dxa"/>
            <w:vAlign w:val="bottom"/>
          </w:tcPr>
          <w:p>
            <w:pPr>
              <w:spacing w:after="0"/>
              <w:rPr>
                <w:sz w:val="1"/>
                <w:szCs w:val="1"/>
                <w:color w:val="auto"/>
              </w:rPr>
            </w:pPr>
          </w:p>
        </w:tc>
      </w:tr>
      <w:tr>
        <w:trPr>
          <w:trHeight w:val="99"/>
        </w:trPr>
        <w:tc>
          <w:tcPr>
            <w:tcW w:w="20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4"/>
              </w:rPr>
              <w:t>Included in</w:t>
            </w:r>
          </w:p>
        </w:tc>
        <w:tc>
          <w:tcPr>
            <w:tcW w:w="120" w:type="dxa"/>
            <w:vAlign w:val="bottom"/>
          </w:tcPr>
          <w:p>
            <w:pPr>
              <w:spacing w:after="0"/>
              <w:rPr>
                <w:sz w:val="8"/>
                <w:szCs w:val="8"/>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4"/>
              </w:rPr>
              <w:t>Included in</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 at End of</w:t>
            </w:r>
          </w:p>
        </w:tc>
        <w:tc>
          <w:tcPr>
            <w:tcW w:w="86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91"/>
              </w:rPr>
              <w:t>Unrealized Gains</w:t>
            </w:r>
          </w:p>
        </w:tc>
        <w:tc>
          <w:tcPr>
            <w:tcW w:w="0" w:type="dxa"/>
            <w:vAlign w:val="bottom"/>
          </w:tcPr>
          <w:p>
            <w:pPr>
              <w:spacing w:after="0"/>
              <w:rPr>
                <w:sz w:val="1"/>
                <w:szCs w:val="1"/>
                <w:color w:val="auto"/>
              </w:rPr>
            </w:pPr>
          </w:p>
        </w:tc>
      </w:tr>
      <w:tr>
        <w:trPr>
          <w:trHeight w:val="99"/>
        </w:trPr>
        <w:tc>
          <w:tcPr>
            <w:tcW w:w="2060" w:type="dxa"/>
            <w:vAlign w:val="bottom"/>
          </w:tcPr>
          <w:p>
            <w:pPr>
              <w:spacing w:after="0"/>
              <w:rPr>
                <w:sz w:val="8"/>
                <w:szCs w:val="8"/>
                <w:color w:val="auto"/>
              </w:rPr>
            </w:pPr>
          </w:p>
        </w:tc>
        <w:tc>
          <w:tcPr>
            <w:tcW w:w="700" w:type="dxa"/>
            <w:vAlign w:val="bottom"/>
          </w:tcPr>
          <w:p>
            <w:pPr>
              <w:jc w:val="center"/>
              <w:ind w:left="131"/>
              <w:spacing w:after="0" w:line="99" w:lineRule="exact"/>
              <w:rPr>
                <w:sz w:val="20"/>
                <w:szCs w:val="20"/>
                <w:color w:val="auto"/>
              </w:rPr>
            </w:pPr>
            <w:r>
              <w:rPr>
                <w:rFonts w:ascii="Arial" w:cs="Arial" w:eastAsia="Arial" w:hAnsi="Arial"/>
                <w:sz w:val="10"/>
                <w:szCs w:val="10"/>
                <w:b w:val="1"/>
                <w:bCs w:val="1"/>
                <w:color w:val="auto"/>
                <w:w w:val="89"/>
              </w:rPr>
              <w:t>Beginning</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F&amp;G Acquisition</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Purchases</w:t>
            </w:r>
          </w:p>
        </w:tc>
        <w:tc>
          <w:tcPr>
            <w:tcW w:w="180" w:type="dxa"/>
            <w:vAlign w:val="bottom"/>
          </w:tcPr>
          <w:p>
            <w:pPr>
              <w:spacing w:after="0"/>
              <w:rPr>
                <w:sz w:val="8"/>
                <w:szCs w:val="8"/>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Settlements</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4"/>
              </w:rPr>
              <w:t>(Out) of</w:t>
            </w:r>
          </w:p>
        </w:tc>
        <w:tc>
          <w:tcPr>
            <w:tcW w:w="9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jc w:val="center"/>
              <w:ind w:right="23"/>
              <w:spacing w:after="0" w:line="99" w:lineRule="exact"/>
              <w:rPr>
                <w:sz w:val="20"/>
                <w:szCs w:val="20"/>
                <w:color w:val="auto"/>
              </w:rPr>
            </w:pPr>
            <w:r>
              <w:rPr>
                <w:rFonts w:ascii="Arial" w:cs="Arial" w:eastAsia="Arial" w:hAnsi="Arial"/>
                <w:sz w:val="10"/>
                <w:szCs w:val="10"/>
                <w:b w:val="1"/>
                <w:bCs w:val="1"/>
                <w:color w:val="auto"/>
                <w:w w:val="90"/>
              </w:rPr>
              <w:t>(Losses) Incl in</w:t>
            </w:r>
          </w:p>
        </w:tc>
        <w:tc>
          <w:tcPr>
            <w:tcW w:w="0" w:type="dxa"/>
            <w:vAlign w:val="bottom"/>
          </w:tcPr>
          <w:p>
            <w:pPr>
              <w:spacing w:after="0"/>
              <w:rPr>
                <w:sz w:val="1"/>
                <w:szCs w:val="1"/>
                <w:color w:val="auto"/>
              </w:rPr>
            </w:pPr>
          </w:p>
        </w:tc>
      </w:tr>
      <w:tr>
        <w:trPr>
          <w:trHeight w:val="134"/>
        </w:trPr>
        <w:tc>
          <w:tcPr>
            <w:tcW w:w="2060" w:type="dxa"/>
            <w:vAlign w:val="bottom"/>
          </w:tcPr>
          <w:p>
            <w:pPr>
              <w:spacing w:after="0"/>
              <w:rPr>
                <w:sz w:val="11"/>
                <w:szCs w:val="11"/>
                <w:color w:val="auto"/>
              </w:rPr>
            </w:pPr>
          </w:p>
        </w:tc>
        <w:tc>
          <w:tcPr>
            <w:tcW w:w="700" w:type="dxa"/>
            <w:vAlign w:val="bottom"/>
          </w:tcPr>
          <w:p>
            <w:pPr>
              <w:jc w:val="center"/>
              <w:ind w:left="131"/>
              <w:spacing w:after="0"/>
              <w:rPr>
                <w:sz w:val="20"/>
                <w:szCs w:val="20"/>
                <w:color w:val="auto"/>
              </w:rPr>
            </w:pPr>
            <w:r>
              <w:rPr>
                <w:rFonts w:ascii="Arial" w:cs="Arial" w:eastAsia="Arial" w:hAnsi="Arial"/>
                <w:sz w:val="10"/>
                <w:szCs w:val="10"/>
                <w:b w:val="1"/>
                <w:bCs w:val="1"/>
                <w:color w:val="auto"/>
                <w:w w:val="92"/>
              </w:rPr>
              <w:t>of Period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AOCI</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 (a)</w:t>
            </w:r>
          </w:p>
        </w:tc>
        <w:tc>
          <w:tcPr>
            <w:tcW w:w="1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auto"/>
              </w:rPr>
              <w:t>Period</w:t>
            </w:r>
          </w:p>
        </w:tc>
        <w:tc>
          <w:tcPr>
            <w:tcW w:w="80" w:type="dxa"/>
            <w:vAlign w:val="bottom"/>
          </w:tcPr>
          <w:p>
            <w:pPr>
              <w:spacing w:after="0"/>
              <w:rPr>
                <w:sz w:val="11"/>
                <w:szCs w:val="11"/>
                <w:color w:val="auto"/>
              </w:rPr>
            </w:pPr>
          </w:p>
        </w:tc>
        <w:tc>
          <w:tcPr>
            <w:tcW w:w="780" w:type="dxa"/>
            <w:vAlign w:val="bottom"/>
          </w:tcPr>
          <w:p>
            <w:pPr>
              <w:jc w:val="center"/>
              <w:ind w:right="23"/>
              <w:spacing w:after="0"/>
              <w:rPr>
                <w:sz w:val="20"/>
                <w:szCs w:val="20"/>
                <w:color w:val="auto"/>
              </w:rPr>
            </w:pPr>
            <w:r>
              <w:rPr>
                <w:rFonts w:ascii="Arial" w:cs="Arial" w:eastAsia="Arial" w:hAnsi="Arial"/>
                <w:sz w:val="10"/>
                <w:szCs w:val="10"/>
                <w:b w:val="1"/>
                <w:bCs w:val="1"/>
                <w:color w:val="auto"/>
              </w:rPr>
              <w:t>OCI</w:t>
            </w:r>
          </w:p>
        </w:tc>
        <w:tc>
          <w:tcPr>
            <w:tcW w:w="0" w:type="dxa"/>
            <w:vAlign w:val="bottom"/>
          </w:tcPr>
          <w:p>
            <w:pPr>
              <w:spacing w:after="0"/>
              <w:rPr>
                <w:sz w:val="1"/>
                <w:szCs w:val="1"/>
                <w:color w:val="auto"/>
              </w:rPr>
            </w:pPr>
          </w:p>
        </w:tc>
      </w:tr>
      <w:tr>
        <w:trPr>
          <w:trHeight w:val="138"/>
        </w:trPr>
        <w:tc>
          <w:tcPr>
            <w:tcW w:w="2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60" w:type="dxa"/>
            <w:vAlign w:val="bottom"/>
            <w:shd w:val="clear" w:color="auto" w:fill="CCEEFF"/>
          </w:tcPr>
          <w:p>
            <w:pPr>
              <w:ind w:left="20"/>
              <w:spacing w:after="0" w:line="115" w:lineRule="exact"/>
              <w:rPr>
                <w:sz w:val="20"/>
                <w:szCs w:val="20"/>
                <w:color w:val="auto"/>
              </w:rPr>
            </w:pPr>
            <w:r>
              <w:rPr>
                <w:rFonts w:ascii="Arial" w:cs="Arial" w:eastAsia="Arial" w:hAnsi="Arial"/>
                <w:sz w:val="12"/>
                <w:szCs w:val="12"/>
                <w:color w:val="auto"/>
                <w:w w:val="99"/>
              </w:rPr>
              <w:t>Fixed maturity securities available-for-</w:t>
            </w: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700" w:type="dxa"/>
            <w:vAlign w:val="bottom"/>
          </w:tcPr>
          <w:p>
            <w:pPr>
              <w:jc w:val="right"/>
              <w:ind w:right="591"/>
              <w:spacing w:after="0"/>
              <w:rPr>
                <w:sz w:val="20"/>
                <w:szCs w:val="20"/>
                <w:color w:val="auto"/>
              </w:rPr>
            </w:pPr>
            <w:r>
              <w:rPr>
                <w:rFonts w:ascii="Arial" w:cs="Arial" w:eastAsia="Arial" w:hAnsi="Arial"/>
                <w:sz w:val="9"/>
                <w:szCs w:val="9"/>
                <w:color w:val="auto"/>
                <w:w w:val="78"/>
              </w:rPr>
              <w:t>$</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854</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60" w:type="dxa"/>
            <w:vAlign w:val="bottom"/>
          </w:tcPr>
          <w:p>
            <w:pPr>
              <w:ind w:left="480"/>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1,016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13"/>
        </w:trPr>
        <w:tc>
          <w:tcPr>
            <w:tcW w:w="206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Commercial mortgage-backed</w:t>
            </w:r>
          </w:p>
        </w:tc>
        <w:tc>
          <w:tcPr>
            <w:tcW w:w="70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70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7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1,238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7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6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70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88"/>
              </w:rPr>
              <w:t>Residential mortgage-backed securities</w:t>
            </w:r>
          </w:p>
        </w:tc>
        <w:tc>
          <w:tcPr>
            <w:tcW w:w="7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2"/>
                <w:szCs w:val="12"/>
                <w:color w:val="auto"/>
                <w:w w:val="95"/>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1"/>
        </w:trPr>
        <w:tc>
          <w:tcPr>
            <w:tcW w:w="206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70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60"/>
              <w:spacing w:after="0"/>
              <w:rPr>
                <w:sz w:val="20"/>
                <w:szCs w:val="20"/>
                <w:color w:val="auto"/>
              </w:rPr>
            </w:pPr>
            <w:r>
              <w:rPr>
                <w:rFonts w:ascii="Arial" w:cs="Arial" w:eastAsia="Arial" w:hAnsi="Arial"/>
                <w:sz w:val="12"/>
                <w:szCs w:val="12"/>
                <w:color w:val="auto"/>
              </w:rPr>
              <w:t>Equity securities</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60" w:type="dxa"/>
            <w:vAlign w:val="bottom"/>
          </w:tcPr>
          <w:p>
            <w:pPr>
              <w:ind w:left="20"/>
              <w:spacing w:after="0"/>
              <w:rPr>
                <w:sz w:val="20"/>
                <w:szCs w:val="20"/>
                <w:color w:val="auto"/>
              </w:rPr>
            </w:pPr>
            <w:r>
              <w:rPr>
                <w:rFonts w:ascii="Arial" w:cs="Arial" w:eastAsia="Arial" w:hAnsi="Arial"/>
                <w:sz w:val="12"/>
                <w:szCs w:val="12"/>
                <w:color w:val="auto"/>
              </w:rPr>
              <w:t>Other long-term assets: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89"/>
              </w:rPr>
              <w:t>Available-for-sale embedded derivative</w:t>
            </w:r>
          </w:p>
        </w:tc>
        <w:tc>
          <w:tcPr>
            <w:tcW w:w="7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60" w:type="dxa"/>
            <w:vAlign w:val="bottom"/>
          </w:tcPr>
          <w:p>
            <w:pPr>
              <w:ind w:left="180"/>
              <w:spacing w:after="0"/>
              <w:rPr>
                <w:sz w:val="20"/>
                <w:szCs w:val="20"/>
                <w:color w:val="auto"/>
              </w:rPr>
            </w:pPr>
            <w:r>
              <w:rPr>
                <w:rFonts w:ascii="Arial" w:cs="Arial" w:eastAsia="Arial" w:hAnsi="Arial"/>
                <w:sz w:val="12"/>
                <w:szCs w:val="12"/>
                <w:color w:val="auto"/>
              </w:rPr>
              <w:t>Credit linked note</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0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w w:val="95"/>
              </w:rPr>
              <w:t>Total assets at Level 3 fair value</w:t>
            </w:r>
          </w:p>
        </w:tc>
        <w:tc>
          <w:tcPr>
            <w:tcW w:w="70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2,754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CCEEFF"/>
            </w:tcBorders>
            <w:vMerge w:val="restart"/>
          </w:tcPr>
          <w:p>
            <w:pPr>
              <w:ind w:left="20"/>
              <w:spacing w:after="0" w:line="134" w:lineRule="exact"/>
              <w:rPr>
                <w:sz w:val="20"/>
                <w:szCs w:val="20"/>
                <w:color w:val="auto"/>
              </w:rPr>
            </w:pPr>
            <w:r>
              <w:rPr>
                <w:rFonts w:ascii="Arial" w:cs="Arial" w:eastAsia="Arial" w:hAnsi="Arial"/>
                <w:sz w:val="12"/>
                <w:szCs w:val="12"/>
                <w:b w:val="1"/>
                <w:bCs w:val="1"/>
                <w:color w:val="auto"/>
              </w:rPr>
              <w:t>Liabilities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Future policy benefits</w:t>
            </w:r>
          </w:p>
        </w:tc>
        <w:tc>
          <w:tcPr>
            <w:tcW w:w="700" w:type="dxa"/>
            <w:vAlign w:val="bottom"/>
            <w:shd w:val="clear" w:color="auto" w:fill="CCEEFF"/>
          </w:tcPr>
          <w:p>
            <w:pPr>
              <w:jc w:val="right"/>
              <w:ind w:right="591"/>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60" w:type="dxa"/>
            <w:vAlign w:val="bottom"/>
          </w:tcPr>
          <w:p>
            <w:pPr>
              <w:ind w:left="20"/>
              <w:spacing w:after="0" w:line="110" w:lineRule="exact"/>
              <w:rPr>
                <w:sz w:val="20"/>
                <w:szCs w:val="20"/>
                <w:color w:val="auto"/>
              </w:rPr>
            </w:pPr>
            <w:r>
              <w:rPr>
                <w:rFonts w:ascii="Arial" w:cs="Arial" w:eastAsia="Arial" w:hAnsi="Arial"/>
                <w:sz w:val="12"/>
                <w:szCs w:val="12"/>
                <w:color w:val="auto"/>
                <w:w w:val="99"/>
              </w:rPr>
              <w:t>FIA embedded derivatives, included in</w:t>
            </w:r>
          </w:p>
        </w:tc>
        <w:tc>
          <w:tcPr>
            <w:tcW w:w="7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2"/>
                <w:szCs w:val="12"/>
                <w:color w:val="auto"/>
              </w:rPr>
              <w:t>2,852</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42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ind w:left="4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2,952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contractholder funds</w:t>
            </w: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60" w:type="dxa"/>
            <w:vAlign w:val="bottom"/>
            <w:shd w:val="clear" w:color="auto" w:fill="CCEEFF"/>
          </w:tcPr>
          <w:p>
            <w:pPr>
              <w:ind w:left="280"/>
              <w:spacing w:after="0" w:line="93" w:lineRule="exact"/>
              <w:rPr>
                <w:sz w:val="20"/>
                <w:szCs w:val="20"/>
                <w:color w:val="auto"/>
              </w:rPr>
            </w:pPr>
            <w:r>
              <w:rPr>
                <w:rFonts w:ascii="Arial" w:cs="Arial" w:eastAsia="Arial" w:hAnsi="Arial"/>
                <w:sz w:val="9"/>
                <w:szCs w:val="9"/>
                <w:b w:val="1"/>
                <w:bCs w:val="1"/>
                <w:color w:val="auto"/>
              </w:rPr>
              <w:t>Total liabilities at Level 3 fair</w:t>
            </w:r>
          </w:p>
        </w:tc>
        <w:tc>
          <w:tcPr>
            <w:tcW w:w="700" w:type="dxa"/>
            <w:vAlign w:val="bottom"/>
            <w:vMerge w:val="restart"/>
            <w:shd w:val="clear" w:color="auto" w:fill="CCEEFF"/>
          </w:tcPr>
          <w:p>
            <w:pPr>
              <w:jc w:val="right"/>
              <w:ind w:right="591"/>
              <w:spacing w:after="0"/>
              <w:rPr>
                <w:sz w:val="20"/>
                <w:szCs w:val="20"/>
                <w:color w:val="auto"/>
              </w:rPr>
            </w:pPr>
            <w:r>
              <w:rPr>
                <w:rFonts w:ascii="Arial" w:cs="Arial" w:eastAsia="Arial" w:hAnsi="Arial"/>
                <w:sz w:val="9"/>
                <w:szCs w:val="9"/>
                <w:color w:val="auto"/>
                <w:w w:val="78"/>
              </w:rPr>
              <w:t>$</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2,857</w:t>
            </w:r>
          </w:p>
        </w:tc>
        <w:tc>
          <w:tcPr>
            <w:tcW w:w="6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2,957</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ind w:left="280"/>
              <w:spacing w:after="0" w:line="132" w:lineRule="exact"/>
              <w:rPr>
                <w:sz w:val="20"/>
                <w:szCs w:val="20"/>
                <w:color w:val="auto"/>
              </w:rPr>
            </w:pPr>
            <w:r>
              <w:rPr>
                <w:rFonts w:ascii="Arial" w:cs="Arial" w:eastAsia="Arial" w:hAnsi="Arial"/>
                <w:sz w:val="12"/>
                <w:szCs w:val="12"/>
                <w:b w:val="1"/>
                <w:bCs w:val="1"/>
                <w:color w:val="auto"/>
              </w:rPr>
              <w:t>value</w:t>
            </w:r>
          </w:p>
        </w:tc>
        <w:tc>
          <w:tcPr>
            <w:tcW w:w="70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25" w:name="page26"/>
    <w:bookmarkEnd w:id="2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13970</wp:posOffset>
            </wp:positionV>
            <wp:extent cx="542798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27980" cy="6985"/>
                    </a:xfrm>
                    <a:prstGeom prst="rect">
                      <a:avLst/>
                    </a:prstGeom>
                    <a:noFill/>
                  </pic:spPr>
                </pic:pic>
              </a:graphicData>
            </a:graphic>
          </wp:anchor>
        </w:drawing>
      </w:r>
    </w:p>
    <w:p>
      <w:pPr>
        <w:spacing w:after="0" w:line="33" w:lineRule="exact"/>
        <w:rPr>
          <w:sz w:val="20"/>
          <w:szCs w:val="20"/>
          <w:color w:val="auto"/>
        </w:rPr>
      </w:pPr>
    </w:p>
    <w:tbl>
      <w:tblPr>
        <w:tblLayout w:type="fixed"/>
        <w:tblInd w:w="280" w:type="dxa"/>
        <w:tblCellMar>
          <w:top w:w="0" w:type="dxa"/>
          <w:left w:w="0" w:type="dxa"/>
          <w:bottom w:w="0" w:type="dxa"/>
          <w:right w:w="0" w:type="dxa"/>
        </w:tblCellMar>
      </w:tblPr>
      <w:tr>
        <w:trPr>
          <w:trHeight w:val="131"/>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tcPr>
          <w:p>
            <w:pPr>
              <w:ind w:left="300"/>
              <w:spacing w:after="0"/>
              <w:rPr>
                <w:sz w:val="20"/>
                <w:szCs w:val="20"/>
                <w:color w:val="auto"/>
              </w:rPr>
            </w:pPr>
            <w:r>
              <w:rPr>
                <w:rFonts w:ascii="Arial" w:cs="Arial" w:eastAsia="Arial" w:hAnsi="Arial"/>
                <w:sz w:val="10"/>
                <w:szCs w:val="10"/>
                <w:b w:val="1"/>
                <w:bCs w:val="1"/>
                <w:color w:val="auto"/>
              </w:rPr>
              <w:t>Total Gains (Losses)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Balance at</w:t>
            </w:r>
          </w:p>
        </w:tc>
        <w:tc>
          <w:tcPr>
            <w:tcW w:w="120" w:type="dxa"/>
            <w:vAlign w:val="bottom"/>
          </w:tcPr>
          <w:p>
            <w:pPr>
              <w:spacing w:after="0"/>
              <w:rPr>
                <w:sz w:val="13"/>
                <w:szCs w:val="13"/>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4"/>
              </w:rPr>
              <w:t>Included in</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Included in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Net transfer In</w:t>
            </w:r>
          </w:p>
        </w:tc>
        <w:tc>
          <w:tcPr>
            <w:tcW w:w="9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 at End of</w:t>
            </w:r>
          </w:p>
        </w:tc>
        <w:tc>
          <w:tcPr>
            <w:tcW w:w="120" w:type="dxa"/>
            <w:vAlign w:val="bottom"/>
          </w:tcPr>
          <w:p>
            <w:pPr>
              <w:spacing w:after="0"/>
              <w:rPr>
                <w:sz w:val="13"/>
                <w:szCs w:val="13"/>
                <w:color w:val="auto"/>
              </w:rPr>
            </w:pPr>
          </w:p>
        </w:tc>
        <w:tc>
          <w:tcPr>
            <w:tcW w:w="720" w:type="dxa"/>
            <w:vAlign w:val="bottom"/>
          </w:tcPr>
          <w:p>
            <w:pPr>
              <w:jc w:val="right"/>
              <w:ind w:right="142"/>
              <w:spacing w:after="0"/>
              <w:rPr>
                <w:sz w:val="20"/>
                <w:szCs w:val="20"/>
                <w:color w:val="auto"/>
              </w:rPr>
            </w:pPr>
            <w:r>
              <w:rPr>
                <w:rFonts w:ascii="Arial" w:cs="Arial" w:eastAsia="Arial" w:hAnsi="Arial"/>
                <w:sz w:val="10"/>
                <w:szCs w:val="10"/>
                <w:b w:val="1"/>
                <w:bCs w:val="1"/>
                <w:color w:val="auto"/>
              </w:rPr>
              <w:t>Change in</w:t>
            </w:r>
          </w:p>
        </w:tc>
        <w:tc>
          <w:tcPr>
            <w:tcW w:w="0" w:type="dxa"/>
            <w:vAlign w:val="bottom"/>
          </w:tcPr>
          <w:p>
            <w:pPr>
              <w:spacing w:after="0"/>
              <w:rPr>
                <w:sz w:val="1"/>
                <w:szCs w:val="1"/>
                <w:color w:val="auto"/>
              </w:rPr>
            </w:pPr>
          </w:p>
        </w:tc>
      </w:tr>
      <w:tr>
        <w:trPr>
          <w:trHeight w:val="99"/>
        </w:trPr>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93"/>
              </w:rPr>
              <w:t>Beginning</w:t>
            </w: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Purchases</w:t>
            </w:r>
          </w:p>
        </w:tc>
        <w:tc>
          <w:tcPr>
            <w:tcW w:w="180" w:type="dxa"/>
            <w:vAlign w:val="bottom"/>
          </w:tcPr>
          <w:p>
            <w:pPr>
              <w:spacing w:after="0"/>
              <w:rPr>
                <w:sz w:val="8"/>
                <w:szCs w:val="8"/>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16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Settlements</w:t>
            </w:r>
          </w:p>
        </w:tc>
        <w:tc>
          <w:tcPr>
            <w:tcW w:w="80" w:type="dxa"/>
            <w:vAlign w:val="bottom"/>
          </w:tcPr>
          <w:p>
            <w:pPr>
              <w:spacing w:after="0"/>
              <w:rPr>
                <w:sz w:val="8"/>
                <w:szCs w:val="8"/>
                <w:color w:val="auto"/>
              </w:rPr>
            </w:pPr>
          </w:p>
        </w:tc>
        <w:tc>
          <w:tcPr>
            <w:tcW w:w="8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4"/>
              </w:rPr>
              <w:t>(Out) of</w:t>
            </w:r>
          </w:p>
        </w:tc>
        <w:tc>
          <w:tcPr>
            <w:tcW w:w="960" w:type="dxa"/>
            <w:vAlign w:val="bottom"/>
            <w:gridSpan w:val="3"/>
            <w:vMerge w:val="continue"/>
          </w:tcPr>
          <w:p>
            <w:pPr>
              <w:spacing w:after="0"/>
              <w:rPr>
                <w:sz w:val="8"/>
                <w:szCs w:val="8"/>
                <w:color w:val="auto"/>
              </w:rPr>
            </w:pPr>
          </w:p>
        </w:tc>
        <w:tc>
          <w:tcPr>
            <w:tcW w:w="84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w w:val="97"/>
              </w:rPr>
              <w:t>Unrealized Incl in</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of Period</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AOCI</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Level 3 (a)</w:t>
            </w:r>
          </w:p>
        </w:tc>
        <w:tc>
          <w:tcPr>
            <w:tcW w:w="16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Period</w:t>
            </w:r>
          </w:p>
        </w:tc>
        <w:tc>
          <w:tcPr>
            <w:tcW w:w="120" w:type="dxa"/>
            <w:vAlign w:val="bottom"/>
          </w:tcPr>
          <w:p>
            <w:pPr>
              <w:spacing w:after="0"/>
              <w:rPr>
                <w:sz w:val="11"/>
                <w:szCs w:val="11"/>
                <w:color w:val="auto"/>
              </w:rPr>
            </w:pPr>
          </w:p>
        </w:tc>
        <w:tc>
          <w:tcPr>
            <w:tcW w:w="720" w:type="dxa"/>
            <w:vAlign w:val="bottom"/>
          </w:tcPr>
          <w:p>
            <w:pPr>
              <w:jc w:val="right"/>
              <w:ind w:right="262"/>
              <w:spacing w:after="0"/>
              <w:rPr>
                <w:sz w:val="20"/>
                <w:szCs w:val="20"/>
                <w:color w:val="auto"/>
              </w:rPr>
            </w:pPr>
            <w:r>
              <w:rPr>
                <w:rFonts w:ascii="Arial" w:cs="Arial" w:eastAsia="Arial" w:hAnsi="Arial"/>
                <w:sz w:val="10"/>
                <w:szCs w:val="10"/>
                <w:b w:val="1"/>
                <w:bCs w:val="1"/>
                <w:color w:val="auto"/>
              </w:rPr>
              <w:t>OCI</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Fixed maturity securities available-for-sale: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1,350</w:t>
            </w:r>
          </w:p>
        </w:tc>
        <w:tc>
          <w:tcPr>
            <w:tcW w:w="1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1,171</w:t>
            </w:r>
          </w:p>
        </w:tc>
        <w:tc>
          <w:tcPr>
            <w:tcW w:w="8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center"/>
              <w:ind w:left="443"/>
              <w:spacing w:after="0"/>
              <w:rPr>
                <w:sz w:val="20"/>
                <w:szCs w:val="20"/>
                <w:color w:val="auto"/>
              </w:rPr>
            </w:pPr>
            <w:r>
              <w:rPr>
                <w:rFonts w:ascii="Arial" w:cs="Arial" w:eastAsia="Arial" w:hAnsi="Arial"/>
                <w:sz w:val="12"/>
                <w:szCs w:val="12"/>
                <w:color w:val="auto"/>
                <w:w w:val="93"/>
              </w:rPr>
              <w:t>(27)</w:t>
            </w:r>
          </w:p>
        </w:tc>
        <w:tc>
          <w:tcPr>
            <w:tcW w:w="1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2,309</w:t>
            </w:r>
          </w:p>
        </w:tc>
        <w:tc>
          <w:tcPr>
            <w:tcW w:w="1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2"/>
              </w:rPr>
              <w:t>Commercial mortgage-backed securities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1,289</w:t>
            </w:r>
          </w:p>
        </w:tc>
        <w:tc>
          <w:tcPr>
            <w:tcW w:w="1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57</w:t>
            </w:r>
          </w:p>
        </w:tc>
        <w:tc>
          <w:tcPr>
            <w:tcW w:w="8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Pr>
          <w:p>
            <w:pPr>
              <w:ind w:left="480"/>
              <w:spacing w:after="0"/>
              <w:rPr>
                <w:sz w:val="20"/>
                <w:szCs w:val="20"/>
                <w:color w:val="auto"/>
              </w:rPr>
            </w:pPr>
            <w:r>
              <w:rPr>
                <w:rFonts w:ascii="Arial" w:cs="Arial" w:eastAsia="Arial" w:hAnsi="Arial"/>
                <w:sz w:val="12"/>
                <w:szCs w:val="12"/>
                <w:color w:val="auto"/>
                <w:w w:val="95"/>
              </w:rPr>
              <w:t>(8)</w:t>
            </w:r>
          </w:p>
        </w:tc>
        <w:tc>
          <w:tcPr>
            <w:tcW w:w="10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center"/>
              <w:ind w:left="443"/>
              <w:spacing w:after="0"/>
              <w:rPr>
                <w:sz w:val="20"/>
                <w:szCs w:val="20"/>
                <w:color w:val="auto"/>
              </w:rPr>
            </w:pPr>
            <w:r>
              <w:rPr>
                <w:rFonts w:ascii="Arial" w:cs="Arial" w:eastAsia="Arial" w:hAnsi="Arial"/>
                <w:sz w:val="12"/>
                <w:szCs w:val="12"/>
                <w:color w:val="auto"/>
                <w:w w:val="93"/>
              </w:rPr>
              <w:t>(13)</w:t>
            </w:r>
          </w:p>
        </w:tc>
        <w:tc>
          <w:tcPr>
            <w:tcW w:w="1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1,201</w:t>
            </w:r>
          </w:p>
        </w:tc>
        <w:tc>
          <w:tcPr>
            <w:tcW w:w="1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4"/>
              </w:rPr>
              <w:t>Residential mortgage-backed securities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Short-Term</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20"/>
              <w:spacing w:after="0"/>
              <w:rPr>
                <w:sz w:val="20"/>
                <w:szCs w:val="20"/>
                <w:color w:val="auto"/>
              </w:rPr>
            </w:pPr>
            <w:r>
              <w:rPr>
                <w:rFonts w:ascii="Arial" w:cs="Arial" w:eastAsia="Arial" w:hAnsi="Arial"/>
                <w:sz w:val="12"/>
                <w:szCs w:val="12"/>
                <w:color w:val="auto"/>
              </w:rPr>
              <w:t>Equity and preferred securities</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invested assets: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180"/>
              <w:spacing w:after="0"/>
              <w:rPr>
                <w:sz w:val="20"/>
                <w:szCs w:val="20"/>
                <w:color w:val="auto"/>
              </w:rPr>
            </w:pPr>
            <w:r>
              <w:rPr>
                <w:rFonts w:ascii="Arial" w:cs="Arial" w:eastAsia="Arial" w:hAnsi="Arial"/>
                <w:sz w:val="12"/>
                <w:szCs w:val="12"/>
                <w:color w:val="auto"/>
                <w:w w:val="95"/>
              </w:rPr>
              <w:t>Available-for-sale embedded derivative</w:t>
            </w:r>
          </w:p>
        </w:tc>
        <w:tc>
          <w:tcPr>
            <w:tcW w:w="1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Credit linked note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180" w:type="dxa"/>
            <w:vAlign w:val="bottom"/>
          </w:tcPr>
          <w:p>
            <w:pPr>
              <w:ind w:left="280"/>
              <w:spacing w:after="0"/>
              <w:rPr>
                <w:sz w:val="20"/>
                <w:szCs w:val="20"/>
                <w:color w:val="auto"/>
              </w:rPr>
            </w:pPr>
            <w:r>
              <w:rPr>
                <w:rFonts w:ascii="Arial" w:cs="Arial" w:eastAsia="Arial" w:hAnsi="Arial"/>
                <w:sz w:val="12"/>
                <w:szCs w:val="12"/>
                <w:b w:val="1"/>
                <w:bCs w:val="1"/>
                <w:color w:val="auto"/>
              </w:rPr>
              <w:t>Total assets at Level 3 fair value</w:t>
            </w: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3,267</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1,542</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w w:val="95"/>
              </w:rPr>
              <w:t>(8)</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center"/>
              <w:ind w:left="443"/>
              <w:spacing w:after="0"/>
              <w:rPr>
                <w:sz w:val="20"/>
                <w:szCs w:val="20"/>
                <w:color w:val="auto"/>
              </w:rPr>
            </w:pPr>
            <w:r>
              <w:rPr>
                <w:rFonts w:ascii="Arial" w:cs="Arial" w:eastAsia="Arial" w:hAnsi="Arial"/>
                <w:sz w:val="12"/>
                <w:szCs w:val="12"/>
                <w:color w:val="auto"/>
                <w:w w:val="93"/>
              </w:rPr>
              <w:t>(40)</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4,400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1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Future policy benefits</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5"/>
              </w:rPr>
              <w:t>(4)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center"/>
              <w:ind w:left="483"/>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180" w:type="dxa"/>
            <w:vAlign w:val="bottom"/>
          </w:tcPr>
          <w:p>
            <w:pPr>
              <w:ind w:left="20"/>
              <w:spacing w:after="0" w:line="110" w:lineRule="exact"/>
              <w:rPr>
                <w:sz w:val="20"/>
                <w:szCs w:val="20"/>
                <w:color w:val="auto"/>
              </w:rPr>
            </w:pPr>
            <w:r>
              <w:rPr>
                <w:rFonts w:ascii="Arial" w:cs="Arial" w:eastAsia="Arial" w:hAnsi="Arial"/>
                <w:sz w:val="12"/>
                <w:szCs w:val="12"/>
                <w:color w:val="auto"/>
              </w:rPr>
              <w:t>FIA embedded derivatives, included in</w:t>
            </w:r>
          </w:p>
        </w:tc>
        <w:tc>
          <w:tcPr>
            <w:tcW w:w="140" w:type="dxa"/>
            <w:vAlign w:val="bottom"/>
            <w:vMerge w:val="restart"/>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ind w:right="3"/>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9"/>
                <w:szCs w:val="9"/>
                <w:color w:val="auto"/>
              </w:rPr>
            </w:pP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355</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w:t>
            </w: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53"/>
              <w:spacing w:after="0"/>
              <w:rPr>
                <w:sz w:val="20"/>
                <w:szCs w:val="20"/>
                <w:color w:val="auto"/>
              </w:rPr>
            </w:pPr>
            <w:r>
              <w:rPr>
                <w:rFonts w:ascii="Arial" w:cs="Arial" w:eastAsia="Arial" w:hAnsi="Arial"/>
                <w:sz w:val="9"/>
                <w:szCs w:val="9"/>
                <w:color w:val="auto"/>
                <w:w w:val="78"/>
              </w:rPr>
              <w:t>$</w:t>
            </w:r>
          </w:p>
        </w:tc>
        <w:tc>
          <w:tcPr>
            <w:tcW w:w="94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jc w:val="center"/>
              <w:ind w:left="383"/>
              <w:spacing w:after="0"/>
              <w:rPr>
                <w:sz w:val="20"/>
                <w:szCs w:val="20"/>
                <w:color w:val="auto"/>
              </w:rPr>
            </w:pPr>
            <w:r>
              <w:rPr>
                <w:rFonts w:ascii="Arial" w:cs="Arial" w:eastAsia="Arial" w:hAnsi="Arial"/>
                <w:sz w:val="12"/>
                <w:szCs w:val="12"/>
                <w:color w:val="auto"/>
                <w:w w:val="99"/>
              </w:rPr>
              <w:t>—</w:t>
            </w: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3,759</w:t>
            </w:r>
          </w:p>
        </w:tc>
        <w:tc>
          <w:tcPr>
            <w:tcW w:w="14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180" w:type="dxa"/>
            <w:vAlign w:val="bottom"/>
          </w:tcPr>
          <w:p>
            <w:pPr>
              <w:ind w:left="20"/>
              <w:spacing w:after="0"/>
              <w:rPr>
                <w:sz w:val="20"/>
                <w:szCs w:val="20"/>
                <w:color w:val="auto"/>
              </w:rPr>
            </w:pPr>
            <w:r>
              <w:rPr>
                <w:rFonts w:ascii="Arial" w:cs="Arial" w:eastAsia="Arial" w:hAnsi="Arial"/>
                <w:sz w:val="12"/>
                <w:szCs w:val="12"/>
                <w:color w:val="auto"/>
              </w:rPr>
              <w:t>contractholder funds</w:t>
            </w:r>
          </w:p>
        </w:tc>
        <w:tc>
          <w:tcPr>
            <w:tcW w:w="1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w w:val="95"/>
              </w:rPr>
              <w:t>Total liabilities at Level 3 fair value</w:t>
            </w: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3,409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355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95"/>
              </w:rPr>
              <w:t>(4)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center"/>
              <w:ind w:left="483"/>
              <w:spacing w:after="0"/>
              <w:rPr>
                <w:sz w:val="20"/>
                <w:szCs w:val="20"/>
                <w:color w:val="auto"/>
              </w:rPr>
            </w:pPr>
            <w:r>
              <w:rPr>
                <w:rFonts w:ascii="Arial" w:cs="Arial" w:eastAsia="Arial" w:hAnsi="Arial"/>
                <w:sz w:val="12"/>
                <w:szCs w:val="12"/>
                <w:color w:val="auto"/>
                <w:w w:val="99"/>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020"/>
          </w:cols>
          <w:pgMar w:left="300" w:top="129" w:right="579" w:bottom="1440" w:gutter="0" w:footer="0" w:header="0"/>
        </w:sectPr>
      </w:pPr>
    </w:p>
    <w:bookmarkStart w:id="26" w:name="page27"/>
    <w:bookmarkEnd w:id="2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Six months ended June 30, 2020</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2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rPr>
              <w:t>Total Gains (Losses)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Balance at</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4"/>
              </w:rPr>
              <w:t>Included in</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0"/>
              </w:rPr>
              <w:t>Included in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Net transfer In</w:t>
            </w:r>
          </w:p>
        </w:tc>
        <w:tc>
          <w:tcPr>
            <w:tcW w:w="9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 at End of</w:t>
            </w:r>
          </w:p>
        </w:tc>
        <w:tc>
          <w:tcPr>
            <w:tcW w:w="140" w:type="dxa"/>
            <w:vAlign w:val="bottom"/>
          </w:tcPr>
          <w:p>
            <w:pPr>
              <w:spacing w:after="0"/>
              <w:rPr>
                <w:sz w:val="13"/>
                <w:szCs w:val="13"/>
                <w:color w:val="auto"/>
              </w:rPr>
            </w:pPr>
          </w:p>
        </w:tc>
        <w:tc>
          <w:tcPr>
            <w:tcW w:w="700" w:type="dxa"/>
            <w:vAlign w:val="bottom"/>
          </w:tcPr>
          <w:p>
            <w:pPr>
              <w:jc w:val="right"/>
              <w:ind w:right="142"/>
              <w:spacing w:after="0"/>
              <w:rPr>
                <w:sz w:val="20"/>
                <w:szCs w:val="20"/>
                <w:color w:val="auto"/>
              </w:rPr>
            </w:pPr>
            <w:r>
              <w:rPr>
                <w:rFonts w:ascii="Arial" w:cs="Arial" w:eastAsia="Arial" w:hAnsi="Arial"/>
                <w:sz w:val="10"/>
                <w:szCs w:val="10"/>
                <w:b w:val="1"/>
                <w:bCs w:val="1"/>
                <w:color w:val="auto"/>
                <w:w w:val="99"/>
              </w:rPr>
              <w:t>Change in</w:t>
            </w:r>
          </w:p>
        </w:tc>
        <w:tc>
          <w:tcPr>
            <w:tcW w:w="0" w:type="dxa"/>
            <w:vAlign w:val="bottom"/>
          </w:tcPr>
          <w:p>
            <w:pPr>
              <w:spacing w:after="0"/>
              <w:rPr>
                <w:sz w:val="1"/>
                <w:szCs w:val="1"/>
                <w:color w:val="auto"/>
              </w:rPr>
            </w:pPr>
          </w:p>
        </w:tc>
      </w:tr>
      <w:tr>
        <w:trPr>
          <w:trHeight w:val="99"/>
        </w:trPr>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9"/>
              </w:rPr>
              <w:t>Beginning</w:t>
            </w:r>
          </w:p>
        </w:tc>
        <w:tc>
          <w:tcPr>
            <w:tcW w:w="8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F&amp;G Acquisition</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Purchases</w:t>
            </w:r>
          </w:p>
        </w:tc>
        <w:tc>
          <w:tcPr>
            <w:tcW w:w="160" w:type="dxa"/>
            <w:vAlign w:val="bottom"/>
          </w:tcPr>
          <w:p>
            <w:pPr>
              <w:spacing w:after="0"/>
              <w:rPr>
                <w:sz w:val="8"/>
                <w:szCs w:val="8"/>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Sales</w:t>
            </w:r>
          </w:p>
        </w:tc>
        <w:tc>
          <w:tcPr>
            <w:tcW w:w="140" w:type="dxa"/>
            <w:vAlign w:val="bottom"/>
          </w:tcPr>
          <w:p>
            <w:pPr>
              <w:spacing w:after="0"/>
              <w:rPr>
                <w:sz w:val="8"/>
                <w:szCs w:val="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Settlements</w:t>
            </w:r>
          </w:p>
        </w:tc>
        <w:tc>
          <w:tcPr>
            <w:tcW w:w="80" w:type="dxa"/>
            <w:vAlign w:val="bottom"/>
          </w:tcPr>
          <w:p>
            <w:pPr>
              <w:spacing w:after="0"/>
              <w:rPr>
                <w:sz w:val="8"/>
                <w:szCs w:val="8"/>
                <w:color w:val="auto"/>
              </w:rPr>
            </w:pPr>
          </w:p>
        </w:tc>
        <w:tc>
          <w:tcPr>
            <w:tcW w:w="8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99"/>
              </w:rPr>
              <w:t>(Out) of</w:t>
            </w:r>
          </w:p>
        </w:tc>
        <w:tc>
          <w:tcPr>
            <w:tcW w:w="900" w:type="dxa"/>
            <w:vAlign w:val="bottom"/>
            <w:gridSpan w:val="3"/>
            <w:vMerge w:val="continue"/>
          </w:tcPr>
          <w:p>
            <w:pPr>
              <w:spacing w:after="0"/>
              <w:rPr>
                <w:sz w:val="8"/>
                <w:szCs w:val="8"/>
                <w:color w:val="auto"/>
              </w:rPr>
            </w:pPr>
          </w:p>
        </w:tc>
        <w:tc>
          <w:tcPr>
            <w:tcW w:w="84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w w:val="94"/>
              </w:rPr>
              <w:t>Unrealized Incl in</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of Period</w:t>
            </w: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AOCI</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Level 3 (a)</w:t>
            </w:r>
          </w:p>
        </w:tc>
        <w:tc>
          <w:tcPr>
            <w:tcW w:w="1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auto"/>
              </w:rPr>
              <w:t>Period</w:t>
            </w:r>
          </w:p>
        </w:tc>
        <w:tc>
          <w:tcPr>
            <w:tcW w:w="140" w:type="dxa"/>
            <w:vAlign w:val="bottom"/>
          </w:tcPr>
          <w:p>
            <w:pPr>
              <w:spacing w:after="0"/>
              <w:rPr>
                <w:sz w:val="11"/>
                <w:szCs w:val="11"/>
                <w:color w:val="auto"/>
              </w:rPr>
            </w:pPr>
          </w:p>
        </w:tc>
        <w:tc>
          <w:tcPr>
            <w:tcW w:w="700" w:type="dxa"/>
            <w:vAlign w:val="bottom"/>
          </w:tcPr>
          <w:p>
            <w:pPr>
              <w:jc w:val="right"/>
              <w:ind w:right="262"/>
              <w:spacing w:after="0"/>
              <w:rPr>
                <w:sz w:val="20"/>
                <w:szCs w:val="20"/>
                <w:color w:val="auto"/>
              </w:rPr>
            </w:pPr>
            <w:r>
              <w:rPr>
                <w:rFonts w:ascii="Arial" w:cs="Arial" w:eastAsia="Arial" w:hAnsi="Arial"/>
                <w:sz w:val="10"/>
                <w:szCs w:val="10"/>
                <w:b w:val="1"/>
                <w:bCs w:val="1"/>
                <w:color w:val="auto"/>
              </w:rPr>
              <w:t>OCI</w:t>
            </w:r>
          </w:p>
        </w:tc>
        <w:tc>
          <w:tcPr>
            <w:tcW w:w="0" w:type="dxa"/>
            <w:vAlign w:val="bottom"/>
          </w:tcPr>
          <w:p>
            <w:pPr>
              <w:spacing w:after="0"/>
              <w:rPr>
                <w:sz w:val="1"/>
                <w:szCs w:val="1"/>
                <w:color w:val="auto"/>
              </w:rPr>
            </w:pPr>
          </w:p>
        </w:tc>
      </w:tr>
      <w:tr>
        <w:trPr>
          <w:trHeight w:val="138"/>
        </w:trPr>
        <w:tc>
          <w:tcPr>
            <w:tcW w:w="2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00" w:type="dxa"/>
            <w:vAlign w:val="bottom"/>
            <w:shd w:val="clear" w:color="auto" w:fill="CCEEFF"/>
          </w:tcPr>
          <w:p>
            <w:pPr>
              <w:ind w:left="20"/>
              <w:spacing w:after="0" w:line="115" w:lineRule="exact"/>
              <w:rPr>
                <w:sz w:val="20"/>
                <w:szCs w:val="20"/>
                <w:color w:val="auto"/>
              </w:rPr>
            </w:pPr>
            <w:r>
              <w:rPr>
                <w:rFonts w:ascii="Arial" w:cs="Arial" w:eastAsia="Arial" w:hAnsi="Arial"/>
                <w:sz w:val="12"/>
                <w:szCs w:val="12"/>
                <w:color w:val="auto"/>
                <w:w w:val="96"/>
              </w:rPr>
              <w:t>Fixed maturity securities available-for-</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854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1,016</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Commercial mortgage-backed</w:t>
            </w:r>
          </w:p>
        </w:tc>
        <w:tc>
          <w:tcPr>
            <w:tcW w:w="1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6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1,238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0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Residential mortgage-backed</w:t>
            </w:r>
          </w:p>
        </w:tc>
        <w:tc>
          <w:tcPr>
            <w:tcW w:w="1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534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4"/>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rPr>
                <w:sz w:val="20"/>
                <w:szCs w:val="20"/>
                <w:color w:val="auto"/>
              </w:rPr>
            </w:pPr>
            <w:r>
              <w:rPr>
                <w:rFonts w:ascii="Arial" w:cs="Arial" w:eastAsia="Arial" w:hAnsi="Arial"/>
                <w:sz w:val="12"/>
                <w:szCs w:val="12"/>
                <w:color w:val="auto"/>
              </w:rPr>
              <w:t>Other invested assets: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Available-for-sale embedded</w:t>
            </w:r>
          </w:p>
        </w:tc>
        <w:tc>
          <w:tcPr>
            <w:tcW w:w="1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w:t>
            </w: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180"/>
              <w:spacing w:after="0"/>
              <w:rPr>
                <w:sz w:val="20"/>
                <w:szCs w:val="20"/>
                <w:color w:val="auto"/>
              </w:rPr>
            </w:pPr>
            <w:r>
              <w:rPr>
                <w:rFonts w:ascii="Arial" w:cs="Arial" w:eastAsia="Arial" w:hAnsi="Arial"/>
                <w:sz w:val="12"/>
                <w:szCs w:val="12"/>
                <w:color w:val="auto"/>
              </w:rPr>
              <w:t>Other long-term investment</w:t>
            </w:r>
          </w:p>
        </w:tc>
        <w:tc>
          <w:tcPr>
            <w:tcW w:w="16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Credit linked note</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00" w:type="dxa"/>
            <w:vAlign w:val="bottom"/>
          </w:tcPr>
          <w:p>
            <w:pPr>
              <w:ind w:left="280"/>
              <w:spacing w:after="0"/>
              <w:rPr>
                <w:sz w:val="20"/>
                <w:szCs w:val="20"/>
                <w:color w:val="auto"/>
              </w:rPr>
            </w:pPr>
            <w:r>
              <w:rPr>
                <w:rFonts w:ascii="Arial" w:cs="Arial" w:eastAsia="Arial" w:hAnsi="Arial"/>
                <w:sz w:val="12"/>
                <w:szCs w:val="12"/>
                <w:b w:val="1"/>
                <w:bCs w:val="1"/>
                <w:color w:val="auto"/>
                <w:w w:val="92"/>
              </w:rPr>
              <w:t>Total assets at Level 3 fair value</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138</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2,754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2,920</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00" w:type="dxa"/>
            <w:vAlign w:val="bottom"/>
            <w:shd w:val="clear" w:color="auto" w:fill="CCEEFF"/>
          </w:tcPr>
          <w:p>
            <w:pPr>
              <w:ind w:left="20"/>
              <w:spacing w:after="0" w:line="116" w:lineRule="exact"/>
              <w:rPr>
                <w:sz w:val="20"/>
                <w:szCs w:val="20"/>
                <w:color w:val="auto"/>
              </w:rPr>
            </w:pPr>
            <w:r>
              <w:rPr>
                <w:rFonts w:ascii="Arial" w:cs="Arial" w:eastAsia="Arial" w:hAnsi="Arial"/>
                <w:sz w:val="12"/>
                <w:szCs w:val="12"/>
                <w:b w:val="1"/>
                <w:bCs w:val="1"/>
                <w:color w:val="auto"/>
              </w:rPr>
              <w:t>Liabilities</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rPr>
                <w:sz w:val="20"/>
                <w:szCs w:val="20"/>
                <w:color w:val="auto"/>
              </w:rPr>
            </w:pPr>
            <w:r>
              <w:rPr>
                <w:rFonts w:ascii="Arial" w:cs="Arial" w:eastAsia="Arial" w:hAnsi="Arial"/>
                <w:sz w:val="12"/>
                <w:szCs w:val="12"/>
                <w:color w:val="auto"/>
              </w:rPr>
              <w:t>Future policy benefits</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w w:val="96"/>
              </w:rPr>
              <w:t>FIA embedded derivatives, included in</w:t>
            </w:r>
          </w:p>
        </w:tc>
        <w:tc>
          <w:tcPr>
            <w:tcW w:w="1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2,852</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2,952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contractholder funds</w:t>
            </w: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00" w:type="dxa"/>
            <w:vAlign w:val="bottom"/>
          </w:tcPr>
          <w:p>
            <w:pPr>
              <w:ind w:left="280"/>
              <w:spacing w:after="0" w:line="110" w:lineRule="exact"/>
              <w:rPr>
                <w:sz w:val="20"/>
                <w:szCs w:val="20"/>
                <w:color w:val="auto"/>
              </w:rPr>
            </w:pPr>
            <w:r>
              <w:rPr>
                <w:rFonts w:ascii="Arial" w:cs="Arial" w:eastAsia="Arial" w:hAnsi="Arial"/>
                <w:sz w:val="12"/>
                <w:szCs w:val="12"/>
                <w:b w:val="1"/>
                <w:bCs w:val="1"/>
                <w:color w:val="auto"/>
              </w:rPr>
              <w:t>Total liabilities at Level 3 fair</w:t>
            </w:r>
          </w:p>
        </w:tc>
        <w:tc>
          <w:tcPr>
            <w:tcW w:w="160" w:type="dxa"/>
            <w:vAlign w:val="bottom"/>
            <w:vMerge w:val="restart"/>
          </w:tcPr>
          <w:p>
            <w:pPr>
              <w:jc w:val="right"/>
              <w:ind w:right="21"/>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color w:val="auto"/>
              </w:rPr>
              <w:t>2,857</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vMerge w:val="restart"/>
          </w:tcPr>
          <w:p>
            <w:pPr>
              <w:ind w:left="60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2,957</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20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value</w:t>
            </w:r>
          </w:p>
        </w:tc>
        <w:tc>
          <w:tcPr>
            <w:tcW w:w="1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Methodologies and Associated Inputs for Financial Instruments Not Carried at Fair Value</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Mortgage Loans</w:t>
      </w:r>
    </w:p>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Policy Loans (included within Other long-term investments)</w:t>
      </w:r>
    </w:p>
    <w:p>
      <w:pPr>
        <w:spacing w:after="0" w:line="9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Company Owned Life Insurance</w:t>
      </w:r>
    </w:p>
    <w:p>
      <w:pPr>
        <w:spacing w:after="0" w:line="9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Invested Assets (included within Other long-term investments)</w:t>
      </w:r>
    </w:p>
    <w:p>
      <w:pPr>
        <w:spacing w:after="0" w:line="135"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Contracts</w:t>
      </w:r>
    </w:p>
    <w:p>
      <w:pPr>
        <w:spacing w:after="0" w:line="102" w:lineRule="exact"/>
        <w:rPr>
          <w:sz w:val="20"/>
          <w:szCs w:val="20"/>
          <w:color w:val="auto"/>
        </w:rPr>
      </w:pPr>
    </w:p>
    <w:p>
      <w:pPr>
        <w:jc w:val="both"/>
        <w:ind w:firstLine="330"/>
        <w:spacing w:after="0" w:line="271" w:lineRule="auto"/>
        <w:rPr>
          <w:sz w:val="20"/>
          <w:szCs w:val="20"/>
          <w:color w:val="auto"/>
        </w:rPr>
      </w:pPr>
      <w:r>
        <w:rPr>
          <w:rFonts w:ascii="Arial" w:cs="Arial" w:eastAsia="Arial" w:hAnsi="Arial"/>
          <w:sz w:val="14"/>
          <w:szCs w:val="14"/>
          <w:color w:val="auto"/>
        </w:rPr>
        <w:t>Investment contracts include deferred annuities, FIAs, indexed universal life policies ("IULs") and immediate annuities. The fair value of deferred annuity, FIA, and IUL contracts is based on their cash surrender value (i.e. the cost the Company would incur to extinguish the liability) as these contracts are generally issued without an annuitization date. The fair value of immediate annuities contracts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02"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Federal Home Loan Bank of Atlanta ("FHLB")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Debt</w:t>
      </w:r>
    </w:p>
    <w:p>
      <w:pPr>
        <w:spacing w:after="0" w:line="135"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fair value of debt is based on quoted market prices of other debt with similar characteristics. The inputs used to measure the fair value of our outstanding debt are classified as Level 2 within the fair value hierarchy.</w:t>
      </w:r>
    </w:p>
    <w:p>
      <w:pPr>
        <w:spacing w:after="0" w:line="7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50"/>
        </w:trPr>
        <w:tc>
          <w:tcPr>
            <w:tcW w:w="3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left="41"/>
              <w:spacing w:after="0"/>
              <w:rPr>
                <w:sz w:val="20"/>
                <w:szCs w:val="20"/>
                <w:color w:val="auto"/>
              </w:rPr>
            </w:pPr>
            <w:r>
              <w:rPr>
                <w:rFonts w:ascii="Arial" w:cs="Arial" w:eastAsia="Arial" w:hAnsi="Arial"/>
                <w:sz w:val="12"/>
                <w:szCs w:val="12"/>
                <w:b w:val="1"/>
                <w:bCs w:val="1"/>
                <w:color w:val="auto"/>
                <w:w w:val="87"/>
              </w:rPr>
              <w:t>June 30, 2021</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41"/>
              <w:spacing w:after="0"/>
              <w:rPr>
                <w:sz w:val="20"/>
                <w:szCs w:val="20"/>
                <w:color w:val="auto"/>
              </w:rPr>
            </w:pPr>
            <w:r>
              <w:rPr>
                <w:rFonts w:ascii="Arial" w:cs="Arial" w:eastAsia="Arial" w:hAnsi="Arial"/>
                <w:sz w:val="12"/>
                <w:szCs w:val="12"/>
                <w:b w:val="1"/>
                <w:bCs w:val="1"/>
                <w:color w:val="auto"/>
                <w:w w:val="89"/>
              </w:rPr>
              <w:t>(in millions)</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40" w:type="dxa"/>
            <w:vAlign w:val="bottom"/>
          </w:tcPr>
          <w:p>
            <w:pPr>
              <w:spacing w:after="0"/>
              <w:rPr>
                <w:sz w:val="9"/>
                <w:szCs w:val="9"/>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Level 2</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Level 3</w:t>
            </w: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88"/>
              </w:rPr>
              <w:t>Total Estimated Fair</w:t>
            </w:r>
          </w:p>
        </w:tc>
        <w:tc>
          <w:tcPr>
            <w:tcW w:w="140" w:type="dxa"/>
            <w:vAlign w:val="bottom"/>
          </w:tcPr>
          <w:p>
            <w:pPr>
              <w:spacing w:after="0"/>
              <w:rPr>
                <w:sz w:val="9"/>
                <w:szCs w:val="9"/>
                <w:color w:val="auto"/>
              </w:rPr>
            </w:pPr>
          </w:p>
        </w:tc>
        <w:tc>
          <w:tcPr>
            <w:tcW w:w="118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w w:val="97"/>
              </w:rPr>
              <w:t>Carrying Amount</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74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Assets</w:t>
            </w:r>
          </w:p>
        </w:tc>
        <w:tc>
          <w:tcPr>
            <w:tcW w:w="8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FHLB common stock</w:t>
            </w:r>
          </w:p>
        </w:tc>
        <w:tc>
          <w:tcPr>
            <w:tcW w:w="820" w:type="dxa"/>
            <w:vAlign w:val="bottom"/>
          </w:tcPr>
          <w:p>
            <w:pPr>
              <w:jc w:val="right"/>
              <w:ind w:right="711"/>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31"/>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8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1,586</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82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1,180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1,208</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Policy loans</w:t>
            </w:r>
          </w:p>
        </w:tc>
        <w:tc>
          <w:tcPr>
            <w:tcW w:w="8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Company-owned life insurance</w:t>
            </w:r>
          </w:p>
        </w:tc>
        <w:tc>
          <w:tcPr>
            <w:tcW w:w="82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324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324</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Trade and notes receivables, net of allowance</w:t>
            </w:r>
          </w:p>
        </w:tc>
        <w:tc>
          <w:tcPr>
            <w:tcW w:w="8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5"/>
        </w:trPr>
        <w:tc>
          <w:tcPr>
            <w:tcW w:w="3740" w:type="dxa"/>
            <w:vAlign w:val="bottom"/>
          </w:tcPr>
          <w:p>
            <w:pPr>
              <w:ind w:left="160"/>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3,655</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3,727</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7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Investment contracts, included in contractholder funds</w:t>
            </w:r>
          </w:p>
        </w:tc>
        <w:tc>
          <w:tcPr>
            <w:tcW w:w="820" w:type="dxa"/>
            <w:vAlign w:val="bottom"/>
            <w:shd w:val="clear" w:color="auto" w:fill="CCEEFF"/>
          </w:tcPr>
          <w:p>
            <w:pPr>
              <w:jc w:val="right"/>
              <w:ind w:right="711"/>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31"/>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24,509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24,509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28,298</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Debt</w:t>
            </w:r>
          </w:p>
        </w:tc>
        <w:tc>
          <w:tcPr>
            <w:tcW w:w="82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w w:val="93"/>
              </w:rPr>
              <w:t>2,853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2,853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2,663</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631"/>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3"/>
              </w:rPr>
              <w:t>2,853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24,509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27,362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30,961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620" w:type="dxa"/>
        <w:tblCellMar>
          <w:top w:w="0" w:type="dxa"/>
          <w:left w:w="0" w:type="dxa"/>
          <w:bottom w:w="0" w:type="dxa"/>
          <w:right w:w="0" w:type="dxa"/>
        </w:tblCellMar>
      </w:tblPr>
      <w:tr>
        <w:trPr>
          <w:trHeight w:val="150"/>
        </w:trPr>
        <w:tc>
          <w:tcPr>
            <w:tcW w:w="3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December 31, 2020</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2"/>
                <w:szCs w:val="12"/>
                <w:b w:val="1"/>
                <w:bCs w:val="1"/>
                <w:color w:val="auto"/>
                <w:w w:val="89"/>
              </w:rPr>
              <w:t>(in millions)</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40" w:type="dxa"/>
            <w:vAlign w:val="bottom"/>
          </w:tcPr>
          <w:p>
            <w:pPr>
              <w:spacing w:after="0"/>
              <w:rPr>
                <w:sz w:val="9"/>
                <w:szCs w:val="9"/>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Level 2</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Level 3</w:t>
            </w: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88"/>
              </w:rPr>
              <w:t>Total Estimated Fair</w:t>
            </w:r>
          </w:p>
        </w:tc>
        <w:tc>
          <w:tcPr>
            <w:tcW w:w="140" w:type="dxa"/>
            <w:vAlign w:val="bottom"/>
          </w:tcPr>
          <w:p>
            <w:pPr>
              <w:spacing w:after="0"/>
              <w:rPr>
                <w:sz w:val="9"/>
                <w:szCs w:val="9"/>
                <w:color w:val="auto"/>
              </w:rPr>
            </w:pPr>
          </w:p>
        </w:tc>
        <w:tc>
          <w:tcPr>
            <w:tcW w:w="118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w w:val="97"/>
              </w:rPr>
              <w:t>Carrying Amount</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74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Assets</w:t>
            </w:r>
          </w:p>
        </w:tc>
        <w:tc>
          <w:tcPr>
            <w:tcW w:w="8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FHLB common stock</w:t>
            </w:r>
          </w:p>
        </w:tc>
        <w:tc>
          <w:tcPr>
            <w:tcW w:w="820" w:type="dxa"/>
            <w:vAlign w:val="bottom"/>
          </w:tcPr>
          <w:p>
            <w:pPr>
              <w:jc w:val="right"/>
              <w:ind w:right="711"/>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31"/>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8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82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Policy loans</w:t>
            </w:r>
          </w:p>
        </w:tc>
        <w:tc>
          <w:tcPr>
            <w:tcW w:w="8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Other invested assets</w:t>
            </w:r>
          </w:p>
        </w:tc>
        <w:tc>
          <w:tcPr>
            <w:tcW w:w="82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Company-owned life insurance</w:t>
            </w:r>
          </w:p>
        </w:tc>
        <w:tc>
          <w:tcPr>
            <w:tcW w:w="8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Trade and notes receivables, net of allowance</w:t>
            </w:r>
          </w:p>
        </w:tc>
        <w:tc>
          <w:tcPr>
            <w:tcW w:w="82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437</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82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631"/>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20"/>
                <w:szCs w:val="20"/>
                <w:color w:val="auto"/>
              </w:rPr>
            </w:pPr>
            <w:r>
              <w:rPr>
                <w:rFonts w:ascii="Arial" w:cs="Arial" w:eastAsia="Arial" w:hAnsi="Arial"/>
                <w:sz w:val="12"/>
                <w:szCs w:val="12"/>
                <w:color w:val="auto"/>
              </w:rPr>
              <w:t>Investment contracts, included in contractholder funds</w:t>
            </w:r>
          </w:p>
        </w:tc>
        <w:tc>
          <w:tcPr>
            <w:tcW w:w="820" w:type="dxa"/>
            <w:vAlign w:val="bottom"/>
          </w:tcPr>
          <w:p>
            <w:pPr>
              <w:jc w:val="right"/>
              <w:ind w:right="711"/>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31"/>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25,199</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Debt</w:t>
            </w:r>
          </w:p>
        </w:tc>
        <w:tc>
          <w:tcPr>
            <w:tcW w:w="8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3"/>
              </w:rPr>
              <w:t>2,896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w:t>
            </w:r>
          </w:p>
        </w:tc>
        <w:tc>
          <w:tcPr>
            <w:tcW w:w="0" w:type="dxa"/>
            <w:vAlign w:val="bottom"/>
          </w:tcPr>
          <w:p>
            <w:pPr>
              <w:spacing w:after="0"/>
              <w:rPr>
                <w:sz w:val="1"/>
                <w:szCs w:val="1"/>
                <w:color w:val="auto"/>
              </w:rPr>
            </w:pPr>
          </w:p>
        </w:tc>
      </w:tr>
      <w:tr>
        <w:trPr>
          <w:trHeight w:val="145"/>
        </w:trPr>
        <w:tc>
          <w:tcPr>
            <w:tcW w:w="3740" w:type="dxa"/>
            <w:vAlign w:val="bottom"/>
          </w:tcPr>
          <w:p>
            <w:pPr>
              <w:ind w:left="160"/>
              <w:spacing w:after="0"/>
              <w:rPr>
                <w:sz w:val="20"/>
                <w:szCs w:val="20"/>
                <w:color w:val="auto"/>
              </w:rPr>
            </w:pPr>
            <w:r>
              <w:rPr>
                <w:rFonts w:ascii="Arial" w:cs="Arial" w:eastAsia="Arial" w:hAnsi="Arial"/>
                <w:sz w:val="12"/>
                <w:szCs w:val="12"/>
                <w:color w:val="auto"/>
              </w:rPr>
              <w:t>Total</w:t>
            </w:r>
          </w:p>
        </w:tc>
        <w:tc>
          <w:tcPr>
            <w:tcW w:w="82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93"/>
              </w:rPr>
              <w:t>2,896</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24,615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27,861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following table includes assets that have not been classified in the fair value hierarchy as the value of these investments are measured using the equity method of accounting or the net asset value ("NAV") per share practical expedient (in millions):</w:t>
      </w:r>
    </w:p>
    <w:p>
      <w:pPr>
        <w:spacing w:after="0" w:line="59"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auto"/>
        </w:rPr>
        <w:t>Carrying Value After Measurement</w:t>
      </w:r>
    </w:p>
    <w:tbl>
      <w:tblPr>
        <w:tblLayout w:type="fixed"/>
        <w:tblInd w:w="620" w:type="dxa"/>
        <w:tblCellMar>
          <w:top w:w="0" w:type="dxa"/>
          <w:left w:w="0" w:type="dxa"/>
          <w:bottom w:w="0" w:type="dxa"/>
          <w:right w:w="0" w:type="dxa"/>
        </w:tblCellMar>
      </w:tblPr>
      <w:tr>
        <w:trPr>
          <w:trHeight w:val="148"/>
        </w:trPr>
        <w:tc>
          <w:tcPr>
            <w:tcW w:w="6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927"/>
              <w:spacing w:after="0"/>
              <w:rPr>
                <w:sz w:val="20"/>
                <w:szCs w:val="20"/>
                <w:color w:val="auto"/>
              </w:rPr>
            </w:pPr>
            <w:r>
              <w:rPr>
                <w:rFonts w:ascii="Arial" w:cs="Arial" w:eastAsia="Arial" w:hAnsi="Arial"/>
                <w:sz w:val="12"/>
                <w:szCs w:val="12"/>
                <w:b w:val="1"/>
                <w:bCs w:val="1"/>
                <w:color w:val="auto"/>
                <w:w w:val="89"/>
              </w:rPr>
              <w:t>(in millions)</w:t>
            </w:r>
          </w:p>
        </w:tc>
        <w:tc>
          <w:tcPr>
            <w:tcW w:w="400" w:type="dxa"/>
            <w:vAlign w:val="bottom"/>
            <w:tcBorders>
              <w:bottom w:val="single" w:sz="8" w:color="auto"/>
            </w:tcBorders>
          </w:tcPr>
          <w:p>
            <w:pPr>
              <w:spacing w:after="0"/>
              <w:rPr>
                <w:sz w:val="12"/>
                <w:szCs w:val="12"/>
                <w:color w:val="auto"/>
              </w:rPr>
            </w:pPr>
          </w:p>
        </w:tc>
      </w:tr>
      <w:tr>
        <w:trPr>
          <w:trHeight w:val="141"/>
        </w:trPr>
        <w:tc>
          <w:tcPr>
            <w:tcW w:w="6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June 30, 2021</w:t>
            </w:r>
          </w:p>
        </w:tc>
        <w:tc>
          <w:tcPr>
            <w:tcW w:w="100" w:type="dxa"/>
            <w:vAlign w:val="bottom"/>
          </w:tcPr>
          <w:p>
            <w:pPr>
              <w:spacing w:after="0"/>
              <w:rPr>
                <w:sz w:val="12"/>
                <w:szCs w:val="12"/>
                <w:color w:val="auto"/>
              </w:rPr>
            </w:pPr>
          </w:p>
        </w:tc>
        <w:tc>
          <w:tcPr>
            <w:tcW w:w="150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December 31, 2020</w:t>
            </w:r>
          </w:p>
        </w:tc>
        <w:tc>
          <w:tcPr>
            <w:tcW w:w="400" w:type="dxa"/>
            <w:vAlign w:val="bottom"/>
            <w:tcBorders>
              <w:bottom w:val="single" w:sz="8" w:color="auto"/>
            </w:tcBorders>
          </w:tcPr>
          <w:p>
            <w:pPr>
              <w:spacing w:after="0"/>
              <w:rPr>
                <w:sz w:val="12"/>
                <w:szCs w:val="12"/>
                <w:color w:val="auto"/>
              </w:rPr>
            </w:pPr>
          </w:p>
        </w:tc>
      </w:tr>
      <w:tr>
        <w:trPr>
          <w:trHeight w:val="146"/>
        </w:trPr>
        <w:tc>
          <w:tcPr>
            <w:tcW w:w="6680" w:type="dxa"/>
            <w:vAlign w:val="bottom"/>
          </w:tcPr>
          <w:p>
            <w:pPr>
              <w:spacing w:after="0"/>
              <w:rPr>
                <w:sz w:val="20"/>
                <w:szCs w:val="20"/>
                <w:color w:val="auto"/>
              </w:rPr>
            </w:pPr>
            <w:r>
              <w:rPr>
                <w:rFonts w:ascii="Arial" w:cs="Arial" w:eastAsia="Arial" w:hAnsi="Arial"/>
                <w:sz w:val="12"/>
                <w:szCs w:val="12"/>
                <w:color w:val="auto"/>
              </w:rPr>
              <w:t>Investments in unconsolidated affiliates (equity method of accounting)</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2"/>
                <w:szCs w:val="12"/>
                <w:color w:val="auto"/>
              </w:rPr>
            </w:pPr>
          </w:p>
        </w:tc>
        <w:tc>
          <w:tcPr>
            <w:tcW w:w="1500" w:type="dxa"/>
            <w:vAlign w:val="bottom"/>
          </w:tcPr>
          <w:p>
            <w:pPr>
              <w:jc w:val="right"/>
              <w:ind w:right="1387"/>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 (NAV)</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6680" w:type="dxa"/>
            <w:vAlign w:val="bottom"/>
          </w:tcPr>
          <w:p>
            <w:pPr>
              <w:spacing w:after="0"/>
              <w:rPr>
                <w:sz w:val="20"/>
                <w:szCs w:val="20"/>
                <w:color w:val="auto"/>
              </w:rPr>
            </w:pPr>
            <w:r>
              <w:rPr>
                <w:rFonts w:ascii="Arial" w:cs="Arial" w:eastAsia="Arial" w:hAnsi="Arial"/>
                <w:sz w:val="12"/>
                <w:szCs w:val="12"/>
                <w:color w:val="auto"/>
              </w:rPr>
              <w:t>Investments in unconsolidated affiliates (NAV)</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1,667</w:t>
            </w: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1,148</w:t>
            </w:r>
          </w:p>
        </w:tc>
      </w:tr>
    </w:tbl>
    <w:p>
      <w:pPr>
        <w:spacing w:after="0" w:line="335"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For investments for which NAV is used as a practical expedient for fair value, we do not have any significant restrictions in our ability to liquidate their positions in these investments, other than obtaining general partner approval, nor do we believe it is probable a price less than NAV would be received in the event of a liquidation. Equity method investments are reported on a lag of up to three months for investee information not received timely.</w:t>
      </w:r>
    </w:p>
    <w:p>
      <w:pPr>
        <w:spacing w:after="0" w:line="46" w:lineRule="exact"/>
        <w:rPr>
          <w:sz w:val="20"/>
          <w:szCs w:val="20"/>
          <w:color w:val="auto"/>
        </w:rPr>
      </w:pPr>
    </w:p>
    <w:p>
      <w:pPr>
        <w:jc w:val="both"/>
        <w:ind w:firstLine="330"/>
        <w:spacing w:after="0" w:line="311" w:lineRule="auto"/>
        <w:rPr>
          <w:sz w:val="20"/>
          <w:szCs w:val="20"/>
          <w:color w:val="auto"/>
        </w:rPr>
      </w:pPr>
      <w:r>
        <w:rPr>
          <w:rFonts w:ascii="Arial" w:cs="Arial" w:eastAsia="Arial" w:hAnsi="Arial"/>
          <w:sz w:val="13"/>
          <w:szCs w:val="13"/>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D — Investments</w:t>
      </w:r>
    </w:p>
    <w:p>
      <w:pPr>
        <w:spacing w:after="0" w:line="139" w:lineRule="exact"/>
        <w:rPr>
          <w:sz w:val="20"/>
          <w:szCs w:val="20"/>
          <w:color w:val="auto"/>
        </w:rPr>
      </w:pPr>
    </w:p>
    <w:p>
      <w:pPr>
        <w:jc w:val="both"/>
        <w:ind w:firstLine="330"/>
        <w:spacing w:after="0" w:line="311" w:lineRule="auto"/>
        <w:rPr>
          <w:sz w:val="20"/>
          <w:szCs w:val="20"/>
          <w:color w:val="auto"/>
        </w:rPr>
      </w:pPr>
      <w:r>
        <w:rPr>
          <w:rFonts w:ascii="Arial" w:cs="Arial" w:eastAsia="Arial" w:hAnsi="Arial"/>
          <w:sz w:val="13"/>
          <w:szCs w:val="13"/>
          <w:color w:val="auto"/>
        </w:rPr>
        <w:t>Our fixed maturity securities investments have been designated as available-for-sale and are carried at fair value, net of allowance for expected credit losses, with unrealized gains and losses included in AOCI, net of associated adjustments for DAC, VOBA, DSI, UREV, SOP 03-1 reserves, and deferred income taxes. Our equity securities investments are carried at fair value with unrealized gains and losses included in net earnings. The Company’s consolidated investments at June 30, 2021 and December 31, 2020 are summarized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2"/>
                <w:szCs w:val="12"/>
                <w:b w:val="1"/>
                <w:bCs w:val="1"/>
                <w:color w:val="auto"/>
              </w:rPr>
              <w:t>June 30, 2021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Amortized Cost</w:t>
            </w:r>
          </w:p>
        </w:tc>
        <w:tc>
          <w:tcPr>
            <w:tcW w:w="1380" w:type="dxa"/>
            <w:vAlign w:val="bottom"/>
            <w:gridSpan w:val="3"/>
          </w:tcPr>
          <w:p>
            <w:pPr>
              <w:ind w:left="60"/>
              <w:spacing w:after="0" w:line="106" w:lineRule="exact"/>
              <w:rPr>
                <w:sz w:val="20"/>
                <w:szCs w:val="20"/>
                <w:color w:val="auto"/>
              </w:rPr>
            </w:pPr>
            <w:r>
              <w:rPr>
                <w:rFonts w:ascii="Arial" w:cs="Arial" w:eastAsia="Arial" w:hAnsi="Arial"/>
                <w:sz w:val="12"/>
                <w:szCs w:val="12"/>
                <w:b w:val="1"/>
                <w:bCs w:val="1"/>
                <w:color w:val="auto"/>
                <w:w w:val="95"/>
              </w:rPr>
              <w:t>Allowance for Expected</w:t>
            </w:r>
          </w:p>
        </w:tc>
        <w:tc>
          <w:tcPr>
            <w:tcW w:w="14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97"/>
              </w:rPr>
              <w:t>Gross Unrealized Gains</w:t>
            </w: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w w:val="87"/>
              </w:rPr>
              <w:t>Gross Unrealized Losses</w:t>
            </w:r>
          </w:p>
        </w:tc>
        <w:tc>
          <w:tcPr>
            <w:tcW w:w="240" w:type="dxa"/>
            <w:vAlign w:val="bottom"/>
          </w:tcPr>
          <w:p>
            <w:pPr>
              <w:spacing w:after="0"/>
              <w:rPr>
                <w:sz w:val="9"/>
                <w:szCs w:val="9"/>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80" w:type="dxa"/>
            <w:vAlign w:val="bottom"/>
          </w:tcPr>
          <w:p>
            <w:pPr>
              <w:spacing w:after="0"/>
              <w:rPr>
                <w:sz w:val="9"/>
                <w:szCs w:val="9"/>
                <w:color w:val="auto"/>
              </w:rPr>
            </w:pPr>
          </w:p>
        </w:tc>
        <w:tc>
          <w:tcPr>
            <w:tcW w:w="1140" w:type="dxa"/>
            <w:vAlign w:val="bottom"/>
            <w:vMerge w:val="restart"/>
          </w:tcPr>
          <w:p>
            <w:pPr>
              <w:jc w:val="right"/>
              <w:ind w:right="221"/>
              <w:spacing w:after="0"/>
              <w:rPr>
                <w:sz w:val="20"/>
                <w:szCs w:val="20"/>
                <w:color w:val="auto"/>
              </w:rPr>
            </w:pPr>
            <w:r>
              <w:rPr>
                <w:rFonts w:ascii="Arial" w:cs="Arial" w:eastAsia="Arial" w:hAnsi="Arial"/>
                <w:sz w:val="12"/>
                <w:szCs w:val="12"/>
                <w:b w:val="1"/>
                <w:bCs w:val="1"/>
                <w:color w:val="auto"/>
                <w:w w:val="99"/>
              </w:rPr>
              <w:t>Carrying Value</w:t>
            </w: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Credit Losses</w:t>
            </w:r>
          </w:p>
        </w:tc>
        <w:tc>
          <w:tcPr>
            <w:tcW w:w="1400" w:type="dxa"/>
            <w:vAlign w:val="bottom"/>
            <w:gridSpan w:val="3"/>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Available-for-sale securities</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7,103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1"/>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7,404</w:t>
            </w:r>
          </w:p>
        </w:tc>
        <w:tc>
          <w:tcPr>
            <w:tcW w:w="0" w:type="dxa"/>
            <w:vAlign w:val="bottom"/>
          </w:tcPr>
          <w:p>
            <w:pPr>
              <w:spacing w:after="0"/>
              <w:rPr>
                <w:sz w:val="1"/>
                <w:szCs w:val="1"/>
                <w:color w:val="auto"/>
              </w:rPr>
            </w:pPr>
          </w:p>
        </w:tc>
      </w:tr>
      <w:tr>
        <w:trPr>
          <w:trHeight w:val="151"/>
        </w:trPr>
        <w:tc>
          <w:tcPr>
            <w:tcW w:w="2940" w:type="dxa"/>
            <w:vAlign w:val="bottom"/>
          </w:tcPr>
          <w:p>
            <w:pPr>
              <w:ind w:left="20"/>
              <w:spacing w:after="0"/>
              <w:rPr>
                <w:sz w:val="20"/>
                <w:szCs w:val="20"/>
                <w:color w:val="auto"/>
              </w:rPr>
            </w:pPr>
            <w:r>
              <w:rPr>
                <w:rFonts w:ascii="Arial" w:cs="Arial" w:eastAsia="Arial" w:hAnsi="Arial"/>
                <w:sz w:val="12"/>
                <w:szCs w:val="12"/>
                <w:color w:val="auto"/>
              </w:rPr>
              <w:t>Commercial mortgage-backed securities</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2,518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2,946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2,946</w:t>
            </w: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13,865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14,691</w:t>
            </w:r>
          </w:p>
        </w:tc>
        <w:tc>
          <w:tcPr>
            <w:tcW w:w="0" w:type="dxa"/>
            <w:vAlign w:val="bottom"/>
          </w:tcPr>
          <w:p>
            <w:pPr>
              <w:spacing w:after="0"/>
              <w:rPr>
                <w:sz w:val="1"/>
                <w:szCs w:val="1"/>
                <w:color w:val="auto"/>
              </w:rPr>
            </w:pPr>
          </w:p>
        </w:tc>
      </w:tr>
      <w:tr>
        <w:trPr>
          <w:trHeight w:val="151"/>
        </w:trPr>
        <w:tc>
          <w:tcPr>
            <w:tcW w:w="2940" w:type="dxa"/>
            <w:vAlign w:val="bottom"/>
          </w:tcPr>
          <w:p>
            <w:pPr>
              <w:ind w:left="20"/>
              <w:spacing w:after="0"/>
              <w:rPr>
                <w:sz w:val="20"/>
                <w:szCs w:val="20"/>
                <w:color w:val="auto"/>
              </w:rPr>
            </w:pPr>
            <w:r>
              <w:rPr>
                <w:rFonts w:ascii="Arial" w:cs="Arial" w:eastAsia="Arial" w:hAnsi="Arial"/>
                <w:sz w:val="12"/>
                <w:szCs w:val="12"/>
                <w:color w:val="auto"/>
              </w:rPr>
              <w:t>Hybrids</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964</w:t>
            </w: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1,446</w:t>
            </w:r>
          </w:p>
        </w:tc>
        <w:tc>
          <w:tcPr>
            <w:tcW w:w="0" w:type="dxa"/>
            <w:vAlign w:val="bottom"/>
          </w:tcPr>
          <w:p>
            <w:pPr>
              <w:spacing w:after="0"/>
              <w:rPr>
                <w:sz w:val="1"/>
                <w:szCs w:val="1"/>
                <w:color w:val="auto"/>
              </w:rPr>
            </w:pPr>
          </w:p>
        </w:tc>
      </w:tr>
      <w:tr>
        <w:trPr>
          <w:trHeight w:val="151"/>
        </w:trPr>
        <w:tc>
          <w:tcPr>
            <w:tcW w:w="2940" w:type="dxa"/>
            <w:vAlign w:val="bottom"/>
          </w:tcPr>
          <w:p>
            <w:pPr>
              <w:ind w:left="20"/>
              <w:spacing w:after="0"/>
              <w:rPr>
                <w:sz w:val="20"/>
                <w:szCs w:val="20"/>
                <w:color w:val="auto"/>
              </w:rPr>
            </w:pPr>
            <w:r>
              <w:rPr>
                <w:rFonts w:ascii="Arial" w:cs="Arial" w:eastAsia="Arial" w:hAnsi="Arial"/>
                <w:sz w:val="12"/>
                <w:szCs w:val="12"/>
                <w:color w:val="auto"/>
              </w:rPr>
              <w:t>Residential mortgage-backed securities</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773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801</w:t>
            </w: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Government</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1,059</w:t>
            </w:r>
          </w:p>
        </w:tc>
        <w:tc>
          <w:tcPr>
            <w:tcW w:w="0" w:type="dxa"/>
            <w:vAlign w:val="bottom"/>
          </w:tcPr>
          <w:p>
            <w:pPr>
              <w:spacing w:after="0"/>
              <w:rPr>
                <w:sz w:val="1"/>
                <w:szCs w:val="1"/>
                <w:color w:val="auto"/>
              </w:rPr>
            </w:pPr>
          </w:p>
        </w:tc>
      </w:tr>
      <w:tr>
        <w:trPr>
          <w:trHeight w:val="151"/>
        </w:trPr>
        <w:tc>
          <w:tcPr>
            <w:tcW w:w="2940" w:type="dxa"/>
            <w:vAlign w:val="bottom"/>
          </w:tcPr>
          <w:p>
            <w:pPr>
              <w:ind w:left="20"/>
              <w:spacing w:after="0"/>
              <w:rPr>
                <w:sz w:val="20"/>
                <w:szCs w:val="20"/>
                <w:color w:val="auto"/>
              </w:rPr>
            </w:pPr>
            <w:r>
              <w:rPr>
                <w:rFonts w:ascii="Arial" w:cs="Arial" w:eastAsia="Arial" w:hAnsi="Arial"/>
                <w:sz w:val="12"/>
                <w:szCs w:val="12"/>
                <w:color w:val="auto"/>
              </w:rPr>
              <w:t>Foreign Governments</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73"/>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available-for-sale securities</w:t>
            </w: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27,758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29,511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2"/>
                <w:szCs w:val="12"/>
                <w:b w:val="1"/>
                <w:bCs w:val="1"/>
                <w:color w:val="auto"/>
              </w:rPr>
              <w:t>December 31, 2020</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Amortized Cost</w:t>
            </w:r>
          </w:p>
        </w:tc>
        <w:tc>
          <w:tcPr>
            <w:tcW w:w="1380" w:type="dxa"/>
            <w:vAlign w:val="bottom"/>
            <w:gridSpan w:val="3"/>
          </w:tcPr>
          <w:p>
            <w:pPr>
              <w:ind w:left="60"/>
              <w:spacing w:after="0" w:line="106" w:lineRule="exact"/>
              <w:rPr>
                <w:sz w:val="20"/>
                <w:szCs w:val="20"/>
                <w:color w:val="auto"/>
              </w:rPr>
            </w:pPr>
            <w:r>
              <w:rPr>
                <w:rFonts w:ascii="Arial" w:cs="Arial" w:eastAsia="Arial" w:hAnsi="Arial"/>
                <w:sz w:val="12"/>
                <w:szCs w:val="12"/>
                <w:b w:val="1"/>
                <w:bCs w:val="1"/>
                <w:color w:val="auto"/>
                <w:w w:val="95"/>
              </w:rPr>
              <w:t>Allowance for Expected</w:t>
            </w:r>
          </w:p>
        </w:tc>
        <w:tc>
          <w:tcPr>
            <w:tcW w:w="14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7"/>
              </w:rPr>
              <w:t>Gross Unrealized Gains</w:t>
            </w: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w w:val="87"/>
              </w:rPr>
              <w:t>Gross Unrealized Losses</w:t>
            </w:r>
          </w:p>
        </w:tc>
        <w:tc>
          <w:tcPr>
            <w:tcW w:w="240" w:type="dxa"/>
            <w:vAlign w:val="bottom"/>
          </w:tcPr>
          <w:p>
            <w:pPr>
              <w:spacing w:after="0"/>
              <w:rPr>
                <w:sz w:val="9"/>
                <w:szCs w:val="9"/>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80" w:type="dxa"/>
            <w:vAlign w:val="bottom"/>
          </w:tcPr>
          <w:p>
            <w:pPr>
              <w:spacing w:after="0"/>
              <w:rPr>
                <w:sz w:val="9"/>
                <w:szCs w:val="9"/>
                <w:color w:val="auto"/>
              </w:rPr>
            </w:pPr>
          </w:p>
        </w:tc>
        <w:tc>
          <w:tcPr>
            <w:tcW w:w="1140" w:type="dxa"/>
            <w:vAlign w:val="bottom"/>
            <w:vMerge w:val="restart"/>
          </w:tcPr>
          <w:p>
            <w:pPr>
              <w:jc w:val="right"/>
              <w:ind w:right="221"/>
              <w:spacing w:after="0"/>
              <w:rPr>
                <w:sz w:val="20"/>
                <w:szCs w:val="20"/>
                <w:color w:val="auto"/>
              </w:rPr>
            </w:pPr>
            <w:r>
              <w:rPr>
                <w:rFonts w:ascii="Arial" w:cs="Arial" w:eastAsia="Arial" w:hAnsi="Arial"/>
                <w:sz w:val="12"/>
                <w:szCs w:val="12"/>
                <w:b w:val="1"/>
                <w:bCs w:val="1"/>
                <w:color w:val="auto"/>
                <w:w w:val="99"/>
              </w:rPr>
              <w:t>Carrying Value</w:t>
            </w:r>
          </w:p>
        </w:tc>
        <w:tc>
          <w:tcPr>
            <w:tcW w:w="0" w:type="dxa"/>
            <w:vAlign w:val="bottom"/>
          </w:tcPr>
          <w:p>
            <w:pPr>
              <w:spacing w:after="0"/>
              <w:rPr>
                <w:sz w:val="1"/>
                <w:szCs w:val="1"/>
                <w:color w:val="auto"/>
              </w:rPr>
            </w:pPr>
          </w:p>
        </w:tc>
      </w:tr>
      <w:tr>
        <w:trPr>
          <w:trHeight w:val="150"/>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Credit Losses</w:t>
            </w:r>
          </w:p>
        </w:tc>
        <w:tc>
          <w:tcPr>
            <w:tcW w:w="1420" w:type="dxa"/>
            <w:vAlign w:val="bottom"/>
            <w:gridSpan w:val="3"/>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Available-for-sale securities</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61"/>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6,266</w:t>
            </w:r>
          </w:p>
        </w:tc>
        <w:tc>
          <w:tcPr>
            <w:tcW w:w="0" w:type="dxa"/>
            <w:vAlign w:val="bottom"/>
          </w:tcPr>
          <w:p>
            <w:pPr>
              <w:spacing w:after="0"/>
              <w:rPr>
                <w:sz w:val="1"/>
                <w:szCs w:val="1"/>
                <w:color w:val="auto"/>
              </w:rPr>
            </w:pPr>
          </w:p>
        </w:tc>
      </w:tr>
      <w:tr>
        <w:trPr>
          <w:trHeight w:val="151"/>
        </w:trPr>
        <w:tc>
          <w:tcPr>
            <w:tcW w:w="2920" w:type="dxa"/>
            <w:vAlign w:val="bottom"/>
          </w:tcPr>
          <w:p>
            <w:pPr>
              <w:ind w:left="20"/>
              <w:spacing w:after="0"/>
              <w:rPr>
                <w:sz w:val="20"/>
                <w:szCs w:val="20"/>
                <w:color w:val="auto"/>
              </w:rPr>
            </w:pPr>
            <w:r>
              <w:rPr>
                <w:rFonts w:ascii="Arial" w:cs="Arial" w:eastAsia="Arial" w:hAnsi="Arial"/>
                <w:sz w:val="12"/>
                <w:szCs w:val="12"/>
                <w:color w:val="auto"/>
                <w:w w:val="99"/>
              </w:rPr>
              <w:t>Commercial mortgage-backed/asset-backed securities</w:t>
            </w: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2,490</w:t>
            </w:r>
          </w:p>
        </w:tc>
        <w:tc>
          <w:tcPr>
            <w:tcW w:w="100" w:type="dxa"/>
            <w:vAlign w:val="bottom"/>
          </w:tcPr>
          <w:p>
            <w:pPr>
              <w:spacing w:after="0"/>
              <w:rPr>
                <w:sz w:val="13"/>
                <w:szCs w:val="13"/>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361"/>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780" w:type="dxa"/>
            <w:vAlign w:val="bottom"/>
          </w:tcPr>
          <w:p>
            <w:pPr>
              <w:jc w:val="right"/>
              <w:ind w:right="641"/>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2,829</w:t>
            </w: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2,829</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Corporates</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13,582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14,735</w:t>
            </w:r>
          </w:p>
        </w:tc>
        <w:tc>
          <w:tcPr>
            <w:tcW w:w="0" w:type="dxa"/>
            <w:vAlign w:val="bottom"/>
          </w:tcPr>
          <w:p>
            <w:pPr>
              <w:spacing w:after="0"/>
              <w:rPr>
                <w:sz w:val="1"/>
                <w:szCs w:val="1"/>
                <w:color w:val="auto"/>
              </w:rPr>
            </w:pPr>
          </w:p>
        </w:tc>
      </w:tr>
      <w:tr>
        <w:trPr>
          <w:trHeight w:val="151"/>
        </w:trPr>
        <w:tc>
          <w:tcPr>
            <w:tcW w:w="2920" w:type="dxa"/>
            <w:vAlign w:val="bottom"/>
          </w:tcPr>
          <w:p>
            <w:pPr>
              <w:ind w:left="20"/>
              <w:spacing w:after="0"/>
              <w:rPr>
                <w:sz w:val="20"/>
                <w:szCs w:val="20"/>
                <w:color w:val="auto"/>
              </w:rPr>
            </w:pPr>
            <w:r>
              <w:rPr>
                <w:rFonts w:ascii="Arial" w:cs="Arial" w:eastAsia="Arial" w:hAnsi="Arial"/>
                <w:sz w:val="12"/>
                <w:szCs w:val="12"/>
                <w:color w:val="auto"/>
              </w:rPr>
              <w:t>Hybrids</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994</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Municipals</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1,403</w:t>
            </w:r>
          </w:p>
        </w:tc>
        <w:tc>
          <w:tcPr>
            <w:tcW w:w="0" w:type="dxa"/>
            <w:vAlign w:val="bottom"/>
          </w:tcPr>
          <w:p>
            <w:pPr>
              <w:spacing w:after="0"/>
              <w:rPr>
                <w:sz w:val="1"/>
                <w:szCs w:val="1"/>
                <w:color w:val="auto"/>
              </w:rPr>
            </w:pPr>
          </w:p>
        </w:tc>
      </w:tr>
      <w:tr>
        <w:trPr>
          <w:trHeight w:val="151"/>
        </w:trPr>
        <w:tc>
          <w:tcPr>
            <w:tcW w:w="2920" w:type="dxa"/>
            <w:vAlign w:val="bottom"/>
          </w:tcPr>
          <w:p>
            <w:pPr>
              <w:ind w:left="20"/>
              <w:spacing w:after="0"/>
              <w:rPr>
                <w:sz w:val="20"/>
                <w:szCs w:val="20"/>
                <w:color w:val="auto"/>
              </w:rPr>
            </w:pPr>
            <w:r>
              <w:rPr>
                <w:rFonts w:ascii="Arial" w:cs="Arial" w:eastAsia="Arial" w:hAnsi="Arial"/>
                <w:sz w:val="12"/>
                <w:szCs w:val="12"/>
                <w:color w:val="auto"/>
              </w:rPr>
              <w:t>Residential mortgage-backed securities</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Government</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51"/>
        </w:trPr>
        <w:tc>
          <w:tcPr>
            <w:tcW w:w="2920" w:type="dxa"/>
            <w:vAlign w:val="bottom"/>
          </w:tcPr>
          <w:p>
            <w:pPr>
              <w:ind w:left="20"/>
              <w:spacing w:after="0"/>
              <w:rPr>
                <w:sz w:val="20"/>
                <w:szCs w:val="20"/>
                <w:color w:val="auto"/>
              </w:rPr>
            </w:pPr>
            <w:r>
              <w:rPr>
                <w:rFonts w:ascii="Arial" w:cs="Arial" w:eastAsia="Arial" w:hAnsi="Arial"/>
                <w:sz w:val="12"/>
                <w:szCs w:val="12"/>
                <w:color w:val="auto"/>
              </w:rPr>
              <w:t>Foreign Governments</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73"/>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25,577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27,587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27,587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Securities held on deposit with various state regulatory authorities had a fair value of $17,979 million and $16,714 million at June 30, 2021 and December 31, 2020, respectively.</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June 30, 2021 and December 31, 2020, the Company held no material investments that were non-income producing for a period greater than twelve months.</w:t>
      </w:r>
    </w:p>
    <w:p>
      <w:pPr>
        <w:spacing w:after="0" w:line="113"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As of June 30, 2021 and December 31, 2020, the Company's accrued interest receivable balance was $235 million. Accrued interest receivable is classified within Prepaid expenses and other assets within the unaudited Condensed Consolidated Balance Sheets.</w:t>
      </w:r>
    </w:p>
    <w:p>
      <w:pPr>
        <w:spacing w:after="0" w:line="71" w:lineRule="exact"/>
        <w:rPr>
          <w:sz w:val="20"/>
          <w:szCs w:val="20"/>
          <w:color w:val="auto"/>
        </w:rPr>
      </w:pPr>
    </w:p>
    <w:p>
      <w:pPr>
        <w:jc w:val="both"/>
        <w:ind w:firstLine="330"/>
        <w:spacing w:after="0" w:line="341" w:lineRule="auto"/>
        <w:rPr>
          <w:sz w:val="20"/>
          <w:szCs w:val="20"/>
          <w:color w:val="auto"/>
        </w:rPr>
      </w:pPr>
      <w:r>
        <w:rPr>
          <w:rFonts w:ascii="Arial" w:cs="Arial" w:eastAsia="Arial" w:hAnsi="Arial"/>
          <w:sz w:val="13"/>
          <w:szCs w:val="13"/>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$2,256 million and $1,622 million as of June 30, 2021 and December 31, 2020,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The amortized cost and fair value of fixed maturity available-for-sale securities by contractual maturities, as applicable, are shown below. Actual maturities may differ from contractual maturities because issuers may have the right to call or prepay obligations.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gridSpan w:val="3"/>
          </w:tcPr>
          <w:p>
            <w:pPr>
              <w:jc w:val="right"/>
              <w:ind w:right="101"/>
              <w:spacing w:after="0"/>
              <w:rPr>
                <w:sz w:val="20"/>
                <w:szCs w:val="20"/>
                <w:color w:val="auto"/>
              </w:rPr>
            </w:pPr>
            <w:r>
              <w:rPr>
                <w:rFonts w:ascii="Arial" w:cs="Arial" w:eastAsia="Arial" w:hAnsi="Arial"/>
                <w:sz w:val="12"/>
                <w:szCs w:val="12"/>
                <w:b w:val="1"/>
                <w:bCs w:val="1"/>
                <w:color w:val="auto"/>
                <w:w w:val="97"/>
              </w:rPr>
              <w:t>June 30, 2021</w:t>
            </w:r>
          </w:p>
        </w:tc>
        <w:tc>
          <w:tcPr>
            <w:tcW w:w="1200" w:type="dxa"/>
            <w:vAlign w:val="bottom"/>
          </w:tcPr>
          <w:p>
            <w:pPr>
              <w:spacing w:after="0"/>
              <w:rPr>
                <w:sz w:val="13"/>
                <w:szCs w:val="13"/>
                <w:color w:val="auto"/>
              </w:rPr>
            </w:pPr>
          </w:p>
        </w:tc>
      </w:tr>
      <w:tr>
        <w:trPr>
          <w:trHeight w:val="159"/>
        </w:trPr>
        <w:tc>
          <w:tcPr>
            <w:tcW w:w="79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2"/>
                <w:szCs w:val="12"/>
                <w:b w:val="1"/>
                <w:bCs w:val="1"/>
                <w:color w:val="auto"/>
              </w:rPr>
              <w:t>(in millions)</w:t>
            </w:r>
          </w:p>
        </w:tc>
        <w:tc>
          <w:tcPr>
            <w:tcW w:w="1200" w:type="dxa"/>
            <w:vAlign w:val="bottom"/>
            <w:tcBorders>
              <w:bottom w:val="single" w:sz="8" w:color="auto"/>
            </w:tcBorders>
          </w:tcPr>
          <w:p>
            <w:pPr>
              <w:spacing w:after="0"/>
              <w:rPr>
                <w:sz w:val="13"/>
                <w:szCs w:val="13"/>
                <w:color w:val="auto"/>
              </w:rPr>
            </w:pPr>
          </w:p>
        </w:tc>
      </w:tr>
      <w:tr>
        <w:trPr>
          <w:trHeight w:val="148"/>
        </w:trPr>
        <w:tc>
          <w:tcPr>
            <w:tcW w:w="79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Amortized Cost</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color w:val="auto"/>
              </w:rPr>
              <w:t>Fair Value</w:t>
            </w:r>
          </w:p>
        </w:tc>
      </w:tr>
      <w:tr>
        <w:trPr>
          <w:trHeight w:val="136"/>
        </w:trPr>
        <w:tc>
          <w:tcPr>
            <w:tcW w:w="79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Corporates, Non-structured Hybrids, Municipal and Government securities:</w:t>
            </w:r>
          </w:p>
        </w:tc>
        <w:tc>
          <w:tcPr>
            <w:tcW w:w="1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Due in one year or less</w:t>
            </w:r>
          </w:p>
        </w:tc>
        <w:tc>
          <w:tcPr>
            <w:tcW w:w="1240" w:type="dxa"/>
            <w:vAlign w:val="bottom"/>
          </w:tcPr>
          <w:p>
            <w:pPr>
              <w:jc w:val="right"/>
              <w:ind w:right="1129"/>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456</w:t>
            </w:r>
          </w:p>
        </w:tc>
        <w:tc>
          <w:tcPr>
            <w:tcW w:w="100" w:type="dxa"/>
            <w:vAlign w:val="bottom"/>
          </w:tcPr>
          <w:p>
            <w:pPr>
              <w:spacing w:after="0"/>
              <w:rPr>
                <w:sz w:val="13"/>
                <w:szCs w:val="13"/>
                <w:color w:val="auto"/>
              </w:rPr>
            </w:pPr>
          </w:p>
        </w:tc>
        <w:tc>
          <w:tcPr>
            <w:tcW w:w="440" w:type="dxa"/>
            <w:vAlign w:val="bottom"/>
          </w:tcPr>
          <w:p>
            <w:pPr>
              <w:jc w:val="right"/>
              <w:ind w:right="301"/>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455</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Due after one year through five years</w:t>
            </w:r>
          </w:p>
        </w:tc>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2,761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2,875</w:t>
            </w: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Due after five years through ten years</w:t>
            </w:r>
          </w:p>
        </w:tc>
        <w:tc>
          <w:tcPr>
            <w:tcW w:w="1240" w:type="dxa"/>
            <w:vAlign w:val="bottom"/>
          </w:tcPr>
          <w:p>
            <w:pPr>
              <w:spacing w:after="0"/>
              <w:rPr>
                <w:sz w:val="13"/>
                <w:szCs w:val="13"/>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2,126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2,235</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Due after ten years</w:t>
            </w:r>
          </w:p>
        </w:tc>
        <w:tc>
          <w:tcPr>
            <w:tcW w:w="12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7"/>
              </w:rPr>
              <w:t>11,995</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12,762</w:t>
            </w:r>
          </w:p>
        </w:tc>
      </w:tr>
      <w:tr>
        <w:trPr>
          <w:trHeight w:val="142"/>
        </w:trPr>
        <w:tc>
          <w:tcPr>
            <w:tcW w:w="79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Subtotal</w:t>
            </w:r>
          </w:p>
        </w:tc>
        <w:tc>
          <w:tcPr>
            <w:tcW w:w="1240" w:type="dxa"/>
            <w:vAlign w:val="bottom"/>
          </w:tcPr>
          <w:p>
            <w:pPr>
              <w:spacing w:after="0"/>
              <w:rPr>
                <w:sz w:val="12"/>
                <w:szCs w:val="12"/>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w w:val="87"/>
              </w:rPr>
              <w:t>17,338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18,327</w:t>
            </w:r>
          </w:p>
        </w:tc>
      </w:tr>
      <w:tr>
        <w:trPr>
          <w:trHeight w:val="157"/>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securities which provide for periodic payments:</w:t>
            </w:r>
          </w:p>
        </w:tc>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Asset-backed securities</w:t>
            </w:r>
          </w:p>
        </w:tc>
        <w:tc>
          <w:tcPr>
            <w:tcW w:w="1240" w:type="dxa"/>
            <w:vAlign w:val="bottom"/>
          </w:tcPr>
          <w:p>
            <w:pPr>
              <w:spacing w:after="0"/>
              <w:rPr>
                <w:sz w:val="13"/>
                <w:szCs w:val="13"/>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7,103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7,404</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Commercial mortgage-backed securities</w:t>
            </w:r>
          </w:p>
        </w:tc>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2,518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2,946</w:t>
            </w: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Structured hybrids</w:t>
            </w:r>
          </w:p>
        </w:tc>
        <w:tc>
          <w:tcPr>
            <w:tcW w:w="1240" w:type="dxa"/>
            <w:vAlign w:val="bottom"/>
          </w:tcPr>
          <w:p>
            <w:pPr>
              <w:spacing w:after="0"/>
              <w:rPr>
                <w:sz w:val="13"/>
                <w:szCs w:val="13"/>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33</w:t>
            </w:r>
          </w:p>
        </w:tc>
      </w:tr>
      <w:tr>
        <w:trPr>
          <w:trHeight w:val="15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Residential mortgage-backed securities</w:t>
            </w:r>
          </w:p>
        </w:tc>
        <w:tc>
          <w:tcPr>
            <w:tcW w:w="12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773</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801</w:t>
            </w:r>
          </w:p>
        </w:tc>
      </w:tr>
      <w:tr>
        <w:trPr>
          <w:trHeight w:val="142"/>
        </w:trPr>
        <w:tc>
          <w:tcPr>
            <w:tcW w:w="7900" w:type="dxa"/>
            <w:vAlign w:val="bottom"/>
            <w:tcBorders>
              <w:bottom w:val="single" w:sz="8" w:color="CCEEFF"/>
            </w:tcBorders>
          </w:tcPr>
          <w:p>
            <w:pPr>
              <w:ind w:left="280"/>
              <w:spacing w:after="0" w:line="135" w:lineRule="exact"/>
              <w:rPr>
                <w:sz w:val="20"/>
                <w:szCs w:val="20"/>
                <w:color w:val="auto"/>
              </w:rPr>
            </w:pPr>
            <w:r>
              <w:rPr>
                <w:rFonts w:ascii="Arial" w:cs="Arial" w:eastAsia="Arial" w:hAnsi="Arial"/>
                <w:sz w:val="12"/>
                <w:szCs w:val="12"/>
                <w:b w:val="1"/>
                <w:bCs w:val="1"/>
                <w:color w:val="auto"/>
              </w:rPr>
              <w:t>Subtotal</w:t>
            </w:r>
          </w:p>
        </w:tc>
        <w:tc>
          <w:tcPr>
            <w:tcW w:w="1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7"/>
              </w:rPr>
              <w:t>10,420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11,184</w:t>
            </w:r>
          </w:p>
        </w:tc>
      </w:tr>
      <w:tr>
        <w:trPr>
          <w:trHeight w:val="173"/>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fixed maturity available-for-sale securities</w:t>
            </w:r>
          </w:p>
        </w:tc>
        <w:tc>
          <w:tcPr>
            <w:tcW w:w="124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7"/>
              </w:rPr>
              <w:t>27,758</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29,511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Expected Credit Loss</w:t>
      </w:r>
    </w:p>
    <w:p>
      <w:pPr>
        <w:spacing w:after="0" w:line="113"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We regularly review available for sale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1" w:lineRule="exact"/>
        <w:rPr>
          <w:sz w:val="20"/>
          <w:szCs w:val="20"/>
          <w:color w:val="auto"/>
        </w:rPr>
      </w:pPr>
    </w:p>
    <w:p>
      <w:pPr>
        <w:ind w:left="540" w:hanging="268"/>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extent to which the fair value is less than the amortized cost basis;</w:t>
      </w:r>
    </w:p>
    <w:p>
      <w:pPr>
        <w:spacing w:after="0" w:line="102" w:lineRule="exact"/>
        <w:rPr>
          <w:rFonts w:ascii="Arial" w:cs="Arial" w:eastAsia="Arial" w:hAnsi="Arial"/>
          <w:sz w:val="15"/>
          <w:szCs w:val="15"/>
          <w:color w:val="auto"/>
        </w:rPr>
      </w:pPr>
    </w:p>
    <w:p>
      <w:pPr>
        <w:ind w:left="540" w:hanging="268"/>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reasons for the decline in value (credit event, currency or interest-rate related, including general credit spread widening);</w:t>
      </w:r>
    </w:p>
    <w:p>
      <w:pPr>
        <w:spacing w:after="0" w:line="113" w:lineRule="exact"/>
        <w:rPr>
          <w:rFonts w:ascii="Arial" w:cs="Arial" w:eastAsia="Arial" w:hAnsi="Arial"/>
          <w:sz w:val="15"/>
          <w:szCs w:val="15"/>
          <w:color w:val="auto"/>
        </w:rPr>
      </w:pPr>
    </w:p>
    <w:p>
      <w:pPr>
        <w:ind w:left="540" w:hanging="268"/>
        <w:spacing w:after="0" w:line="264"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financial condition of and near-term prospects of the issuer (including issuer's current credit rating and the probability of full recovery of principal based upon the issuer's financial strength);</w:t>
      </w:r>
    </w:p>
    <w:p>
      <w:pPr>
        <w:spacing w:after="0" w:line="70" w:lineRule="exact"/>
        <w:rPr>
          <w:rFonts w:ascii="Arial" w:cs="Arial" w:eastAsia="Arial" w:hAnsi="Arial"/>
          <w:sz w:val="15"/>
          <w:szCs w:val="15"/>
          <w:color w:val="auto"/>
        </w:rPr>
      </w:pPr>
    </w:p>
    <w:p>
      <w:pPr>
        <w:ind w:left="540" w:hanging="268"/>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Delinquencies and nonperforming assets of underlying collateral;</w:t>
      </w:r>
    </w:p>
    <w:p>
      <w:pPr>
        <w:spacing w:after="0" w:line="102" w:lineRule="exact"/>
        <w:rPr>
          <w:rFonts w:ascii="Arial" w:cs="Arial" w:eastAsia="Arial" w:hAnsi="Arial"/>
          <w:sz w:val="15"/>
          <w:szCs w:val="15"/>
          <w:color w:val="auto"/>
        </w:rPr>
      </w:pPr>
    </w:p>
    <w:p>
      <w:pPr>
        <w:ind w:left="540" w:hanging="268"/>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Expected future default rates;</w:t>
      </w:r>
    </w:p>
    <w:p>
      <w:pPr>
        <w:spacing w:after="0" w:line="113" w:lineRule="exact"/>
        <w:rPr>
          <w:rFonts w:ascii="Arial" w:cs="Arial" w:eastAsia="Arial" w:hAnsi="Arial"/>
          <w:sz w:val="15"/>
          <w:szCs w:val="15"/>
          <w:color w:val="auto"/>
        </w:rPr>
      </w:pPr>
    </w:p>
    <w:p>
      <w:pPr>
        <w:ind w:left="540" w:hanging="268"/>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Collateral value by vintage, geographic region, industry concentration or property type;</w:t>
      </w:r>
    </w:p>
    <w:p>
      <w:pPr>
        <w:spacing w:after="0" w:line="102" w:lineRule="exact"/>
        <w:rPr>
          <w:rFonts w:ascii="Arial" w:cs="Arial" w:eastAsia="Arial" w:hAnsi="Arial"/>
          <w:sz w:val="15"/>
          <w:szCs w:val="15"/>
          <w:color w:val="auto"/>
        </w:rPr>
      </w:pPr>
    </w:p>
    <w:p>
      <w:pPr>
        <w:ind w:left="540" w:hanging="268"/>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Subordination levels or other credit enhancements as of the balance sheet date as compared to origination; and</w:t>
      </w:r>
    </w:p>
    <w:p>
      <w:pPr>
        <w:spacing w:after="0" w:line="102" w:lineRule="exact"/>
        <w:rPr>
          <w:rFonts w:ascii="Arial" w:cs="Arial" w:eastAsia="Arial" w:hAnsi="Arial"/>
          <w:sz w:val="15"/>
          <w:szCs w:val="15"/>
          <w:color w:val="auto"/>
        </w:rPr>
      </w:pPr>
    </w:p>
    <w:p>
      <w:pPr>
        <w:ind w:left="540" w:hanging="268"/>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Contractual and regulatory cash obligations and the issuer's plans to meet such obligations.</w:t>
      </w:r>
    </w:p>
    <w:p>
      <w:pPr>
        <w:spacing w:after="0" w:line="113" w:lineRule="exact"/>
        <w:rPr>
          <w:sz w:val="20"/>
          <w:szCs w:val="20"/>
          <w:color w:val="auto"/>
        </w:rPr>
      </w:pPr>
    </w:p>
    <w:p>
      <w:pPr>
        <w:jc w:val="both"/>
        <w:ind w:firstLine="264"/>
        <w:spacing w:after="0" w:line="269" w:lineRule="auto"/>
        <w:rPr>
          <w:sz w:val="20"/>
          <w:szCs w:val="20"/>
          <w:color w:val="auto"/>
        </w:rPr>
      </w:pPr>
      <w:r>
        <w:rPr>
          <w:rFonts w:ascii="Arial" w:cs="Arial" w:eastAsia="Arial" w:hAnsi="Arial"/>
          <w:sz w:val="14"/>
          <w:szCs w:val="14"/>
          <w:color w:val="auto"/>
        </w:rPr>
        <w:t>We recognize an allowance for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consider the following in determining whether write-offs of a security’s amortized cost is necessary:</w:t>
      </w:r>
    </w:p>
    <w:p>
      <w:pPr>
        <w:spacing w:after="0" w:line="102" w:lineRule="exact"/>
        <w:rPr>
          <w:sz w:val="20"/>
          <w:szCs w:val="20"/>
          <w:color w:val="auto"/>
        </w:rPr>
      </w:pPr>
    </w:p>
    <w:p>
      <w:pPr>
        <w:ind w:left="560" w:hanging="223"/>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believe amounts related to securities have become uncollectible; 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hanging="223"/>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intend to sell a security; or</w:t>
      </w:r>
    </w:p>
    <w:p>
      <w:pPr>
        <w:spacing w:after="0" w:line="113" w:lineRule="exact"/>
        <w:rPr>
          <w:rFonts w:ascii="Arial" w:cs="Arial" w:eastAsia="Arial" w:hAnsi="Arial"/>
          <w:sz w:val="15"/>
          <w:szCs w:val="15"/>
          <w:color w:val="auto"/>
        </w:rPr>
      </w:pPr>
    </w:p>
    <w:p>
      <w:pPr>
        <w:ind w:left="560" w:hanging="223"/>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It is more likely than not that we will be required to sell a security prior to recovery.</w:t>
      </w:r>
    </w:p>
    <w:p>
      <w:pPr>
        <w:spacing w:after="0" w:line="102" w:lineRule="exact"/>
        <w:rPr>
          <w:sz w:val="20"/>
          <w:szCs w:val="20"/>
          <w:color w:val="auto"/>
        </w:rPr>
      </w:pPr>
    </w:p>
    <w:p>
      <w:pPr>
        <w:jc w:val="both"/>
        <w:ind w:right="80" w:firstLine="330"/>
        <w:spacing w:after="0" w:line="247" w:lineRule="auto"/>
        <w:rPr>
          <w:sz w:val="20"/>
          <w:szCs w:val="20"/>
          <w:color w:val="auto"/>
        </w:rPr>
      </w:pPr>
      <w:r>
        <w:rPr>
          <w:rFonts w:ascii="Arial" w:cs="Arial" w:eastAsia="Arial" w:hAnsi="Arial"/>
          <w:sz w:val="15"/>
          <w:szCs w:val="15"/>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w:t>
      </w:r>
    </w:p>
    <w:p>
      <w:pPr>
        <w:spacing w:after="0" w:line="87" w:lineRule="exact"/>
        <w:rPr>
          <w:sz w:val="20"/>
          <w:szCs w:val="20"/>
          <w:color w:val="auto"/>
        </w:rPr>
      </w:pPr>
    </w:p>
    <w:p>
      <w:pPr>
        <w:jc w:val="both"/>
        <w:ind w:right="80" w:firstLine="330"/>
        <w:spacing w:after="0" w:line="262" w:lineRule="auto"/>
        <w:rPr>
          <w:sz w:val="20"/>
          <w:szCs w:val="20"/>
          <w:color w:val="auto"/>
        </w:rPr>
      </w:pPr>
      <w:r>
        <w:rPr>
          <w:rFonts w:ascii="Arial" w:cs="Arial" w:eastAsia="Arial" w:hAnsi="Arial"/>
          <w:sz w:val="15"/>
          <w:szCs w:val="15"/>
          <w:color w:val="auto"/>
        </w:rPr>
        <w:t>The activity in the allowance for expected credit losses of available-for-sale securities aggregated by investment category were as follows for the three and six-month periods ended June 30, 2021 (in millions):</w:t>
      </w:r>
    </w:p>
    <w:p>
      <w:pPr>
        <w:sectPr>
          <w:pgSz w:w="11900" w:h="16838" w:orient="portrait"/>
          <w:cols w:equalWidth="0" w:num="1">
            <w:col w:w="11360"/>
          </w:cols>
          <w:pgMar w:left="300" w:top="1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firstLine="330"/>
        <w:spacing w:after="0" w:line="226" w:lineRule="auto"/>
        <w:rPr>
          <w:sz w:val="20"/>
          <w:szCs w:val="20"/>
          <w:color w:val="auto"/>
        </w:rPr>
      </w:pPr>
      <w:r>
        <w:rPr>
          <w:rFonts w:ascii="Arial" w:cs="Arial" w:eastAsia="Arial" w:hAnsi="Arial"/>
          <w:sz w:val="12"/>
          <w:szCs w:val="12"/>
          <w:b w:val="1"/>
          <w:bCs w:val="1"/>
          <w:color w:val="auto"/>
        </w:rPr>
        <w:t>Available-for-sale securities</w:t>
      </w:r>
    </w:p>
    <w:p>
      <w:pPr>
        <w:spacing w:after="0" w:line="6" w:lineRule="exact"/>
        <w:rPr>
          <w:sz w:val="20"/>
          <w:szCs w:val="20"/>
          <w:color w:val="auto"/>
        </w:rPr>
      </w:pPr>
    </w:p>
    <w:p>
      <w:pPr>
        <w:ind w:left="360" w:right="240" w:firstLine="330"/>
        <w:spacing w:after="0" w:line="224" w:lineRule="auto"/>
        <w:rPr>
          <w:sz w:val="20"/>
          <w:szCs w:val="20"/>
          <w:color w:val="auto"/>
        </w:rPr>
      </w:pPr>
      <w:r>
        <w:rPr>
          <w:rFonts w:ascii="Arial" w:cs="Arial" w:eastAsia="Arial" w:hAnsi="Arial"/>
          <w:sz w:val="12"/>
          <w:szCs w:val="12"/>
          <w:color w:val="auto"/>
        </w:rPr>
        <w:t>Asset-backed securities</w:t>
      </w:r>
    </w:p>
    <w:p>
      <w:pPr>
        <w:spacing w:after="0" w:line="6" w:lineRule="exact"/>
        <w:rPr>
          <w:sz w:val="20"/>
          <w:szCs w:val="20"/>
          <w:color w:val="auto"/>
        </w:rPr>
      </w:pPr>
    </w:p>
    <w:p>
      <w:pPr>
        <w:ind w:left="360" w:right="300" w:firstLine="330"/>
        <w:spacing w:after="0" w:line="288" w:lineRule="auto"/>
        <w:rPr>
          <w:sz w:val="20"/>
          <w:szCs w:val="20"/>
          <w:color w:val="auto"/>
        </w:rPr>
      </w:pPr>
      <w:r>
        <w:rPr>
          <w:rFonts w:ascii="Arial" w:cs="Arial" w:eastAsia="Arial" w:hAnsi="Arial"/>
          <w:sz w:val="9"/>
          <w:szCs w:val="9"/>
          <w:color w:val="auto"/>
        </w:rPr>
        <w:t>Commercial mortgage-backed securities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Corporates</w:t>
      </w:r>
    </w:p>
    <w:p>
      <w:pPr>
        <w:spacing w:after="0" w:line="16" w:lineRule="exact"/>
        <w:rPr>
          <w:sz w:val="20"/>
          <w:szCs w:val="20"/>
          <w:color w:val="auto"/>
        </w:rPr>
      </w:pPr>
    </w:p>
    <w:p>
      <w:pPr>
        <w:jc w:val="both"/>
        <w:ind w:left="360" w:right="360" w:firstLine="330"/>
        <w:spacing w:after="0" w:line="287" w:lineRule="auto"/>
        <w:rPr>
          <w:sz w:val="20"/>
          <w:szCs w:val="20"/>
          <w:color w:val="auto"/>
        </w:rPr>
      </w:pPr>
      <w:r>
        <w:rPr>
          <w:rFonts w:ascii="Arial" w:cs="Arial" w:eastAsia="Arial" w:hAnsi="Arial"/>
          <w:sz w:val="9"/>
          <w:szCs w:val="9"/>
          <w:color w:val="auto"/>
        </w:rPr>
        <w:t>Residential mortgage-backed securities</w:t>
      </w:r>
    </w:p>
    <w:p>
      <w:pPr>
        <w:ind w:left="940"/>
        <w:spacing w:after="0" w:line="212" w:lineRule="auto"/>
        <w:rPr>
          <w:sz w:val="20"/>
          <w:szCs w:val="20"/>
          <w:color w:val="auto"/>
        </w:rPr>
      </w:pPr>
      <w:r>
        <w:rPr>
          <w:rFonts w:ascii="Arial" w:cs="Arial" w:eastAsia="Arial" w:hAnsi="Arial"/>
          <w:sz w:val="12"/>
          <w:szCs w:val="12"/>
          <w:b w:val="1"/>
          <w:bCs w:val="1"/>
          <w:color w:val="auto"/>
        </w:rPr>
        <w:t>Total</w:t>
      </w:r>
    </w:p>
    <w:p>
      <w:pPr>
        <w:ind w:left="620"/>
        <w:spacing w:after="0" w:line="208" w:lineRule="auto"/>
        <w:rPr>
          <w:sz w:val="20"/>
          <w:szCs w:val="20"/>
          <w:color w:val="auto"/>
        </w:rPr>
      </w:pPr>
      <w:r>
        <w:rPr>
          <w:rFonts w:ascii="Arial" w:cs="Arial" w:eastAsia="Arial" w:hAnsi="Arial"/>
          <w:sz w:val="11"/>
          <w:szCs w:val="11"/>
          <w:b w:val="1"/>
          <w:bCs w:val="1"/>
          <w:color w:val="auto"/>
        </w:rPr>
        <w:t>available-for-sale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80" w:type="dxa"/>
            <w:vAlign w:val="bottom"/>
            <w:gridSpan w:val="4"/>
          </w:tcPr>
          <w:p>
            <w:pPr>
              <w:ind w:left="600"/>
              <w:spacing w:after="0"/>
              <w:rPr>
                <w:sz w:val="20"/>
                <w:szCs w:val="20"/>
                <w:color w:val="auto"/>
              </w:rPr>
            </w:pPr>
            <w:r>
              <w:rPr>
                <w:rFonts w:ascii="Arial" w:cs="Arial" w:eastAsia="Arial" w:hAnsi="Arial"/>
                <w:sz w:val="12"/>
                <w:szCs w:val="12"/>
                <w:b w:val="1"/>
                <w:bCs w:val="1"/>
                <w:color w:val="auto"/>
                <w:w w:val="87"/>
              </w:rPr>
              <w:t>Three Months Ended June 30, 2021</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w w:val="90"/>
              </w:rPr>
              <w:t>Additions</w:t>
            </w: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w w:val="88"/>
              </w:rPr>
              <w:t>Reductions</w:t>
            </w: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For credit</w:t>
            </w:r>
          </w:p>
        </w:tc>
        <w:tc>
          <w:tcPr>
            <w:tcW w:w="440" w:type="dxa"/>
            <w:vAlign w:val="bottom"/>
          </w:tcPr>
          <w:p>
            <w:pPr>
              <w:spacing w:after="0"/>
              <w:rPr>
                <w:sz w:val="9"/>
                <w:szCs w:val="9"/>
                <w:color w:val="auto"/>
              </w:rPr>
            </w:pPr>
          </w:p>
        </w:tc>
        <w:tc>
          <w:tcPr>
            <w:tcW w:w="700" w:type="dxa"/>
            <w:vAlign w:val="bottom"/>
          </w:tcPr>
          <w:p>
            <w:pPr>
              <w:ind w:left="40"/>
              <w:spacing w:after="0" w:line="106" w:lineRule="exact"/>
              <w:rPr>
                <w:sz w:val="20"/>
                <w:szCs w:val="20"/>
                <w:color w:val="auto"/>
              </w:rPr>
            </w:pPr>
            <w:r>
              <w:rPr>
                <w:rFonts w:ascii="Arial" w:cs="Arial" w:eastAsia="Arial" w:hAnsi="Arial"/>
                <w:sz w:val="12"/>
                <w:szCs w:val="12"/>
                <w:b w:val="1"/>
                <w:bCs w:val="1"/>
                <w:color w:val="auto"/>
              </w:rPr>
              <w:t>For initial</w:t>
            </w:r>
          </w:p>
        </w:tc>
        <w:tc>
          <w:tcPr>
            <w:tcW w:w="4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3"/>
              </w:rPr>
              <w:t>credit losses on</w:t>
            </w:r>
          </w:p>
        </w:tc>
        <w:tc>
          <w:tcPr>
            <w:tcW w:w="440" w:type="dxa"/>
            <w:vAlign w:val="bottom"/>
          </w:tcPr>
          <w:p>
            <w:pPr>
              <w:spacing w:after="0"/>
              <w:rPr>
                <w:sz w:val="9"/>
                <w:szCs w:val="9"/>
                <w:color w:val="auto"/>
              </w:rPr>
            </w:pPr>
          </w:p>
        </w:tc>
        <w:tc>
          <w:tcPr>
            <w:tcW w:w="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2"/>
                <w:szCs w:val="12"/>
                <w:b w:val="1"/>
                <w:bCs w:val="1"/>
                <w:color w:val="auto"/>
              </w:rPr>
              <w:t>(Additions)</w:t>
            </w: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vMerge w:val="restart"/>
          </w:tcPr>
          <w:p>
            <w:pPr>
              <w:jc w:val="right"/>
              <w:ind w:right="121"/>
              <w:spacing w:after="0"/>
              <w:rPr>
                <w:sz w:val="20"/>
                <w:szCs w:val="20"/>
                <w:color w:val="auto"/>
              </w:rPr>
            </w:pPr>
            <w:r>
              <w:rPr>
                <w:rFonts w:ascii="Arial" w:cs="Arial" w:eastAsia="Arial" w:hAnsi="Arial"/>
                <w:sz w:val="12"/>
                <w:szCs w:val="12"/>
                <w:b w:val="1"/>
                <w:bCs w:val="1"/>
                <w:color w:val="auto"/>
                <w:w w:val="83"/>
              </w:rPr>
              <w:t>For securities</w:t>
            </w: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0"/>
              </w:rPr>
              <w:t>losses on securities</w:t>
            </w:r>
          </w:p>
        </w:tc>
        <w:tc>
          <w:tcPr>
            <w:tcW w:w="11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3"/>
              </w:rPr>
              <w:t>purchased securities</w:t>
            </w:r>
          </w:p>
        </w:tc>
        <w:tc>
          <w:tcPr>
            <w:tcW w:w="440" w:type="dxa"/>
            <w:vAlign w:val="bottom"/>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w:t>
            </w:r>
          </w:p>
        </w:tc>
        <w:tc>
          <w:tcPr>
            <w:tcW w:w="4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9"/>
              </w:rPr>
              <w:t>Write-offs</w:t>
            </w:r>
          </w:p>
        </w:tc>
        <w:tc>
          <w:tcPr>
            <w:tcW w:w="1140" w:type="dxa"/>
            <w:vAlign w:val="bottom"/>
            <w:gridSpan w:val="2"/>
            <w:vMerge w:val="restart"/>
          </w:tcPr>
          <w:p>
            <w:pPr>
              <w:jc w:val="right"/>
              <w:ind w:right="41"/>
              <w:spacing w:after="0"/>
              <w:rPr>
                <w:sz w:val="20"/>
                <w:szCs w:val="20"/>
                <w:color w:val="auto"/>
              </w:rPr>
            </w:pPr>
            <w:r>
              <w:rPr>
                <w:rFonts w:ascii="Arial" w:cs="Arial" w:eastAsia="Arial" w:hAnsi="Arial"/>
                <w:sz w:val="12"/>
                <w:szCs w:val="12"/>
                <w:b w:val="1"/>
                <w:bCs w:val="1"/>
                <w:color w:val="auto"/>
              </w:rPr>
              <w:t>Recoveries of</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w:t>
            </w:r>
          </w:p>
        </w:tc>
        <w:tc>
          <w:tcPr>
            <w:tcW w:w="10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5"/>
              </w:rPr>
              <w:t>for which losses</w:t>
            </w:r>
          </w:p>
        </w:tc>
        <w:tc>
          <w:tcPr>
            <w:tcW w:w="11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3"/>
              </w:rPr>
              <w:t>accounted for as</w:t>
            </w:r>
          </w:p>
        </w:tc>
        <w:tc>
          <w:tcPr>
            <w:tcW w:w="13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85"/>
              </w:rPr>
              <w:t>reductions in allowance</w:t>
            </w:r>
          </w:p>
        </w:tc>
        <w:tc>
          <w:tcPr>
            <w:tcW w:w="5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320" w:type="dxa"/>
            <w:vAlign w:val="bottom"/>
            <w:gridSpan w:val="2"/>
          </w:tcPr>
          <w:p>
            <w:pPr>
              <w:jc w:val="right"/>
              <w:ind w:right="41"/>
              <w:spacing w:after="0" w:line="110" w:lineRule="exact"/>
              <w:rPr>
                <w:sz w:val="20"/>
                <w:szCs w:val="20"/>
                <w:color w:val="auto"/>
              </w:rPr>
            </w:pPr>
            <w:r>
              <w:rPr>
                <w:rFonts w:ascii="Arial" w:cs="Arial" w:eastAsia="Arial" w:hAnsi="Arial"/>
                <w:sz w:val="12"/>
                <w:szCs w:val="12"/>
                <w:b w:val="1"/>
                <w:bCs w:val="1"/>
                <w:color w:val="auto"/>
                <w:w w:val="89"/>
              </w:rPr>
              <w:t>intended/required to be</w:t>
            </w:r>
          </w:p>
        </w:tc>
        <w:tc>
          <w:tcPr>
            <w:tcW w:w="3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Balance</w:t>
            </w: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6"/>
              </w:rPr>
              <w:t>were not previously</w:t>
            </w:r>
          </w:p>
        </w:tc>
        <w:tc>
          <w:tcPr>
            <w:tcW w:w="11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8"/>
              </w:rPr>
              <w:t>PCD financial assets</w:t>
            </w:r>
          </w:p>
        </w:tc>
        <w:tc>
          <w:tcPr>
            <w:tcW w:w="13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87"/>
              </w:rPr>
              <w:t>recorded on previously</w:t>
            </w:r>
          </w:p>
        </w:tc>
        <w:tc>
          <w:tcPr>
            <w:tcW w:w="10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3"/>
              </w:rPr>
              <w:t>securities sold</w:t>
            </w:r>
          </w:p>
        </w:tc>
        <w:tc>
          <w:tcPr>
            <w:tcW w:w="1320" w:type="dxa"/>
            <w:vAlign w:val="bottom"/>
            <w:gridSpan w:val="2"/>
          </w:tcPr>
          <w:p>
            <w:pPr>
              <w:jc w:val="right"/>
              <w:ind w:right="21"/>
              <w:spacing w:after="0" w:line="110" w:lineRule="exact"/>
              <w:rPr>
                <w:sz w:val="20"/>
                <w:szCs w:val="20"/>
                <w:color w:val="auto"/>
              </w:rPr>
            </w:pPr>
            <w:r>
              <w:rPr>
                <w:rFonts w:ascii="Arial" w:cs="Arial" w:eastAsia="Arial" w:hAnsi="Arial"/>
                <w:sz w:val="12"/>
                <w:szCs w:val="12"/>
                <w:b w:val="1"/>
                <w:bCs w:val="1"/>
                <w:color w:val="auto"/>
                <w:w w:val="88"/>
              </w:rPr>
              <w:t>sold prior to recovery of</w:t>
            </w:r>
          </w:p>
        </w:tc>
        <w:tc>
          <w:tcPr>
            <w:tcW w:w="9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6"/>
              </w:rPr>
              <w:t>charged against</w:t>
            </w:r>
          </w:p>
        </w:tc>
        <w:tc>
          <w:tcPr>
            <w:tcW w:w="1140" w:type="dxa"/>
            <w:vAlign w:val="bottom"/>
            <w:gridSpan w:val="2"/>
          </w:tcPr>
          <w:p>
            <w:pPr>
              <w:jc w:val="right"/>
              <w:ind w:right="61"/>
              <w:spacing w:after="0" w:line="110" w:lineRule="exact"/>
              <w:rPr>
                <w:sz w:val="20"/>
                <w:szCs w:val="20"/>
                <w:color w:val="auto"/>
              </w:rPr>
            </w:pPr>
            <w:r>
              <w:rPr>
                <w:rFonts w:ascii="Arial" w:cs="Arial" w:eastAsia="Arial" w:hAnsi="Arial"/>
                <w:sz w:val="12"/>
                <w:szCs w:val="12"/>
                <w:b w:val="1"/>
                <w:bCs w:val="1"/>
                <w:color w:val="auto"/>
                <w:w w:val="88"/>
              </w:rPr>
              <w:t>amounts previously</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9"/>
              </w:rPr>
              <w:t>Beginning of Period</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recorded</w:t>
            </w: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01"/>
              <w:spacing w:after="0"/>
              <w:rPr>
                <w:sz w:val="20"/>
                <w:szCs w:val="20"/>
                <w:color w:val="auto"/>
              </w:rPr>
            </w:pPr>
            <w:r>
              <w:rPr>
                <w:rFonts w:ascii="Arial" w:cs="Arial" w:eastAsia="Arial" w:hAnsi="Arial"/>
                <w:sz w:val="12"/>
                <w:szCs w:val="12"/>
                <w:b w:val="1"/>
                <w:bCs w:val="1"/>
                <w:color w:val="auto"/>
                <w:w w:val="81"/>
              </w:rPr>
              <w:t>(1)</w:t>
            </w:r>
          </w:p>
        </w:tc>
        <w:tc>
          <w:tcPr>
            <w:tcW w:w="13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impaired securities</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during the period</w:t>
            </w:r>
          </w:p>
        </w:tc>
        <w:tc>
          <w:tcPr>
            <w:tcW w:w="132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2"/>
                <w:szCs w:val="12"/>
                <w:b w:val="1"/>
                <w:bCs w:val="1"/>
                <w:color w:val="auto"/>
                <w:w w:val="94"/>
              </w:rPr>
              <w:t>amortized cost basis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the allowance</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written off</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End of Perio</w:t>
            </w:r>
          </w:p>
        </w:tc>
        <w:tc>
          <w:tcPr>
            <w:tcW w:w="0" w:type="dxa"/>
            <w:vAlign w:val="bottom"/>
          </w:tcPr>
          <w:p>
            <w:pPr>
              <w:spacing w:after="0"/>
              <w:rPr>
                <w:sz w:val="1"/>
                <w:szCs w:val="1"/>
                <w:color w:val="auto"/>
              </w:rPr>
            </w:pPr>
          </w:p>
        </w:tc>
      </w:tr>
      <w:tr>
        <w:trPr>
          <w:trHeight w:val="499"/>
        </w:trPr>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ind w:left="50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auto"/>
            </w:tcBorders>
          </w:tcPr>
          <w:p>
            <w:pPr>
              <w:ind w:left="720"/>
              <w:spacing w:after="0"/>
              <w:rPr>
                <w:sz w:val="20"/>
                <w:szCs w:val="20"/>
                <w:color w:val="auto"/>
              </w:rPr>
            </w:pPr>
            <w:r>
              <w:rPr>
                <w:rFonts w:ascii="Arial" w:cs="Arial" w:eastAsia="Arial" w:hAnsi="Arial"/>
                <w:sz w:val="12"/>
                <w:szCs w:val="12"/>
                <w:color w:val="auto"/>
                <w:w w:val="81"/>
              </w:rPr>
              <w:t>(1)</w:t>
            </w: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540" w:type="dxa"/>
            <w:vAlign w:val="bottom"/>
          </w:tcPr>
          <w:p>
            <w:pPr>
              <w:ind w:left="360"/>
              <w:spacing w:after="0"/>
              <w:rPr>
                <w:sz w:val="20"/>
                <w:szCs w:val="20"/>
                <w:color w:val="auto"/>
              </w:rPr>
            </w:pPr>
            <w:r>
              <w:rPr>
                <w:rFonts w:ascii="Arial" w:cs="Arial" w:eastAsia="Arial" w:hAnsi="Arial"/>
                <w:sz w:val="12"/>
                <w:szCs w:val="12"/>
                <w:color w:val="auto"/>
              </w:rPr>
              <w:t>(3)</w:t>
            </w:r>
          </w:p>
        </w:tc>
        <w:tc>
          <w:tcPr>
            <w:tcW w:w="4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ind w:lef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74"/>
        </w:trPr>
        <w:tc>
          <w:tcPr>
            <w:tcW w:w="42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2"/>
                <w:szCs w:val="12"/>
                <w:color w:val="auto"/>
              </w:rPr>
              <w:t>(1)</w:t>
            </w:r>
          </w:p>
        </w:tc>
        <w:tc>
          <w:tcPr>
            <w:tcW w:w="40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4"/>
                <w:szCs w:val="24"/>
                <w:color w:val="auto"/>
              </w:rPr>
            </w:pPr>
          </w:p>
        </w:tc>
        <w:tc>
          <w:tcPr>
            <w:tcW w:w="880" w:type="dxa"/>
            <w:vAlign w:val="bottom"/>
            <w:tcBorders>
              <w:right w:val="single" w:sz="8" w:color="auto"/>
            </w:tcBorders>
          </w:tcPr>
          <w:p>
            <w:pPr>
              <w:ind w:left="70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4"/>
                <w:szCs w:val="24"/>
                <w:color w:val="auto"/>
              </w:rPr>
            </w:pPr>
          </w:p>
        </w:tc>
        <w:tc>
          <w:tcPr>
            <w:tcW w:w="580" w:type="dxa"/>
            <w:vAlign w:val="bottom"/>
          </w:tcPr>
          <w:p>
            <w:pPr>
              <w:ind w:lef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660" w:type="dxa"/>
            <w:vAlign w:val="bottom"/>
          </w:tcPr>
          <w:p>
            <w:pPr>
              <w:ind w:left="480"/>
              <w:spacing w:after="0"/>
              <w:rPr>
                <w:sz w:val="20"/>
                <w:szCs w:val="20"/>
                <w:color w:val="auto"/>
              </w:rPr>
            </w:pPr>
            <w:r>
              <w:rPr>
                <w:rFonts w:ascii="Arial" w:cs="Arial" w:eastAsia="Arial" w:hAnsi="Arial"/>
                <w:sz w:val="12"/>
                <w:szCs w:val="12"/>
                <w:color w:val="auto"/>
              </w:rPr>
              <w:t>(3)</w:t>
            </w:r>
          </w:p>
        </w:tc>
        <w:tc>
          <w:tcPr>
            <w:tcW w:w="40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00" w:type="dxa"/>
            <w:vAlign w:val="bottom"/>
          </w:tcPr>
          <w:p>
            <w:pPr>
              <w:ind w:left="5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tcBorders>
              <w:right w:val="single" w:sz="8" w:color="auto"/>
            </w:tcBorders>
          </w:tcPr>
          <w:p>
            <w:pPr>
              <w:ind w:left="720"/>
              <w:spacing w:after="0"/>
              <w:rPr>
                <w:sz w:val="20"/>
                <w:szCs w:val="20"/>
                <w:color w:val="auto"/>
              </w:rPr>
            </w:pPr>
            <w:r>
              <w:rPr>
                <w:rFonts w:ascii="Arial" w:cs="Arial" w:eastAsia="Arial" w:hAnsi="Arial"/>
                <w:sz w:val="12"/>
                <w:szCs w:val="12"/>
                <w:color w:val="auto"/>
                <w:w w:val="81"/>
              </w:rPr>
              <w:t>(2)</w:t>
            </w:r>
          </w:p>
        </w:tc>
        <w:tc>
          <w:tcPr>
            <w:tcW w:w="500" w:type="dxa"/>
            <w:vAlign w:val="bottom"/>
          </w:tcPr>
          <w:p>
            <w:pPr>
              <w:spacing w:after="0"/>
              <w:rPr>
                <w:sz w:val="13"/>
                <w:szCs w:val="13"/>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580" w:type="dxa"/>
            <w:vAlign w:val="bottom"/>
          </w:tcPr>
          <w:p>
            <w:pPr>
              <w:ind w:lef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2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(3)</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2"/>
                <w:szCs w:val="12"/>
                <w:color w:val="auto"/>
                <w:w w:val="81"/>
              </w:rPr>
              <w:t>(3)</w:t>
            </w: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(3)</w:t>
            </w: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-1157605</wp:posOffset>
            </wp:positionV>
            <wp:extent cx="6999605" cy="167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9605" cy="16764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-822325</wp:posOffset>
            </wp:positionV>
            <wp:extent cx="6999605" cy="237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9605" cy="23749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-487680</wp:posOffset>
            </wp:positionV>
            <wp:extent cx="6999605" cy="237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9605" cy="23749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1560" w:space="20"/>
            <w:col w:w="9780"/>
          </w:cols>
          <w:pgMar w:left="300" w:top="129" w:right="239" w:bottom="1440" w:gutter="0" w:footer="0" w:header="0"/>
          <w:type w:val="continuous"/>
        </w:sectPr>
      </w:pPr>
    </w:p>
    <w:p>
      <w:pPr>
        <w:ind w:left="340"/>
        <w:spacing w:after="0"/>
        <w:rPr>
          <w:sz w:val="20"/>
          <w:szCs w:val="20"/>
          <w:color w:val="auto"/>
        </w:rPr>
      </w:pPr>
      <w:r>
        <w:rPr>
          <w:rFonts w:ascii="Arial" w:cs="Arial" w:eastAsia="Arial" w:hAnsi="Arial"/>
          <w:sz w:val="15"/>
          <w:szCs w:val="15"/>
          <w:color w:val="auto"/>
        </w:rPr>
        <w:t>(1) Purchased credit deteriorated financial assets ("PCD")</w:t>
      </w: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8312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type w:val="continuous"/>
        </w:sectPr>
      </w:pPr>
    </w:p>
    <w:bookmarkStart w:id="32" w:name="page33"/>
    <w:bookmarkEnd w:id="3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gridSpan w:val="5"/>
          </w:tcPr>
          <w:p>
            <w:pPr>
              <w:jc w:val="right"/>
              <w:ind w:right="261"/>
              <w:spacing w:after="0"/>
              <w:rPr>
                <w:sz w:val="20"/>
                <w:szCs w:val="20"/>
                <w:color w:val="auto"/>
              </w:rPr>
            </w:pPr>
            <w:r>
              <w:rPr>
                <w:rFonts w:ascii="Arial" w:cs="Arial" w:eastAsia="Arial" w:hAnsi="Arial"/>
                <w:sz w:val="12"/>
                <w:szCs w:val="12"/>
                <w:b w:val="1"/>
                <w:bCs w:val="1"/>
                <w:color w:val="auto"/>
                <w:w w:val="99"/>
              </w:rPr>
              <w:t>Six Months Ended June 30, 2021</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2"/>
                <w:szCs w:val="12"/>
                <w:b w:val="1"/>
                <w:bCs w:val="1"/>
                <w:color w:val="auto"/>
              </w:rPr>
              <w:t>Additions</w:t>
            </w: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97"/>
              </w:rPr>
              <w:t>Reductions</w:t>
            </w: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For credit</w:t>
            </w:r>
          </w:p>
        </w:tc>
        <w:tc>
          <w:tcPr>
            <w:tcW w:w="900" w:type="dxa"/>
            <w:vAlign w:val="bottom"/>
            <w:gridSpan w:val="2"/>
          </w:tcPr>
          <w:p>
            <w:pPr>
              <w:jc w:val="right"/>
              <w:spacing w:after="0" w:line="106" w:lineRule="exact"/>
              <w:rPr>
                <w:sz w:val="20"/>
                <w:szCs w:val="20"/>
                <w:color w:val="auto"/>
              </w:rPr>
            </w:pPr>
            <w:r>
              <w:rPr>
                <w:rFonts w:ascii="Arial" w:cs="Arial" w:eastAsia="Arial" w:hAnsi="Arial"/>
                <w:sz w:val="12"/>
                <w:szCs w:val="12"/>
                <w:b w:val="1"/>
                <w:bCs w:val="1"/>
                <w:color w:val="auto"/>
              </w:rPr>
              <w:t>For initial</w:t>
            </w: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3"/>
              </w:rPr>
              <w:t>credit losses on</w:t>
            </w: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jc w:val="center"/>
              <w:ind w:left="141"/>
              <w:spacing w:after="0" w:line="110" w:lineRule="exact"/>
              <w:rPr>
                <w:sz w:val="20"/>
                <w:szCs w:val="20"/>
                <w:color w:val="auto"/>
              </w:rPr>
            </w:pPr>
            <w:r>
              <w:rPr>
                <w:rFonts w:ascii="Arial" w:cs="Arial" w:eastAsia="Arial" w:hAnsi="Arial"/>
                <w:sz w:val="12"/>
                <w:szCs w:val="12"/>
                <w:b w:val="1"/>
                <w:bCs w:val="1"/>
                <w:color w:val="auto"/>
                <w:w w:val="79"/>
              </w:rPr>
              <w:t>losses on</w:t>
            </w:r>
          </w:p>
        </w:tc>
        <w:tc>
          <w:tcPr>
            <w:tcW w:w="240" w:type="dxa"/>
            <w:vAlign w:val="bottom"/>
          </w:tcPr>
          <w:p>
            <w:pPr>
              <w:spacing w:after="0"/>
              <w:rPr>
                <w:sz w:val="9"/>
                <w:szCs w:val="9"/>
                <w:color w:val="auto"/>
              </w:rPr>
            </w:pPr>
          </w:p>
        </w:tc>
        <w:tc>
          <w:tcPr>
            <w:tcW w:w="720" w:type="dxa"/>
            <w:vAlign w:val="bottom"/>
          </w:tcPr>
          <w:p>
            <w:pPr>
              <w:jc w:val="center"/>
              <w:ind w:left="101"/>
              <w:spacing w:after="0" w:line="110" w:lineRule="exact"/>
              <w:rPr>
                <w:sz w:val="20"/>
                <w:szCs w:val="20"/>
                <w:color w:val="auto"/>
              </w:rPr>
            </w:pPr>
            <w:r>
              <w:rPr>
                <w:rFonts w:ascii="Arial" w:cs="Arial" w:eastAsia="Arial" w:hAnsi="Arial"/>
                <w:sz w:val="12"/>
                <w:szCs w:val="12"/>
                <w:b w:val="1"/>
                <w:bCs w:val="1"/>
                <w:color w:val="auto"/>
                <w:w w:val="85"/>
              </w:rPr>
              <w:t>purchased</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vMerge w:val="restart"/>
          </w:tcPr>
          <w:p>
            <w:pPr>
              <w:jc w:val="right"/>
              <w:ind w:right="281"/>
              <w:spacing w:after="0"/>
              <w:rPr>
                <w:sz w:val="20"/>
                <w:szCs w:val="20"/>
                <w:color w:val="auto"/>
              </w:rPr>
            </w:pPr>
            <w:r>
              <w:rPr>
                <w:rFonts w:ascii="Arial" w:cs="Arial" w:eastAsia="Arial" w:hAnsi="Arial"/>
                <w:sz w:val="12"/>
                <w:szCs w:val="12"/>
                <w:b w:val="1"/>
                <w:bCs w:val="1"/>
                <w:color w:val="auto"/>
                <w:w w:val="94"/>
              </w:rPr>
              <w:t>(Additions)</w:t>
            </w:r>
          </w:p>
        </w:tc>
        <w:tc>
          <w:tcPr>
            <w:tcW w:w="4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2"/>
                <w:szCs w:val="12"/>
                <w:b w:val="1"/>
                <w:bCs w:val="1"/>
                <w:color w:val="auto"/>
                <w:w w:val="88"/>
              </w:rPr>
              <w:t>For securities</w:t>
            </w: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gridSpan w:val="4"/>
            <w:vMerge w:val="restart"/>
          </w:tcPr>
          <w:p>
            <w:pPr>
              <w:ind w:left="280"/>
              <w:spacing w:after="0"/>
              <w:rPr>
                <w:sz w:val="20"/>
                <w:szCs w:val="20"/>
                <w:color w:val="auto"/>
              </w:rPr>
            </w:pPr>
            <w:r>
              <w:rPr>
                <w:rFonts w:ascii="Arial" w:cs="Arial" w:eastAsia="Arial" w:hAnsi="Arial"/>
                <w:sz w:val="12"/>
                <w:szCs w:val="12"/>
                <w:b w:val="1"/>
                <w:bCs w:val="1"/>
                <w:color w:val="auto"/>
              </w:rPr>
              <w:t>Recoveries</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980" w:type="dxa"/>
            <w:vAlign w:val="bottom"/>
            <w:gridSpan w:val="2"/>
            <w:vMerge w:val="restart"/>
          </w:tcPr>
          <w:p>
            <w:pPr>
              <w:jc w:val="right"/>
              <w:ind w:right="1"/>
              <w:spacing w:after="0"/>
              <w:rPr>
                <w:sz w:val="20"/>
                <w:szCs w:val="20"/>
                <w:color w:val="auto"/>
              </w:rPr>
            </w:pPr>
            <w:r>
              <w:rPr>
                <w:rFonts w:ascii="Arial" w:cs="Arial" w:eastAsia="Arial" w:hAnsi="Arial"/>
                <w:sz w:val="12"/>
                <w:szCs w:val="12"/>
                <w:b w:val="1"/>
                <w:bCs w:val="1"/>
                <w:color w:val="auto"/>
              </w:rPr>
              <w:t>Balance at</w:t>
            </w:r>
          </w:p>
        </w:tc>
        <w:tc>
          <w:tcPr>
            <w:tcW w:w="9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4"/>
              </w:rPr>
              <w:t>securities for</w:t>
            </w:r>
          </w:p>
        </w:tc>
        <w:tc>
          <w:tcPr>
            <w:tcW w:w="720" w:type="dxa"/>
            <w:vAlign w:val="bottom"/>
          </w:tcPr>
          <w:p>
            <w:pPr>
              <w:jc w:val="center"/>
              <w:ind w:left="101"/>
              <w:spacing w:after="0" w:line="110" w:lineRule="exact"/>
              <w:rPr>
                <w:sz w:val="20"/>
                <w:szCs w:val="20"/>
                <w:color w:val="auto"/>
              </w:rPr>
            </w:pPr>
            <w:r>
              <w:rPr>
                <w:rFonts w:ascii="Arial" w:cs="Arial" w:eastAsia="Arial" w:hAnsi="Arial"/>
                <w:sz w:val="12"/>
                <w:szCs w:val="12"/>
                <w:b w:val="1"/>
                <w:bCs w:val="1"/>
                <w:color w:val="auto"/>
                <w:w w:val="85"/>
              </w:rPr>
              <w:t>securities</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w:t>
            </w:r>
          </w:p>
        </w:tc>
        <w:tc>
          <w:tcPr>
            <w:tcW w:w="4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vMerge w:val="restart"/>
          </w:tcPr>
          <w:p>
            <w:pPr>
              <w:jc w:val="right"/>
              <w:ind w:right="81"/>
              <w:spacing w:after="0"/>
              <w:rPr>
                <w:sz w:val="20"/>
                <w:szCs w:val="20"/>
                <w:color w:val="auto"/>
              </w:rPr>
            </w:pPr>
            <w:r>
              <w:rPr>
                <w:rFonts w:ascii="Arial" w:cs="Arial" w:eastAsia="Arial" w:hAnsi="Arial"/>
                <w:sz w:val="12"/>
                <w:szCs w:val="12"/>
                <w:b w:val="1"/>
                <w:bCs w:val="1"/>
                <w:color w:val="auto"/>
                <w:w w:val="88"/>
              </w:rPr>
              <w:t>Writeoffs</w:t>
            </w:r>
          </w:p>
        </w:tc>
        <w:tc>
          <w:tcPr>
            <w:tcW w:w="102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3"/>
              </w:rPr>
              <w:t>which losses were</w:t>
            </w:r>
          </w:p>
        </w:tc>
        <w:tc>
          <w:tcPr>
            <w:tcW w:w="90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87"/>
              </w:rPr>
              <w:t>accounted for as</w:t>
            </w:r>
          </w:p>
        </w:tc>
        <w:tc>
          <w:tcPr>
            <w:tcW w:w="1440" w:type="dxa"/>
            <w:vAlign w:val="bottom"/>
            <w:gridSpan w:val="2"/>
          </w:tcPr>
          <w:p>
            <w:pPr>
              <w:jc w:val="center"/>
              <w:ind w:right="81"/>
              <w:spacing w:after="0" w:line="110" w:lineRule="exact"/>
              <w:rPr>
                <w:sz w:val="20"/>
                <w:szCs w:val="20"/>
                <w:color w:val="auto"/>
              </w:rPr>
            </w:pPr>
            <w:r>
              <w:rPr>
                <w:rFonts w:ascii="Arial" w:cs="Arial" w:eastAsia="Arial" w:hAnsi="Arial"/>
                <w:sz w:val="12"/>
                <w:szCs w:val="12"/>
                <w:b w:val="1"/>
                <w:bCs w:val="1"/>
                <w:color w:val="auto"/>
                <w:w w:val="86"/>
              </w:rPr>
              <w:t>reductions in allowance</w:t>
            </w:r>
          </w:p>
        </w:tc>
        <w:tc>
          <w:tcPr>
            <w:tcW w:w="4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80" w:type="dxa"/>
            <w:vAlign w:val="bottom"/>
            <w:gridSpan w:val="2"/>
          </w:tcPr>
          <w:p>
            <w:pPr>
              <w:jc w:val="right"/>
              <w:ind w:right="1"/>
              <w:spacing w:after="0" w:line="110" w:lineRule="exact"/>
              <w:rPr>
                <w:sz w:val="20"/>
                <w:szCs w:val="20"/>
                <w:color w:val="auto"/>
              </w:rPr>
            </w:pPr>
            <w:r>
              <w:rPr>
                <w:rFonts w:ascii="Arial" w:cs="Arial" w:eastAsia="Arial" w:hAnsi="Arial"/>
                <w:sz w:val="12"/>
                <w:szCs w:val="12"/>
                <w:b w:val="1"/>
                <w:bCs w:val="1"/>
                <w:color w:val="auto"/>
                <w:w w:val="89"/>
              </w:rPr>
              <w:t>intended/required to be</w:t>
            </w:r>
          </w:p>
        </w:tc>
        <w:tc>
          <w:tcPr>
            <w:tcW w:w="3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tcPr>
          <w:p>
            <w:pPr>
              <w:jc w:val="center"/>
              <w:ind w:left="41"/>
              <w:spacing w:after="0" w:line="110" w:lineRule="exact"/>
              <w:rPr>
                <w:sz w:val="20"/>
                <w:szCs w:val="20"/>
                <w:color w:val="auto"/>
              </w:rPr>
            </w:pPr>
            <w:r>
              <w:rPr>
                <w:rFonts w:ascii="Arial" w:cs="Arial" w:eastAsia="Arial" w:hAnsi="Arial"/>
                <w:sz w:val="12"/>
                <w:szCs w:val="12"/>
                <w:b w:val="1"/>
                <w:bCs w:val="1"/>
                <w:color w:val="auto"/>
                <w:w w:val="83"/>
              </w:rPr>
              <w:t>of amounts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Balanc</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980" w:type="dxa"/>
            <w:vAlign w:val="bottom"/>
            <w:gridSpan w:val="2"/>
          </w:tcPr>
          <w:p>
            <w:pPr>
              <w:jc w:val="right"/>
              <w:ind w:right="121"/>
              <w:spacing w:after="0" w:line="110" w:lineRule="exact"/>
              <w:rPr>
                <w:sz w:val="20"/>
                <w:szCs w:val="20"/>
                <w:color w:val="auto"/>
              </w:rPr>
            </w:pPr>
            <w:r>
              <w:rPr>
                <w:rFonts w:ascii="Arial" w:cs="Arial" w:eastAsia="Arial" w:hAnsi="Arial"/>
                <w:sz w:val="12"/>
                <w:szCs w:val="12"/>
                <w:b w:val="1"/>
                <w:bCs w:val="1"/>
                <w:color w:val="auto"/>
              </w:rPr>
              <w:t>Beginning of</w:t>
            </w:r>
          </w:p>
        </w:tc>
        <w:tc>
          <w:tcPr>
            <w:tcW w:w="9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7"/>
              </w:rPr>
              <w:t>not previously</w:t>
            </w:r>
          </w:p>
        </w:tc>
        <w:tc>
          <w:tcPr>
            <w:tcW w:w="9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0"/>
              </w:rPr>
              <w:t>PCD financial</w:t>
            </w:r>
          </w:p>
        </w:tc>
        <w:tc>
          <w:tcPr>
            <w:tcW w:w="1440" w:type="dxa"/>
            <w:vAlign w:val="bottom"/>
            <w:gridSpan w:val="2"/>
          </w:tcPr>
          <w:p>
            <w:pPr>
              <w:jc w:val="center"/>
              <w:ind w:right="81"/>
              <w:spacing w:after="0" w:line="110" w:lineRule="exact"/>
              <w:rPr>
                <w:sz w:val="20"/>
                <w:szCs w:val="20"/>
                <w:color w:val="auto"/>
              </w:rPr>
            </w:pPr>
            <w:r>
              <w:rPr>
                <w:rFonts w:ascii="Arial" w:cs="Arial" w:eastAsia="Arial" w:hAnsi="Arial"/>
                <w:sz w:val="12"/>
                <w:szCs w:val="12"/>
                <w:b w:val="1"/>
                <w:bCs w:val="1"/>
                <w:color w:val="auto"/>
                <w:w w:val="85"/>
              </w:rPr>
              <w:t>recorded on previously</w:t>
            </w:r>
          </w:p>
        </w:tc>
        <w:tc>
          <w:tcPr>
            <w:tcW w:w="4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9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3"/>
              </w:rPr>
              <w:t>securities sold</w:t>
            </w:r>
          </w:p>
        </w:tc>
        <w:tc>
          <w:tcPr>
            <w:tcW w:w="12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88"/>
              </w:rPr>
              <w:t>sold prior to recovery of</w:t>
            </w:r>
          </w:p>
        </w:tc>
        <w:tc>
          <w:tcPr>
            <w:tcW w:w="1000" w:type="dxa"/>
            <w:vAlign w:val="bottom"/>
            <w:gridSpan w:val="2"/>
          </w:tcPr>
          <w:p>
            <w:pPr>
              <w:jc w:val="right"/>
              <w:ind w:right="101"/>
              <w:spacing w:after="0" w:line="110" w:lineRule="exact"/>
              <w:rPr>
                <w:sz w:val="20"/>
                <w:szCs w:val="20"/>
                <w:color w:val="auto"/>
              </w:rPr>
            </w:pPr>
            <w:r>
              <w:rPr>
                <w:rFonts w:ascii="Arial" w:cs="Arial" w:eastAsia="Arial" w:hAnsi="Arial"/>
                <w:sz w:val="12"/>
                <w:szCs w:val="12"/>
                <w:b w:val="1"/>
                <w:bCs w:val="1"/>
                <w:color w:val="auto"/>
                <w:w w:val="89"/>
              </w:rPr>
              <w:t>charged against</w:t>
            </w:r>
          </w:p>
        </w:tc>
        <w:tc>
          <w:tcPr>
            <w:tcW w:w="680" w:type="dxa"/>
            <w:vAlign w:val="bottom"/>
          </w:tcPr>
          <w:p>
            <w:pPr>
              <w:jc w:val="center"/>
              <w:ind w:left="61"/>
              <w:spacing w:after="0" w:line="110" w:lineRule="exact"/>
              <w:rPr>
                <w:sz w:val="20"/>
                <w:szCs w:val="20"/>
                <w:color w:val="auto"/>
              </w:rPr>
            </w:pPr>
            <w:r>
              <w:rPr>
                <w:rFonts w:ascii="Arial" w:cs="Arial" w:eastAsia="Arial" w:hAnsi="Arial"/>
                <w:sz w:val="12"/>
                <w:szCs w:val="12"/>
                <w:b w:val="1"/>
                <w:bCs w:val="1"/>
                <w:color w:val="auto"/>
                <w:w w:val="86"/>
              </w:rPr>
              <w:t>previously</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9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Period</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left="141"/>
              <w:spacing w:after="0"/>
              <w:rPr>
                <w:sz w:val="20"/>
                <w:szCs w:val="20"/>
                <w:color w:val="auto"/>
              </w:rPr>
            </w:pPr>
            <w:r>
              <w:rPr>
                <w:rFonts w:ascii="Arial" w:cs="Arial" w:eastAsia="Arial" w:hAnsi="Arial"/>
                <w:sz w:val="12"/>
                <w:szCs w:val="12"/>
                <w:b w:val="1"/>
                <w:bCs w:val="1"/>
                <w:color w:val="auto"/>
                <w:w w:val="85"/>
              </w:rPr>
              <w:t>recorded</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b w:val="1"/>
                <w:bCs w:val="1"/>
                <w:color w:val="auto"/>
                <w:w w:val="79"/>
              </w:rPr>
              <w:t>assets (1)</w:t>
            </w: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81"/>
              <w:spacing w:after="0"/>
              <w:rPr>
                <w:sz w:val="20"/>
                <w:szCs w:val="20"/>
                <w:color w:val="auto"/>
              </w:rPr>
            </w:pPr>
            <w:r>
              <w:rPr>
                <w:rFonts w:ascii="Arial" w:cs="Arial" w:eastAsia="Arial" w:hAnsi="Arial"/>
                <w:sz w:val="12"/>
                <w:szCs w:val="12"/>
                <w:b w:val="1"/>
                <w:bCs w:val="1"/>
                <w:color w:val="auto"/>
                <w:w w:val="85"/>
              </w:rPr>
              <w:t>impaired securities</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2"/>
                <w:szCs w:val="12"/>
                <w:b w:val="1"/>
                <w:bCs w:val="1"/>
                <w:color w:val="auto"/>
                <w:w w:val="89"/>
              </w:rPr>
              <w:t>during the period</w:t>
            </w:r>
          </w:p>
        </w:tc>
        <w:tc>
          <w:tcPr>
            <w:tcW w:w="12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2"/>
                <w:szCs w:val="12"/>
                <w:b w:val="1"/>
                <w:bCs w:val="1"/>
                <w:color w:val="auto"/>
                <w:w w:val="94"/>
              </w:rPr>
              <w:t>amortized cost basis</w:t>
            </w:r>
          </w:p>
        </w:tc>
        <w:tc>
          <w:tcPr>
            <w:tcW w:w="10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2"/>
                <w:szCs w:val="12"/>
                <w:b w:val="1"/>
                <w:bCs w:val="1"/>
                <w:color w:val="auto"/>
                <w:w w:val="99"/>
              </w:rPr>
              <w:t>the allowance</w:t>
            </w:r>
          </w:p>
        </w:tc>
        <w:tc>
          <w:tcPr>
            <w:tcW w:w="680" w:type="dxa"/>
            <w:vAlign w:val="bottom"/>
            <w:tcBorders>
              <w:bottom w:val="single" w:sz="8" w:color="auto"/>
            </w:tcBorders>
          </w:tcPr>
          <w:p>
            <w:pPr>
              <w:jc w:val="center"/>
              <w:ind w:left="41"/>
              <w:spacing w:after="0"/>
              <w:rPr>
                <w:sz w:val="20"/>
                <w:szCs w:val="20"/>
                <w:color w:val="auto"/>
              </w:rPr>
            </w:pPr>
            <w:r>
              <w:rPr>
                <w:rFonts w:ascii="Arial" w:cs="Arial" w:eastAsia="Arial" w:hAnsi="Arial"/>
                <w:sz w:val="12"/>
                <w:szCs w:val="12"/>
                <w:b w:val="1"/>
                <w:bCs w:val="1"/>
                <w:color w:val="auto"/>
                <w:w w:val="93"/>
              </w:rPr>
              <w:t>written off</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End of Peri</w:t>
            </w:r>
          </w:p>
        </w:tc>
        <w:tc>
          <w:tcPr>
            <w:tcW w:w="0" w:type="dxa"/>
            <w:vAlign w:val="bottom"/>
          </w:tcPr>
          <w:p>
            <w:pPr>
              <w:spacing w:after="0"/>
              <w:rPr>
                <w:sz w:val="1"/>
                <w:szCs w:val="1"/>
                <w:color w:val="auto"/>
              </w:rPr>
            </w:pPr>
          </w:p>
        </w:tc>
      </w:tr>
      <w:tr>
        <w:trPr>
          <w:trHeight w:val="92"/>
        </w:trPr>
        <w:tc>
          <w:tcPr>
            <w:tcW w:w="960" w:type="dxa"/>
            <w:vAlign w:val="bottom"/>
            <w:shd w:val="clear" w:color="auto" w:fill="CCEEFF"/>
          </w:tcPr>
          <w:p>
            <w:pPr>
              <w:ind w:left="340"/>
              <w:spacing w:after="0" w:line="92" w:lineRule="exact"/>
              <w:rPr>
                <w:sz w:val="20"/>
                <w:szCs w:val="20"/>
                <w:color w:val="auto"/>
              </w:rPr>
            </w:pPr>
            <w:r>
              <w:rPr>
                <w:rFonts w:ascii="Arial" w:cs="Arial" w:eastAsia="Arial" w:hAnsi="Arial"/>
                <w:sz w:val="9"/>
                <w:szCs w:val="9"/>
                <w:b w:val="1"/>
                <w:bCs w:val="1"/>
                <w:color w:val="auto"/>
              </w:rPr>
              <w:t>Available-</w:t>
            </w: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tcBorders>
              <w:right w:val="single" w:sz="8" w:color="auto"/>
            </w:tcBorders>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89"/>
              </w:rPr>
              <w:t>for-sale securities</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tcBorders>
              <w:right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ind w:left="340"/>
              <w:spacing w:after="0" w:line="110" w:lineRule="exact"/>
              <w:rPr>
                <w:sz w:val="20"/>
                <w:szCs w:val="20"/>
                <w:color w:val="auto"/>
              </w:rPr>
            </w:pPr>
            <w:r>
              <w:rPr>
                <w:rFonts w:ascii="Arial" w:cs="Arial" w:eastAsia="Arial" w:hAnsi="Arial"/>
                <w:sz w:val="12"/>
                <w:szCs w:val="12"/>
                <w:color w:val="auto"/>
              </w:rPr>
              <w:t>Asset-</w:t>
            </w:r>
          </w:p>
        </w:tc>
        <w:tc>
          <w:tcPr>
            <w:tcW w:w="700" w:type="dxa"/>
            <w:vAlign w:val="bottom"/>
            <w:vMerge w:val="restart"/>
          </w:tcPr>
          <w:p>
            <w:pPr>
              <w:jc w:val="right"/>
              <w:ind w:right="241"/>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261"/>
              <w:spacing w:after="0"/>
              <w:rPr>
                <w:sz w:val="20"/>
                <w:szCs w:val="20"/>
                <w:color w:val="auto"/>
              </w:rPr>
            </w:pPr>
            <w:r>
              <w:rPr>
                <w:rFonts w:ascii="Arial" w:cs="Arial" w:eastAsia="Arial" w:hAnsi="Arial"/>
                <w:sz w:val="12"/>
                <w:szCs w:val="12"/>
                <w:color w:val="auto"/>
              </w:rPr>
              <w:t>$</w:t>
            </w:r>
          </w:p>
        </w:tc>
        <w:tc>
          <w:tcPr>
            <w:tcW w:w="24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w w:val="99"/>
              </w:rPr>
              <w:t>—</w:t>
            </w:r>
          </w:p>
        </w:tc>
        <w:tc>
          <w:tcPr>
            <w:tcW w:w="48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960" w:type="dxa"/>
            <w:vAlign w:val="bottom"/>
            <w:vMerge w:val="restart"/>
          </w:tcPr>
          <w:p>
            <w:pPr>
              <w:jc w:val="right"/>
              <w:ind w:right="121"/>
              <w:spacing w:after="0"/>
              <w:rPr>
                <w:sz w:val="20"/>
                <w:szCs w:val="20"/>
                <w:color w:val="auto"/>
              </w:rPr>
            </w:pPr>
            <w:r>
              <w:rPr>
                <w:rFonts w:ascii="Arial" w:cs="Arial" w:eastAsia="Arial" w:hAnsi="Arial"/>
                <w:sz w:val="12"/>
                <w:szCs w:val="12"/>
                <w:color w:val="auto"/>
              </w:rPr>
              <w:t>(1)</w:t>
            </w:r>
          </w:p>
        </w:tc>
        <w:tc>
          <w:tcPr>
            <w:tcW w:w="420" w:type="dxa"/>
            <w:vAlign w:val="bottom"/>
          </w:tcPr>
          <w:p>
            <w:pPr>
              <w:spacing w:after="0"/>
              <w:rPr>
                <w:sz w:val="9"/>
                <w:szCs w:val="9"/>
                <w:color w:val="auto"/>
              </w:rPr>
            </w:pPr>
          </w:p>
        </w:tc>
        <w:tc>
          <w:tcPr>
            <w:tcW w:w="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ind w:left="300"/>
              <w:spacing w:after="0"/>
              <w:rPr>
                <w:sz w:val="20"/>
                <w:szCs w:val="20"/>
                <w:color w:val="auto"/>
              </w:rPr>
            </w:pPr>
            <w:r>
              <w:rPr>
                <w:rFonts w:ascii="Arial" w:cs="Arial" w:eastAsia="Arial" w:hAnsi="Arial"/>
                <w:sz w:val="12"/>
                <w:szCs w:val="12"/>
                <w:color w:val="auto"/>
                <w:w w:val="95"/>
              </w:rPr>
              <w:t>(3)</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301"/>
              <w:spacing w:after="0"/>
              <w:rPr>
                <w:sz w:val="20"/>
                <w:szCs w:val="20"/>
                <w:color w:val="auto"/>
              </w:rPr>
            </w:pPr>
            <w:r>
              <w:rPr>
                <w:rFonts w:ascii="Arial" w:cs="Arial" w:eastAsia="Arial" w:hAnsi="Arial"/>
                <w:sz w:val="12"/>
                <w:szCs w:val="12"/>
                <w:color w:val="auto"/>
              </w:rPr>
              <w:t>$</w:t>
            </w:r>
          </w:p>
        </w:tc>
        <w:tc>
          <w:tcPr>
            <w:tcW w:w="340" w:type="dxa"/>
            <w:vAlign w:val="bottom"/>
            <w:gridSpan w:val="3"/>
            <w:vMerge w:val="restart"/>
          </w:tcPr>
          <w:p>
            <w:pPr>
              <w:jc w:val="right"/>
              <w:ind w:right="220"/>
              <w:spacing w:after="0"/>
              <w:rPr>
                <w:sz w:val="20"/>
                <w:szCs w:val="20"/>
                <w:color w:val="auto"/>
              </w:rPr>
            </w:pPr>
            <w:r>
              <w:rPr>
                <w:rFonts w:ascii="Arial" w:cs="Arial" w:eastAsia="Arial" w:hAnsi="Arial"/>
                <w:sz w:val="12"/>
                <w:szCs w:val="12"/>
                <w:color w:val="auto"/>
                <w:w w:val="82"/>
              </w:rPr>
              <w:t>—</w:t>
            </w:r>
          </w:p>
        </w:tc>
        <w:tc>
          <w:tcPr>
            <w:tcW w:w="720" w:type="dxa"/>
            <w:vAlign w:val="bottom"/>
            <w:vMerge w:val="restart"/>
          </w:tcPr>
          <w:p>
            <w:pPr>
              <w:jc w:val="right"/>
              <w:ind w:right="26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rPr>
                <w:sz w:val="20"/>
                <w:szCs w:val="20"/>
                <w:color w:val="auto"/>
              </w:rPr>
            </w:pPr>
            <w:r>
              <w:rPr>
                <w:rFonts w:ascii="Arial" w:cs="Arial" w:eastAsia="Arial" w:hAnsi="Arial"/>
                <w:sz w:val="12"/>
                <w:szCs w:val="12"/>
                <w:color w:val="auto"/>
                <w:w w:val="99"/>
              </w:rPr>
              <w:t>backed securities</w:t>
            </w:r>
          </w:p>
        </w:tc>
        <w:tc>
          <w:tcPr>
            <w:tcW w:w="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ind w:left="340"/>
              <w:spacing w:after="0" w:line="113" w:lineRule="exact"/>
              <w:rPr>
                <w:sz w:val="20"/>
                <w:szCs w:val="20"/>
                <w:color w:val="auto"/>
              </w:rPr>
            </w:pPr>
            <w:r>
              <w:rPr>
                <w:rFonts w:ascii="Arial" w:cs="Arial" w:eastAsia="Arial" w:hAnsi="Arial"/>
                <w:sz w:val="12"/>
                <w:szCs w:val="12"/>
                <w:color w:val="auto"/>
                <w:w w:val="93"/>
              </w:rPr>
              <w:t>Commercial</w:t>
            </w:r>
          </w:p>
        </w:tc>
        <w:tc>
          <w:tcPr>
            <w:tcW w:w="7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w w:val="98"/>
              </w:rPr>
              <w:t>mortgage-backed</w:t>
            </w:r>
          </w:p>
        </w:tc>
        <w:tc>
          <w:tcPr>
            <w:tcW w:w="7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7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4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9"/>
                <w:szCs w:val="9"/>
                <w:color w:val="auto"/>
              </w:rPr>
            </w:pPr>
          </w:p>
        </w:tc>
        <w:tc>
          <w:tcPr>
            <w:tcW w:w="360" w:type="dxa"/>
            <w:vAlign w:val="bottom"/>
            <w:tcBorders>
              <w:right w:val="single" w:sz="8" w:color="auto"/>
            </w:tcBorders>
            <w:vMerge w:val="restart"/>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9"/>
                <w:szCs w:val="9"/>
                <w:color w:val="auto"/>
              </w:rPr>
            </w:pPr>
          </w:p>
        </w:tc>
        <w:tc>
          <w:tcPr>
            <w:tcW w:w="3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2"/>
                <w:szCs w:val="12"/>
                <w:color w:val="auto"/>
                <w:w w:val="82"/>
              </w:rPr>
              <w:t>—</w:t>
            </w: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70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tcBorders>
              <w:right w:val="single" w:sz="8" w:color="auto"/>
            </w:tcBorders>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gridSpan w:val="3"/>
            <w:vMerge w:val="continue"/>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60" w:type="dxa"/>
            <w:vAlign w:val="bottom"/>
          </w:tcPr>
          <w:p>
            <w:pPr>
              <w:ind w:left="340"/>
              <w:spacing w:after="0"/>
              <w:rPr>
                <w:sz w:val="20"/>
                <w:szCs w:val="20"/>
                <w:color w:val="auto"/>
              </w:rPr>
            </w:pPr>
            <w:r>
              <w:rPr>
                <w:rFonts w:ascii="Arial" w:cs="Arial" w:eastAsia="Arial" w:hAnsi="Arial"/>
                <w:sz w:val="12"/>
                <w:szCs w:val="12"/>
                <w:color w:val="auto"/>
              </w:rPr>
              <w:t>Corporates</w:t>
            </w:r>
          </w:p>
        </w:tc>
        <w:tc>
          <w:tcPr>
            <w:tcW w:w="7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(16)</w:t>
            </w:r>
          </w:p>
        </w:tc>
        <w:tc>
          <w:tcPr>
            <w:tcW w:w="720" w:type="dxa"/>
            <w:vAlign w:val="bottom"/>
          </w:tcPr>
          <w:p>
            <w:pPr>
              <w:spacing w:after="0"/>
              <w:rPr>
                <w:sz w:val="13"/>
                <w:szCs w:val="13"/>
                <w:color w:val="auto"/>
              </w:rPr>
            </w:pPr>
          </w:p>
        </w:tc>
        <w:tc>
          <w:tcPr>
            <w:tcW w:w="240" w:type="dxa"/>
            <w:vAlign w:val="bottom"/>
          </w:tcPr>
          <w:p>
            <w:pPr>
              <w:ind w:left="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480" w:type="dxa"/>
            <w:vAlign w:val="bottom"/>
          </w:tcPr>
          <w:p>
            <w:pPr>
              <w:spacing w:after="0"/>
              <w:rPr>
                <w:sz w:val="13"/>
                <w:szCs w:val="13"/>
                <w:color w:val="auto"/>
              </w:rPr>
            </w:pPr>
          </w:p>
        </w:tc>
        <w:tc>
          <w:tcPr>
            <w:tcW w:w="960" w:type="dxa"/>
            <w:vAlign w:val="bottom"/>
          </w:tcPr>
          <w:p>
            <w:pPr>
              <w:jc w:val="right"/>
              <w:ind w:right="141"/>
              <w:spacing w:after="0"/>
              <w:rPr>
                <w:sz w:val="20"/>
                <w:szCs w:val="20"/>
                <w:color w:val="auto"/>
              </w:rPr>
            </w:pPr>
            <w:r>
              <w:rPr>
                <w:rFonts w:ascii="Arial" w:cs="Arial" w:eastAsia="Arial" w:hAnsi="Arial"/>
                <w:sz w:val="12"/>
                <w:szCs w:val="12"/>
                <w:color w:val="auto"/>
              </w:rPr>
              <w:t>5</w:t>
            </w:r>
          </w:p>
        </w:tc>
        <w:tc>
          <w:tcPr>
            <w:tcW w:w="420" w:type="dxa"/>
            <w:vAlign w:val="bottom"/>
          </w:tcPr>
          <w:p>
            <w:pPr>
              <w:spacing w:after="0"/>
              <w:rPr>
                <w:sz w:val="13"/>
                <w:szCs w:val="13"/>
                <w:color w:val="auto"/>
              </w:rPr>
            </w:pPr>
          </w:p>
        </w:tc>
        <w:tc>
          <w:tcPr>
            <w:tcW w:w="36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460" w:type="dxa"/>
            <w:vAlign w:val="bottom"/>
          </w:tcPr>
          <w:p>
            <w:pPr>
              <w:ind w:left="2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680" w:type="dxa"/>
            <w:vAlign w:val="bottom"/>
          </w:tcPr>
          <w:p>
            <w:pPr>
              <w:spacing w:after="0"/>
              <w:rPr>
                <w:sz w:val="13"/>
                <w:szCs w:val="13"/>
                <w:color w:val="auto"/>
              </w:rPr>
            </w:pP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ind w:left="340"/>
              <w:spacing w:after="0" w:line="113" w:lineRule="exact"/>
              <w:rPr>
                <w:sz w:val="20"/>
                <w:szCs w:val="20"/>
                <w:color w:val="auto"/>
              </w:rPr>
            </w:pPr>
            <w:r>
              <w:rPr>
                <w:rFonts w:ascii="Arial" w:cs="Arial" w:eastAsia="Arial" w:hAnsi="Arial"/>
                <w:sz w:val="12"/>
                <w:szCs w:val="12"/>
                <w:color w:val="auto"/>
              </w:rPr>
              <w:t>Residential</w:t>
            </w:r>
          </w:p>
        </w:tc>
        <w:tc>
          <w:tcPr>
            <w:tcW w:w="7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w w:val="98"/>
              </w:rPr>
              <w:t>mortgage-backed</w:t>
            </w:r>
          </w:p>
        </w:tc>
        <w:tc>
          <w:tcPr>
            <w:tcW w:w="7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7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4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9"/>
                <w:szCs w:val="9"/>
                <w:color w:val="auto"/>
              </w:rPr>
            </w:pPr>
          </w:p>
        </w:tc>
        <w:tc>
          <w:tcPr>
            <w:tcW w:w="360" w:type="dxa"/>
            <w:vAlign w:val="bottom"/>
            <w:tcBorders>
              <w:right w:val="single" w:sz="8" w:color="auto"/>
            </w:tcBorders>
            <w:vMerge w:val="restart"/>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9"/>
                <w:szCs w:val="9"/>
                <w:color w:val="auto"/>
              </w:rPr>
            </w:pPr>
          </w:p>
        </w:tc>
        <w:tc>
          <w:tcPr>
            <w:tcW w:w="3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2"/>
                <w:szCs w:val="12"/>
                <w:color w:val="auto"/>
                <w:w w:val="82"/>
              </w:rPr>
              <w:t>—</w:t>
            </w: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70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tcBorders>
              <w:right w:val="single" w:sz="8" w:color="auto"/>
            </w:tcBorders>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gridSpan w:val="3"/>
            <w:vMerge w:val="continue"/>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tcPr>
          <w:p>
            <w:pPr>
              <w:ind w:left="600"/>
              <w:spacing w:after="0" w:line="90" w:lineRule="exact"/>
              <w:rPr>
                <w:sz w:val="20"/>
                <w:szCs w:val="20"/>
                <w:color w:val="auto"/>
              </w:rPr>
            </w:pPr>
            <w:r>
              <w:rPr>
                <w:rFonts w:ascii="Arial" w:cs="Arial" w:eastAsia="Arial" w:hAnsi="Arial"/>
                <w:sz w:val="9"/>
                <w:szCs w:val="9"/>
                <w:b w:val="1"/>
                <w:bCs w:val="1"/>
                <w:color w:val="auto"/>
              </w:rPr>
              <w:t>Total</w:t>
            </w:r>
          </w:p>
        </w:tc>
        <w:tc>
          <w:tcPr>
            <w:tcW w:w="7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60" w:type="dxa"/>
            <w:vAlign w:val="bottom"/>
            <w:tcBorders>
              <w:top w:val="single" w:sz="8" w:color="auto"/>
              <w:right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60" w:type="dxa"/>
            <w:vAlign w:val="bottom"/>
          </w:tcPr>
          <w:p>
            <w:pPr>
              <w:ind w:left="280"/>
              <w:spacing w:after="0" w:line="110" w:lineRule="exact"/>
              <w:rPr>
                <w:sz w:val="20"/>
                <w:szCs w:val="20"/>
                <w:color w:val="auto"/>
              </w:rPr>
            </w:pPr>
            <w:r>
              <w:rPr>
                <w:rFonts w:ascii="Arial" w:cs="Arial" w:eastAsia="Arial" w:hAnsi="Arial"/>
                <w:sz w:val="12"/>
                <w:szCs w:val="12"/>
                <w:b w:val="1"/>
                <w:bCs w:val="1"/>
                <w:color w:val="auto"/>
                <w:w w:val="88"/>
              </w:rPr>
              <w:t>available-for-</w:t>
            </w: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tcPr>
          <w:p>
            <w:pPr>
              <w:ind w:left="280"/>
              <w:spacing w:after="0" w:line="110" w:lineRule="exact"/>
              <w:rPr>
                <w:sz w:val="20"/>
                <w:szCs w:val="20"/>
                <w:color w:val="auto"/>
              </w:rPr>
            </w:pPr>
            <w:r>
              <w:rPr>
                <w:rFonts w:ascii="Arial" w:cs="Arial" w:eastAsia="Arial" w:hAnsi="Arial"/>
                <w:sz w:val="12"/>
                <w:szCs w:val="12"/>
                <w:b w:val="1"/>
                <w:bCs w:val="1"/>
                <w:color w:val="auto"/>
              </w:rPr>
              <w:t>sale</w:t>
            </w:r>
          </w:p>
        </w:tc>
        <w:tc>
          <w:tcPr>
            <w:tcW w:w="700" w:type="dxa"/>
            <w:vAlign w:val="bottom"/>
            <w:vMerge w:val="restart"/>
          </w:tcPr>
          <w:p>
            <w:pPr>
              <w:jc w:val="right"/>
              <w:ind w:right="241"/>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720" w:type="dxa"/>
            <w:vAlign w:val="bottom"/>
            <w:vMerge w:val="restart"/>
          </w:tcPr>
          <w:p>
            <w:pPr>
              <w:jc w:val="right"/>
              <w:ind w:right="261"/>
              <w:spacing w:after="0"/>
              <w:rPr>
                <w:sz w:val="20"/>
                <w:szCs w:val="20"/>
                <w:color w:val="auto"/>
              </w:rPr>
            </w:pPr>
            <w:r>
              <w:rPr>
                <w:rFonts w:ascii="Arial" w:cs="Arial" w:eastAsia="Arial" w:hAnsi="Arial"/>
                <w:sz w:val="12"/>
                <w:szCs w:val="12"/>
                <w:color w:val="auto"/>
              </w:rPr>
              <w:t>$</w:t>
            </w:r>
          </w:p>
        </w:tc>
        <w:tc>
          <w:tcPr>
            <w:tcW w:w="240" w:type="dxa"/>
            <w:vAlign w:val="bottom"/>
            <w:vMerge w:val="restart"/>
          </w:tcPr>
          <w:p>
            <w:pPr>
              <w:ind w:left="60"/>
              <w:spacing w:after="0"/>
              <w:rPr>
                <w:sz w:val="20"/>
                <w:szCs w:val="20"/>
                <w:color w:val="auto"/>
              </w:rPr>
            </w:pPr>
            <w:r>
              <w:rPr>
                <w:rFonts w:ascii="Arial" w:cs="Arial" w:eastAsia="Arial" w:hAnsi="Arial"/>
                <w:sz w:val="12"/>
                <w:szCs w:val="12"/>
                <w:color w:val="auto"/>
              </w:rPr>
              <w:t>(1)</w:t>
            </w:r>
          </w:p>
        </w:tc>
        <w:tc>
          <w:tcPr>
            <w:tcW w:w="720" w:type="dxa"/>
            <w:vAlign w:val="bottom"/>
            <w:vMerge w:val="restart"/>
          </w:tcPr>
          <w:p>
            <w:pPr>
              <w:jc w:val="right"/>
              <w:ind w:right="281"/>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w w:val="99"/>
              </w:rPr>
              <w:t>—</w:t>
            </w:r>
          </w:p>
        </w:tc>
        <w:tc>
          <w:tcPr>
            <w:tcW w:w="48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960" w:type="dxa"/>
            <w:vAlign w:val="bottom"/>
            <w:vMerge w:val="restart"/>
          </w:tcPr>
          <w:p>
            <w:pPr>
              <w:jc w:val="right"/>
              <w:ind w:right="141"/>
              <w:spacing w:after="0"/>
              <w:rPr>
                <w:sz w:val="20"/>
                <w:szCs w:val="20"/>
                <w:color w:val="auto"/>
              </w:rPr>
            </w:pPr>
            <w:r>
              <w:rPr>
                <w:rFonts w:ascii="Arial" w:cs="Arial" w:eastAsia="Arial" w:hAnsi="Arial"/>
                <w:sz w:val="12"/>
                <w:szCs w:val="12"/>
                <w:color w:val="auto"/>
              </w:rPr>
              <w:t>4</w:t>
            </w:r>
          </w:p>
        </w:tc>
        <w:tc>
          <w:tcPr>
            <w:tcW w:w="420" w:type="dxa"/>
            <w:vAlign w:val="bottom"/>
            <w:vMerge w:val="restart"/>
          </w:tcPr>
          <w:p>
            <w:pPr>
              <w:jc w:val="right"/>
              <w:ind w:right="121"/>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ind w:left="300"/>
              <w:spacing w:after="0"/>
              <w:rPr>
                <w:sz w:val="20"/>
                <w:szCs w:val="20"/>
                <w:color w:val="auto"/>
              </w:rPr>
            </w:pPr>
            <w:r>
              <w:rPr>
                <w:rFonts w:ascii="Arial" w:cs="Arial" w:eastAsia="Arial" w:hAnsi="Arial"/>
                <w:sz w:val="12"/>
                <w:szCs w:val="12"/>
                <w:color w:val="auto"/>
                <w:w w:val="95"/>
              </w:rPr>
              <w:t>(3)</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1"/>
              <w:spacing w:after="0"/>
              <w:rPr>
                <w:sz w:val="20"/>
                <w:szCs w:val="20"/>
                <w:color w:val="auto"/>
              </w:rPr>
            </w:pPr>
            <w:r>
              <w:rPr>
                <w:rFonts w:ascii="Arial" w:cs="Arial" w:eastAsia="Arial" w:hAnsi="Arial"/>
                <w:sz w:val="12"/>
                <w:szCs w:val="12"/>
                <w:color w:val="auto"/>
              </w:rPr>
              <w:t>3</w:t>
            </w:r>
          </w:p>
        </w:tc>
        <w:tc>
          <w:tcPr>
            <w:tcW w:w="680" w:type="dxa"/>
            <w:vAlign w:val="bottom"/>
            <w:vMerge w:val="restart"/>
          </w:tcPr>
          <w:p>
            <w:pPr>
              <w:jc w:val="right"/>
              <w:ind w:right="301"/>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26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96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securities</w:t>
            </w:r>
          </w:p>
        </w:tc>
        <w:tc>
          <w:tcPr>
            <w:tcW w:w="70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right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right="80"/>
        <w:spacing w:after="0" w:line="254" w:lineRule="auto"/>
        <w:rPr>
          <w:sz w:val="20"/>
          <w:szCs w:val="20"/>
          <w:color w:val="auto"/>
        </w:rPr>
      </w:pPr>
      <w:r>
        <w:rPr>
          <w:rFonts w:ascii="Arial" w:cs="Arial" w:eastAsia="Arial" w:hAnsi="Arial"/>
          <w:sz w:val="15"/>
          <w:szCs w:val="15"/>
          <w:color w:val="auto"/>
        </w:rPr>
        <w:t>Purchased credit-deteriorated available-for-sale debt securities ("PCD"s) are AFS securities purchased at a discount, where part of that discount is attributable to credit. Credit loss allowances are calculated for these securities as of the date of their acquisition, with the initial allowance serving to increase amortized cost. The following table summarizes purchases of PCD AFS securities during the three and six-month periods ended June 30, 2021 (in millions).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7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20" w:type="dxa"/>
            <w:vAlign w:val="bottom"/>
          </w:tcPr>
          <w:p>
            <w:pPr>
              <w:jc w:val="right"/>
              <w:ind w:right="473"/>
              <w:spacing w:after="0"/>
              <w:rPr>
                <w:sz w:val="20"/>
                <w:szCs w:val="20"/>
                <w:color w:val="auto"/>
              </w:rPr>
            </w:pPr>
            <w:r>
              <w:rPr>
                <w:rFonts w:ascii="Arial" w:cs="Arial" w:eastAsia="Arial" w:hAnsi="Arial"/>
                <w:sz w:val="12"/>
                <w:szCs w:val="12"/>
                <w:b w:val="1"/>
                <w:bCs w:val="1"/>
                <w:color w:val="auto"/>
              </w:rPr>
              <w:t>Three and Six Months Ended</w:t>
            </w:r>
          </w:p>
        </w:tc>
      </w:tr>
      <w:tr>
        <w:trPr>
          <w:trHeight w:val="159"/>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Purchased credit-deteriorated available-for-sale debt securities</w:t>
            </w:r>
          </w:p>
        </w:tc>
        <w:tc>
          <w:tcPr>
            <w:tcW w:w="6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853"/>
              <w:spacing w:after="0"/>
              <w:rPr>
                <w:sz w:val="20"/>
                <w:szCs w:val="20"/>
                <w:color w:val="auto"/>
              </w:rPr>
            </w:pPr>
            <w:r>
              <w:rPr>
                <w:rFonts w:ascii="Arial" w:cs="Arial" w:eastAsia="Arial" w:hAnsi="Arial"/>
                <w:sz w:val="12"/>
                <w:szCs w:val="12"/>
                <w:b w:val="1"/>
                <w:bCs w:val="1"/>
                <w:color w:val="auto"/>
              </w:rPr>
              <w:t>June 30, 2021</w:t>
            </w:r>
          </w:p>
        </w:tc>
      </w:tr>
      <w:tr>
        <w:trPr>
          <w:trHeight w:val="183"/>
        </w:trPr>
        <w:tc>
          <w:tcPr>
            <w:tcW w:w="7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Purchase price</w:t>
            </w:r>
          </w:p>
        </w:tc>
        <w:tc>
          <w:tcPr>
            <w:tcW w:w="66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87"/>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Allowance for credit losses at acquisition</w:t>
            </w:r>
          </w:p>
        </w:tc>
        <w:tc>
          <w:tcPr>
            <w:tcW w:w="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203"/>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AFS purchased credit-deteriorated par value</w:t>
            </w:r>
          </w:p>
        </w:tc>
        <w:tc>
          <w:tcPr>
            <w:tcW w:w="66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80" w:firstLine="330"/>
        <w:spacing w:after="0" w:line="264" w:lineRule="auto"/>
        <w:rPr>
          <w:sz w:val="20"/>
          <w:szCs w:val="20"/>
          <w:color w:val="auto"/>
        </w:rPr>
      </w:pPr>
      <w:r>
        <w:rPr>
          <w:rFonts w:ascii="Arial" w:cs="Arial" w:eastAsia="Arial" w:hAnsi="Arial"/>
          <w:sz w:val="15"/>
          <w:szCs w:val="15"/>
          <w:color w:val="auto"/>
        </w:rPr>
        <w:t>The fair value and gross unrealized losses of available-for-sale securities, excluding securities in an unrealized loss position with an allowance for expected credit loss, aggregated by investment category and duration of fair value below amortized cost as of June 30, 2021 and December 31, 2020 were as follows (dollars in millions):</w:t>
      </w: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3" w:name="page34"/>
    <w:bookmarkEnd w:id="3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2"/>
                <w:szCs w:val="12"/>
                <w:b w:val="1"/>
                <w:bCs w:val="1"/>
                <w:color w:val="auto"/>
                <w:w w:val="87"/>
              </w:rPr>
              <w:t>June 30, 2021</w:t>
            </w: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20" w:type="dxa"/>
            <w:vAlign w:val="bottom"/>
            <w:gridSpan w:val="6"/>
          </w:tcPr>
          <w:p>
            <w:pPr>
              <w:ind w:left="780"/>
              <w:spacing w:after="0"/>
              <w:rPr>
                <w:sz w:val="20"/>
                <w:szCs w:val="20"/>
                <w:color w:val="auto"/>
              </w:rPr>
            </w:pPr>
            <w:r>
              <w:rPr>
                <w:rFonts w:ascii="Arial" w:cs="Arial" w:eastAsia="Arial" w:hAnsi="Arial"/>
                <w:sz w:val="12"/>
                <w:szCs w:val="12"/>
                <w:b w:val="1"/>
                <w:bCs w:val="1"/>
                <w:color w:val="auto"/>
              </w:rPr>
              <w:t>Less than 12 months</w:t>
            </w:r>
          </w:p>
        </w:tc>
        <w:tc>
          <w:tcPr>
            <w:tcW w:w="220" w:type="dxa"/>
            <w:vAlign w:val="bottom"/>
          </w:tcPr>
          <w:p>
            <w:pPr>
              <w:spacing w:after="0"/>
              <w:rPr>
                <w:sz w:val="12"/>
                <w:szCs w:val="12"/>
                <w:color w:val="auto"/>
              </w:rPr>
            </w:pPr>
          </w:p>
        </w:tc>
        <w:tc>
          <w:tcPr>
            <w:tcW w:w="1600" w:type="dxa"/>
            <w:vAlign w:val="bottom"/>
            <w:gridSpan w:val="3"/>
          </w:tcPr>
          <w:p>
            <w:pPr>
              <w:jc w:val="center"/>
              <w:ind w:left="521"/>
              <w:spacing w:after="0"/>
              <w:rPr>
                <w:sz w:val="20"/>
                <w:szCs w:val="20"/>
                <w:color w:val="auto"/>
              </w:rPr>
            </w:pPr>
            <w:r>
              <w:rPr>
                <w:rFonts w:ascii="Arial" w:cs="Arial" w:eastAsia="Arial" w:hAnsi="Arial"/>
                <w:sz w:val="12"/>
                <w:szCs w:val="12"/>
                <w:b w:val="1"/>
                <w:bCs w:val="1"/>
                <w:color w:val="auto"/>
                <w:w w:val="88"/>
              </w:rPr>
              <w:t>12 months or longer</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Arial" w:cs="Arial" w:eastAsia="Arial" w:hAnsi="Arial"/>
                <w:sz w:val="12"/>
                <w:szCs w:val="12"/>
                <w:b w:val="1"/>
                <w:bCs w:val="1"/>
                <w:color w:val="auto"/>
              </w:rPr>
              <w:t>Total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200" w:type="dxa"/>
            <w:vAlign w:val="bottom"/>
          </w:tcPr>
          <w:p>
            <w:pPr>
              <w:spacing w:after="0"/>
              <w:rPr>
                <w:sz w:val="8"/>
                <w:szCs w:val="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142"/>
              <w:spacing w:after="0" w:line="103" w:lineRule="exact"/>
              <w:rPr>
                <w:sz w:val="20"/>
                <w:szCs w:val="20"/>
                <w:color w:val="auto"/>
              </w:rPr>
            </w:pPr>
            <w:r>
              <w:rPr>
                <w:rFonts w:ascii="Arial" w:cs="Arial" w:eastAsia="Arial" w:hAnsi="Arial"/>
                <w:sz w:val="11"/>
                <w:szCs w:val="11"/>
                <w:b w:val="1"/>
                <w:bCs w:val="1"/>
                <w:color w:val="auto"/>
                <w:w w:val="99"/>
              </w:rPr>
              <w:t>Gross Unrealized</w:t>
            </w: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260" w:type="dxa"/>
            <w:vAlign w:val="bottom"/>
            <w:tcBorders>
              <w:top w:val="single" w:sz="8" w:color="auto"/>
            </w:tcBorders>
            <w:gridSpan w:val="2"/>
          </w:tcPr>
          <w:p>
            <w:pPr>
              <w:jc w:val="right"/>
              <w:ind w:right="141"/>
              <w:spacing w:after="0" w:line="103" w:lineRule="exact"/>
              <w:rPr>
                <w:sz w:val="20"/>
                <w:szCs w:val="20"/>
                <w:color w:val="auto"/>
              </w:rPr>
            </w:pPr>
            <w:r>
              <w:rPr>
                <w:rFonts w:ascii="Arial" w:cs="Arial" w:eastAsia="Arial" w:hAnsi="Arial"/>
                <w:sz w:val="11"/>
                <w:szCs w:val="11"/>
                <w:b w:val="1"/>
                <w:bCs w:val="1"/>
                <w:color w:val="auto"/>
              </w:rPr>
              <w:t>Gross Unrealized</w:t>
            </w: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ind w:right="162"/>
              <w:spacing w:after="0" w:line="103" w:lineRule="exact"/>
              <w:rPr>
                <w:sz w:val="20"/>
                <w:szCs w:val="20"/>
                <w:color w:val="auto"/>
              </w:rPr>
            </w:pPr>
            <w:r>
              <w:rPr>
                <w:rFonts w:ascii="Arial" w:cs="Arial" w:eastAsia="Arial" w:hAnsi="Arial"/>
                <w:sz w:val="11"/>
                <w:szCs w:val="11"/>
                <w:b w:val="1"/>
                <w:bCs w:val="1"/>
                <w:color w:val="auto"/>
                <w:w w:val="99"/>
              </w:rPr>
              <w:t>Gross Unrealized</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340"/>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402"/>
              <w:spacing w:after="0"/>
              <w:rPr>
                <w:sz w:val="20"/>
                <w:szCs w:val="20"/>
                <w:color w:val="auto"/>
              </w:rPr>
            </w:pPr>
            <w:r>
              <w:rPr>
                <w:rFonts w:ascii="Arial" w:cs="Arial" w:eastAsia="Arial" w:hAnsi="Arial"/>
                <w:sz w:val="12"/>
                <w:szCs w:val="12"/>
                <w:b w:val="1"/>
                <w:bCs w:val="1"/>
                <w:color w:val="auto"/>
              </w:rPr>
              <w:t>Losses</w:t>
            </w:r>
          </w:p>
        </w:tc>
        <w:tc>
          <w:tcPr>
            <w:tcW w:w="0" w:type="dxa"/>
            <w:vAlign w:val="bottom"/>
          </w:tcPr>
          <w:p>
            <w:pPr>
              <w:spacing w:after="0"/>
              <w:rPr>
                <w:sz w:val="1"/>
                <w:szCs w:val="1"/>
                <w:color w:val="auto"/>
              </w:rPr>
            </w:pPr>
          </w:p>
        </w:tc>
      </w:tr>
      <w:tr>
        <w:trPr>
          <w:trHeight w:val="136"/>
        </w:trPr>
        <w:tc>
          <w:tcPr>
            <w:tcW w:w="320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Available-for-sale securities</w:t>
            </w:r>
          </w:p>
        </w:tc>
        <w:tc>
          <w:tcPr>
            <w:tcW w:w="9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900" w:type="dxa"/>
            <w:vAlign w:val="bottom"/>
          </w:tcPr>
          <w:p>
            <w:pPr>
              <w:jc w:val="right"/>
              <w:ind w:right="787"/>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1,478</w:t>
            </w:r>
          </w:p>
        </w:tc>
        <w:tc>
          <w:tcPr>
            <w:tcW w:w="12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3"/>
                <w:szCs w:val="13"/>
                <w:color w:val="auto"/>
              </w:rPr>
            </w:pPr>
          </w:p>
        </w:tc>
        <w:tc>
          <w:tcPr>
            <w:tcW w:w="460" w:type="dxa"/>
            <w:vAlign w:val="bottom"/>
          </w:tcPr>
          <w:p>
            <w:pPr>
              <w:jc w:val="right"/>
              <w:ind w:right="323"/>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1,576</w:t>
            </w:r>
          </w:p>
        </w:tc>
        <w:tc>
          <w:tcPr>
            <w:tcW w:w="12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mortgage-backed securities</w:t>
            </w: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Corporates</w:t>
            </w: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3,040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3,088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Hybrids</w:t>
            </w: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Municipals</w:t>
            </w: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mortgage-backed securities</w:t>
            </w: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U.S. Government</w:t>
            </w: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Government</w:t>
            </w: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200" w:type="dxa"/>
            <w:vAlign w:val="bottom"/>
          </w:tcPr>
          <w:p>
            <w:pPr>
              <w:ind w:left="180"/>
              <w:spacing w:after="0"/>
              <w:rPr>
                <w:sz w:val="20"/>
                <w:szCs w:val="20"/>
                <w:color w:val="auto"/>
              </w:rPr>
            </w:pPr>
            <w:r>
              <w:rPr>
                <w:rFonts w:ascii="Arial" w:cs="Arial" w:eastAsia="Arial" w:hAnsi="Arial"/>
                <w:sz w:val="12"/>
                <w:szCs w:val="12"/>
                <w:b w:val="1"/>
                <w:bCs w:val="1"/>
                <w:color w:val="auto"/>
              </w:rPr>
              <w:t>Total available-for-sale securities</w:t>
            </w:r>
          </w:p>
        </w:tc>
        <w:tc>
          <w:tcPr>
            <w:tcW w:w="90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4,968</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(134)</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223</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5,191</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200" w:type="dxa"/>
            <w:vAlign w:val="bottom"/>
            <w:shd w:val="clear" w:color="auto" w:fill="CCEEFF"/>
          </w:tcPr>
          <w:p>
            <w:pPr>
              <w:ind w:left="20"/>
              <w:spacing w:after="0" w:line="72" w:lineRule="exact"/>
              <w:rPr>
                <w:sz w:val="20"/>
                <w:szCs w:val="20"/>
                <w:color w:val="auto"/>
              </w:rPr>
            </w:pPr>
            <w:r>
              <w:rPr>
                <w:rFonts w:ascii="Arial" w:cs="Arial" w:eastAsia="Arial" w:hAnsi="Arial"/>
                <w:sz w:val="8"/>
                <w:szCs w:val="8"/>
                <w:color w:val="auto"/>
              </w:rPr>
              <w:t>Total number of available-for-sale securities in an unrealized loss</w:t>
            </w:r>
          </w:p>
        </w:tc>
        <w:tc>
          <w:tcPr>
            <w:tcW w:w="9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r>
        <w:trPr>
          <w:trHeight w:val="152"/>
        </w:trPr>
        <w:tc>
          <w:tcPr>
            <w:tcW w:w="3200" w:type="dxa"/>
            <w:vAlign w:val="bottom"/>
            <w:tcBorders>
              <w:bottom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color w:val="auto"/>
              </w:rPr>
              <w:t>position less than twelve months</w:t>
            </w:r>
          </w:p>
        </w:tc>
        <w:tc>
          <w:tcPr>
            <w:tcW w:w="9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line="92" w:lineRule="exact"/>
              <w:rPr>
                <w:sz w:val="20"/>
                <w:szCs w:val="20"/>
                <w:color w:val="auto"/>
              </w:rPr>
            </w:pPr>
            <w:r>
              <w:rPr>
                <w:rFonts w:ascii="Arial" w:cs="Arial" w:eastAsia="Arial" w:hAnsi="Arial"/>
                <w:sz w:val="9"/>
                <w:szCs w:val="9"/>
                <w:color w:val="auto"/>
              </w:rPr>
              <w:t>Total number of available-for-sale securities in an unrealized loss</w:t>
            </w: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2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32"/>
        </w:trPr>
        <w:tc>
          <w:tcPr>
            <w:tcW w:w="3200" w:type="dxa"/>
            <w:vAlign w:val="bottom"/>
          </w:tcPr>
          <w:p>
            <w:pPr>
              <w:ind w:left="20"/>
              <w:spacing w:after="0" w:line="132" w:lineRule="exact"/>
              <w:rPr>
                <w:sz w:val="20"/>
                <w:szCs w:val="20"/>
                <w:color w:val="auto"/>
              </w:rPr>
            </w:pPr>
            <w:r>
              <w:rPr>
                <w:rFonts w:ascii="Arial" w:cs="Arial" w:eastAsia="Arial" w:hAnsi="Arial"/>
                <w:sz w:val="12"/>
                <w:szCs w:val="12"/>
                <w:color w:val="auto"/>
              </w:rPr>
              <w:t>position twelve months or longer</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200" w:type="dxa"/>
            <w:vAlign w:val="bottom"/>
            <w:shd w:val="clear" w:color="auto" w:fill="CCEEFF"/>
          </w:tcPr>
          <w:p>
            <w:pPr>
              <w:ind w:left="20"/>
              <w:spacing w:after="0" w:line="72" w:lineRule="exact"/>
              <w:rPr>
                <w:sz w:val="20"/>
                <w:szCs w:val="20"/>
                <w:color w:val="auto"/>
              </w:rPr>
            </w:pPr>
            <w:r>
              <w:rPr>
                <w:rFonts w:ascii="Arial" w:cs="Arial" w:eastAsia="Arial" w:hAnsi="Arial"/>
                <w:sz w:val="8"/>
                <w:szCs w:val="8"/>
                <w:color w:val="auto"/>
              </w:rPr>
              <w:t>Total number of available-for-sale securities in an unrealized loss</w:t>
            </w:r>
          </w:p>
        </w:tc>
        <w:tc>
          <w:tcPr>
            <w:tcW w:w="9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152"/>
        </w:trPr>
        <w:tc>
          <w:tcPr>
            <w:tcW w:w="3200" w:type="dxa"/>
            <w:vAlign w:val="bottom"/>
            <w:tcBorders>
              <w:bottom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color w:val="auto"/>
              </w:rPr>
              <w:t>position</w:t>
            </w:r>
          </w:p>
        </w:tc>
        <w:tc>
          <w:tcPr>
            <w:tcW w:w="9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3"/>
            <w:vMerge w:val="restart"/>
          </w:tcPr>
          <w:p>
            <w:pPr>
              <w:jc w:val="center"/>
              <w:ind w:left="541"/>
              <w:spacing w:after="0"/>
              <w:rPr>
                <w:sz w:val="20"/>
                <w:szCs w:val="20"/>
                <w:color w:val="auto"/>
              </w:rPr>
            </w:pPr>
            <w:r>
              <w:rPr>
                <w:rFonts w:ascii="Arial" w:cs="Arial" w:eastAsia="Arial" w:hAnsi="Arial"/>
                <w:sz w:val="12"/>
                <w:szCs w:val="12"/>
                <w:b w:val="1"/>
                <w:bCs w:val="1"/>
                <w:color w:val="auto"/>
                <w:w w:val="88"/>
              </w:rPr>
              <w:t>December 31, 2020</w:t>
            </w: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20" w:type="dxa"/>
            <w:vAlign w:val="bottom"/>
            <w:gridSpan w:val="6"/>
          </w:tcPr>
          <w:p>
            <w:pPr>
              <w:ind w:left="780"/>
              <w:spacing w:after="0"/>
              <w:rPr>
                <w:sz w:val="20"/>
                <w:szCs w:val="20"/>
                <w:color w:val="auto"/>
              </w:rPr>
            </w:pPr>
            <w:r>
              <w:rPr>
                <w:rFonts w:ascii="Arial" w:cs="Arial" w:eastAsia="Arial" w:hAnsi="Arial"/>
                <w:sz w:val="12"/>
                <w:szCs w:val="12"/>
                <w:b w:val="1"/>
                <w:bCs w:val="1"/>
                <w:color w:val="auto"/>
              </w:rPr>
              <w:t>Less than 12 months</w:t>
            </w:r>
          </w:p>
        </w:tc>
        <w:tc>
          <w:tcPr>
            <w:tcW w:w="220" w:type="dxa"/>
            <w:vAlign w:val="bottom"/>
          </w:tcPr>
          <w:p>
            <w:pPr>
              <w:spacing w:after="0"/>
              <w:rPr>
                <w:sz w:val="12"/>
                <w:szCs w:val="12"/>
                <w:color w:val="auto"/>
              </w:rPr>
            </w:pPr>
          </w:p>
        </w:tc>
        <w:tc>
          <w:tcPr>
            <w:tcW w:w="1600" w:type="dxa"/>
            <w:vAlign w:val="bottom"/>
            <w:gridSpan w:val="3"/>
          </w:tcPr>
          <w:p>
            <w:pPr>
              <w:jc w:val="center"/>
              <w:ind w:left="521"/>
              <w:spacing w:after="0"/>
              <w:rPr>
                <w:sz w:val="20"/>
                <w:szCs w:val="20"/>
                <w:color w:val="auto"/>
              </w:rPr>
            </w:pPr>
            <w:r>
              <w:rPr>
                <w:rFonts w:ascii="Arial" w:cs="Arial" w:eastAsia="Arial" w:hAnsi="Arial"/>
                <w:sz w:val="12"/>
                <w:szCs w:val="12"/>
                <w:b w:val="1"/>
                <w:bCs w:val="1"/>
                <w:color w:val="auto"/>
                <w:w w:val="88"/>
              </w:rPr>
              <w:t>12 months or longer</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Arial" w:cs="Arial" w:eastAsia="Arial" w:hAnsi="Arial"/>
                <w:sz w:val="12"/>
                <w:szCs w:val="12"/>
                <w:b w:val="1"/>
                <w:bCs w:val="1"/>
                <w:color w:val="auto"/>
              </w:rPr>
              <w:t>Total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200" w:type="dxa"/>
            <w:vAlign w:val="bottom"/>
          </w:tcPr>
          <w:p>
            <w:pPr>
              <w:spacing w:after="0"/>
              <w:rPr>
                <w:sz w:val="8"/>
                <w:szCs w:val="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142"/>
              <w:spacing w:after="0" w:line="103" w:lineRule="exact"/>
              <w:rPr>
                <w:sz w:val="20"/>
                <w:szCs w:val="20"/>
                <w:color w:val="auto"/>
              </w:rPr>
            </w:pPr>
            <w:r>
              <w:rPr>
                <w:rFonts w:ascii="Arial" w:cs="Arial" w:eastAsia="Arial" w:hAnsi="Arial"/>
                <w:sz w:val="11"/>
                <w:szCs w:val="11"/>
                <w:b w:val="1"/>
                <w:bCs w:val="1"/>
                <w:color w:val="auto"/>
                <w:w w:val="99"/>
              </w:rPr>
              <w:t>Gross Unrealized</w:t>
            </w: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260" w:type="dxa"/>
            <w:vAlign w:val="bottom"/>
            <w:tcBorders>
              <w:top w:val="single" w:sz="8" w:color="auto"/>
            </w:tcBorders>
            <w:gridSpan w:val="2"/>
          </w:tcPr>
          <w:p>
            <w:pPr>
              <w:jc w:val="right"/>
              <w:ind w:right="141"/>
              <w:spacing w:after="0" w:line="103" w:lineRule="exact"/>
              <w:rPr>
                <w:sz w:val="20"/>
                <w:szCs w:val="20"/>
                <w:color w:val="auto"/>
              </w:rPr>
            </w:pPr>
            <w:r>
              <w:rPr>
                <w:rFonts w:ascii="Arial" w:cs="Arial" w:eastAsia="Arial" w:hAnsi="Arial"/>
                <w:sz w:val="11"/>
                <w:szCs w:val="11"/>
                <w:b w:val="1"/>
                <w:bCs w:val="1"/>
                <w:color w:val="auto"/>
              </w:rPr>
              <w:t>Gross Unrealized</w:t>
            </w: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ind w:right="162"/>
              <w:spacing w:after="0" w:line="103" w:lineRule="exact"/>
              <w:rPr>
                <w:sz w:val="20"/>
                <w:szCs w:val="20"/>
                <w:color w:val="auto"/>
              </w:rPr>
            </w:pPr>
            <w:r>
              <w:rPr>
                <w:rFonts w:ascii="Arial" w:cs="Arial" w:eastAsia="Arial" w:hAnsi="Arial"/>
                <w:sz w:val="11"/>
                <w:szCs w:val="11"/>
                <w:b w:val="1"/>
                <w:bCs w:val="1"/>
                <w:color w:val="auto"/>
                <w:w w:val="99"/>
              </w:rPr>
              <w:t>Gross Unrealized</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340"/>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402"/>
              <w:spacing w:after="0"/>
              <w:rPr>
                <w:sz w:val="20"/>
                <w:szCs w:val="20"/>
                <w:color w:val="auto"/>
              </w:rPr>
            </w:pPr>
            <w:r>
              <w:rPr>
                <w:rFonts w:ascii="Arial" w:cs="Arial" w:eastAsia="Arial" w:hAnsi="Arial"/>
                <w:sz w:val="12"/>
                <w:szCs w:val="12"/>
                <w:b w:val="1"/>
                <w:bCs w:val="1"/>
                <w:color w:val="auto"/>
              </w:rPr>
              <w:t>Losses</w:t>
            </w:r>
          </w:p>
        </w:tc>
        <w:tc>
          <w:tcPr>
            <w:tcW w:w="0" w:type="dxa"/>
            <w:vAlign w:val="bottom"/>
          </w:tcPr>
          <w:p>
            <w:pPr>
              <w:spacing w:after="0"/>
              <w:rPr>
                <w:sz w:val="1"/>
                <w:szCs w:val="1"/>
                <w:color w:val="auto"/>
              </w:rPr>
            </w:pPr>
          </w:p>
        </w:tc>
      </w:tr>
      <w:tr>
        <w:trPr>
          <w:trHeight w:val="136"/>
        </w:trPr>
        <w:tc>
          <w:tcPr>
            <w:tcW w:w="320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Available-for-sale securities</w:t>
            </w:r>
          </w:p>
        </w:tc>
        <w:tc>
          <w:tcPr>
            <w:tcW w:w="9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900" w:type="dxa"/>
            <w:vAlign w:val="bottom"/>
          </w:tcPr>
          <w:p>
            <w:pPr>
              <w:jc w:val="right"/>
              <w:ind w:right="787"/>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477</w:t>
            </w:r>
          </w:p>
        </w:tc>
        <w:tc>
          <w:tcPr>
            <w:tcW w:w="12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323"/>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477</w:t>
            </w:r>
          </w:p>
        </w:tc>
        <w:tc>
          <w:tcPr>
            <w:tcW w:w="12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mortgage-backed securities</w:t>
            </w: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Corporates</w:t>
            </w: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865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Hybrids</w:t>
            </w: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Municipals</w:t>
            </w: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mortgage-backed securities</w:t>
            </w: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1"/>
        </w:trPr>
        <w:tc>
          <w:tcPr>
            <w:tcW w:w="3200" w:type="dxa"/>
            <w:vAlign w:val="bottom"/>
          </w:tcPr>
          <w:p>
            <w:pPr>
              <w:ind w:left="20"/>
              <w:spacing w:after="0"/>
              <w:rPr>
                <w:sz w:val="20"/>
                <w:szCs w:val="20"/>
                <w:color w:val="auto"/>
              </w:rPr>
            </w:pPr>
            <w:r>
              <w:rPr>
                <w:rFonts w:ascii="Arial" w:cs="Arial" w:eastAsia="Arial" w:hAnsi="Arial"/>
                <w:sz w:val="12"/>
                <w:szCs w:val="12"/>
                <w:color w:val="auto"/>
              </w:rPr>
              <w:t>U.S. Government</w:t>
            </w: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 available-for-sale securities</w:t>
            </w:r>
          </w:p>
        </w:tc>
        <w:tc>
          <w:tcPr>
            <w:tcW w:w="90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1,550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line="92" w:lineRule="exact"/>
              <w:rPr>
                <w:sz w:val="20"/>
                <w:szCs w:val="20"/>
                <w:color w:val="auto"/>
              </w:rPr>
            </w:pPr>
            <w:r>
              <w:rPr>
                <w:rFonts w:ascii="Arial" w:cs="Arial" w:eastAsia="Arial" w:hAnsi="Arial"/>
                <w:sz w:val="9"/>
                <w:szCs w:val="9"/>
                <w:color w:val="auto"/>
              </w:rPr>
              <w:t>Total number of available-for-sale securities in an unrealized loss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2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32"/>
        </w:trPr>
        <w:tc>
          <w:tcPr>
            <w:tcW w:w="3200" w:type="dxa"/>
            <w:vAlign w:val="bottom"/>
          </w:tcPr>
          <w:p>
            <w:pPr>
              <w:ind w:left="20"/>
              <w:spacing w:after="0" w:line="132" w:lineRule="exact"/>
              <w:rPr>
                <w:sz w:val="20"/>
                <w:szCs w:val="20"/>
                <w:color w:val="auto"/>
              </w:rPr>
            </w:pPr>
            <w:r>
              <w:rPr>
                <w:rFonts w:ascii="Arial" w:cs="Arial" w:eastAsia="Arial" w:hAnsi="Arial"/>
                <w:sz w:val="12"/>
                <w:szCs w:val="12"/>
                <w:color w:val="auto"/>
              </w:rPr>
              <w:t>position less than twelve months</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200" w:type="dxa"/>
            <w:vAlign w:val="bottom"/>
            <w:shd w:val="clear" w:color="auto" w:fill="CCEEFF"/>
          </w:tcPr>
          <w:p>
            <w:pPr>
              <w:ind w:left="20"/>
              <w:spacing w:after="0" w:line="72" w:lineRule="exact"/>
              <w:rPr>
                <w:sz w:val="20"/>
                <w:szCs w:val="20"/>
                <w:color w:val="auto"/>
              </w:rPr>
            </w:pPr>
            <w:r>
              <w:rPr>
                <w:rFonts w:ascii="Arial" w:cs="Arial" w:eastAsia="Arial" w:hAnsi="Arial"/>
                <w:sz w:val="8"/>
                <w:szCs w:val="8"/>
                <w:color w:val="auto"/>
              </w:rPr>
              <w:t>Total number of available-for-sale securities in an unrealized loss</w:t>
            </w:r>
          </w:p>
        </w:tc>
        <w:tc>
          <w:tcPr>
            <w:tcW w:w="9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2"/>
        </w:trPr>
        <w:tc>
          <w:tcPr>
            <w:tcW w:w="3200" w:type="dxa"/>
            <w:vAlign w:val="bottom"/>
            <w:tcBorders>
              <w:bottom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color w:val="auto"/>
              </w:rPr>
              <w:t>position twelve months or longer</w:t>
            </w:r>
          </w:p>
        </w:tc>
        <w:tc>
          <w:tcPr>
            <w:tcW w:w="9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line="92" w:lineRule="exact"/>
              <w:rPr>
                <w:sz w:val="20"/>
                <w:szCs w:val="20"/>
                <w:color w:val="auto"/>
              </w:rPr>
            </w:pPr>
            <w:r>
              <w:rPr>
                <w:rFonts w:ascii="Arial" w:cs="Arial" w:eastAsia="Arial" w:hAnsi="Arial"/>
                <w:sz w:val="9"/>
                <w:szCs w:val="9"/>
                <w:color w:val="auto"/>
              </w:rPr>
              <w:t>Total number of available-for-sale securities in an unrealized loss</w:t>
            </w: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2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2"/>
        </w:trPr>
        <w:tc>
          <w:tcPr>
            <w:tcW w:w="3200" w:type="dxa"/>
            <w:vAlign w:val="bottom"/>
          </w:tcPr>
          <w:p>
            <w:pPr>
              <w:ind w:left="20"/>
              <w:spacing w:after="0" w:line="132" w:lineRule="exact"/>
              <w:rPr>
                <w:sz w:val="20"/>
                <w:szCs w:val="20"/>
                <w:color w:val="auto"/>
              </w:rPr>
            </w:pPr>
            <w:r>
              <w:rPr>
                <w:rFonts w:ascii="Arial" w:cs="Arial" w:eastAsia="Arial" w:hAnsi="Arial"/>
                <w:sz w:val="12"/>
                <w:szCs w:val="12"/>
                <w:color w:val="auto"/>
              </w:rPr>
              <w:t>position</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30"/>
        <w:spacing w:after="0" w:line="249" w:lineRule="auto"/>
        <w:rPr>
          <w:sz w:val="20"/>
          <w:szCs w:val="20"/>
          <w:color w:val="auto"/>
        </w:rPr>
      </w:pPr>
      <w:r>
        <w:rPr>
          <w:rFonts w:ascii="Arial" w:cs="Arial" w:eastAsia="Arial" w:hAnsi="Arial"/>
          <w:sz w:val="15"/>
          <w:szCs w:val="15"/>
          <w:color w:val="auto"/>
        </w:rPr>
        <w:t>We determined the increase in unrealized losses as of June 30, 2021 was caused by higher treasury rates, offset by narrower spreads in certain sectors. This in part is expected as the economy continues its anticipated path to recovery and reopening. For securities in an unrealized loss position as of June 30, 2021; an expected credit loss was not determined, and we believe that the unrealized loss is being driven by interest rate increases or near-term illiquidity and uncertainty of the impact of COVID-19 on the economy as opposed to issuer specific credit concerns. Specific to asset-backed and mortgage-backed securities for which an expected credit loss was not determined, the effect of any increased expectations of underlying collateral defaults has not risen to the level of impacting the tranches of those securities.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Mortgage Loans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Our mortgage loans are collateralized by commercial and residential properties.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Commercial Mortgage Loans</w:t>
      </w:r>
    </w:p>
    <w:p>
      <w:pPr>
        <w:spacing w:after="0" w:line="95" w:lineRule="exact"/>
        <w:rPr>
          <w:sz w:val="20"/>
          <w:szCs w:val="20"/>
          <w:color w:val="auto"/>
        </w:rPr>
      </w:pPr>
    </w:p>
    <w:p>
      <w:pPr>
        <w:jc w:val="both"/>
        <w:ind w:firstLine="330"/>
        <w:spacing w:after="0" w:line="274" w:lineRule="auto"/>
        <w:rPr>
          <w:sz w:val="20"/>
          <w:szCs w:val="20"/>
          <w:color w:val="auto"/>
        </w:rPr>
      </w:pPr>
      <w:r>
        <w:rPr>
          <w:rFonts w:ascii="Arial" w:cs="Arial" w:eastAsia="Arial" w:hAnsi="Arial"/>
          <w:sz w:val="14"/>
          <w:szCs w:val="14"/>
          <w:color w:val="auto"/>
        </w:rPr>
        <w:t>Commercial mortgage loans ("CMLs") represented approximately 5% of our total investments as of June 30, 2021.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220"/>
              <w:spacing w:after="0"/>
              <w:rPr>
                <w:sz w:val="20"/>
                <w:szCs w:val="20"/>
                <w:color w:val="auto"/>
              </w:rPr>
            </w:pPr>
            <w:r>
              <w:rPr>
                <w:rFonts w:ascii="Arial" w:cs="Arial" w:eastAsia="Arial" w:hAnsi="Arial"/>
                <w:sz w:val="12"/>
                <w:szCs w:val="12"/>
                <w:b w:val="1"/>
                <w:bCs w:val="1"/>
                <w:color w:val="auto"/>
              </w:rPr>
              <w:t>June 30, 2021</w:t>
            </w:r>
          </w:p>
        </w:tc>
        <w:tc>
          <w:tcPr>
            <w:tcW w:w="1260" w:type="dxa"/>
            <w:vAlign w:val="bottom"/>
            <w:tcBorders>
              <w:bottom w:val="single" w:sz="8" w:color="auto"/>
            </w:tcBorders>
          </w:tcPr>
          <w:p>
            <w:pPr>
              <w:spacing w:after="0"/>
              <w:rPr>
                <w:sz w:val="13"/>
                <w:szCs w:val="13"/>
                <w:color w:val="auto"/>
              </w:rPr>
            </w:pPr>
          </w:p>
        </w:tc>
      </w:tr>
      <w:tr>
        <w:trPr>
          <w:trHeight w:val="148"/>
        </w:trPr>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tcPr>
          <w:p>
            <w:pPr>
              <w:ind w:left="100"/>
              <w:spacing w:after="0"/>
              <w:rPr>
                <w:sz w:val="20"/>
                <w:szCs w:val="20"/>
                <w:color w:val="auto"/>
              </w:rPr>
            </w:pPr>
            <w:r>
              <w:rPr>
                <w:rFonts w:ascii="Arial" w:cs="Arial" w:eastAsia="Arial" w:hAnsi="Arial"/>
                <w:sz w:val="12"/>
                <w:szCs w:val="12"/>
                <w:b w:val="1"/>
                <w:bCs w:val="1"/>
                <w:color w:val="auto"/>
              </w:rPr>
              <w:t>Gross Carrying Value</w:t>
            </w:r>
          </w:p>
        </w:tc>
        <w:tc>
          <w:tcPr>
            <w:tcW w:w="1260" w:type="dxa"/>
            <w:vAlign w:val="bottom"/>
          </w:tcPr>
          <w:p>
            <w:pPr>
              <w:jc w:val="right"/>
              <w:ind w:right="541"/>
              <w:spacing w:after="0"/>
              <w:rPr>
                <w:sz w:val="20"/>
                <w:szCs w:val="20"/>
                <w:color w:val="auto"/>
              </w:rPr>
            </w:pPr>
            <w:r>
              <w:rPr>
                <w:rFonts w:ascii="Arial" w:cs="Arial" w:eastAsia="Arial" w:hAnsi="Arial"/>
                <w:sz w:val="12"/>
                <w:szCs w:val="12"/>
                <w:b w:val="1"/>
                <w:bCs w:val="1"/>
                <w:color w:val="auto"/>
              </w:rPr>
              <w:t>% of Total</w:t>
            </w:r>
          </w:p>
        </w:tc>
      </w:tr>
      <w:tr>
        <w:trPr>
          <w:trHeight w:val="136"/>
        </w:trPr>
        <w:tc>
          <w:tcPr>
            <w:tcW w:w="782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Property Type:</w:t>
            </w:r>
          </w:p>
        </w:tc>
        <w:tc>
          <w:tcPr>
            <w:tcW w:w="16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Hotel</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Industrial - General</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Industrial - Warehouse</w:t>
            </w: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Multifamily</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39 %</w:t>
            </w: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Office</w:t>
            </w: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14 %</w:t>
            </w: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Retail</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Other</w:t>
            </w: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4"/>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Student Housing</w:t>
            </w:r>
          </w:p>
        </w:tc>
        <w:tc>
          <w:tcPr>
            <w:tcW w:w="1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48"/>
        </w:trPr>
        <w:tc>
          <w:tcPr>
            <w:tcW w:w="7820" w:type="dxa"/>
            <w:vAlign w:val="bottom"/>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1,591</w:t>
            </w: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5"/>
        </w:trPr>
        <w:tc>
          <w:tcPr>
            <w:tcW w:w="7820" w:type="dxa"/>
            <w:vAlign w:val="bottom"/>
            <w:shd w:val="clear" w:color="auto" w:fill="CCEEFF"/>
          </w:tcPr>
          <w:p>
            <w:pPr>
              <w:ind w:left="460"/>
              <w:spacing w:after="0" w:line="129" w:lineRule="exact"/>
              <w:rPr>
                <w:sz w:val="20"/>
                <w:szCs w:val="20"/>
                <w:color w:val="auto"/>
              </w:rPr>
            </w:pPr>
            <w:r>
              <w:rPr>
                <w:rFonts w:ascii="Arial" w:cs="Arial" w:eastAsia="Arial" w:hAnsi="Arial"/>
                <w:sz w:val="12"/>
                <w:szCs w:val="12"/>
                <w:color w:val="auto"/>
              </w:rPr>
              <w:t>Allowance for expected credit loss</w:t>
            </w:r>
          </w:p>
        </w:tc>
        <w:tc>
          <w:tcPr>
            <w:tcW w:w="160" w:type="dxa"/>
            <w:vAlign w:val="bottom"/>
            <w:tcBorders>
              <w:bottom w:val="single" w:sz="8" w:color="auto"/>
            </w:tcBorders>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48"/>
        </w:trPr>
        <w:tc>
          <w:tcPr>
            <w:tcW w:w="7820" w:type="dxa"/>
            <w:vAlign w:val="bottom"/>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1,585</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38"/>
        </w:trPr>
        <w:tc>
          <w:tcPr>
            <w:tcW w:w="7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2"/>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U.S. Region:</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6"/>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East North Central</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East South Central</w:t>
            </w: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5 %</w:t>
            </w: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Middle Atlantic</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Mountain</w:t>
            </w: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11 %</w:t>
            </w: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England</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Pacific</w:t>
            </w: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548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34 %</w:t>
            </w: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South Atlantic</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20 %</w:t>
            </w: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West North Central</w:t>
            </w:r>
          </w:p>
        </w:tc>
        <w:tc>
          <w:tcPr>
            <w:tcW w:w="1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54"/>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West South Central</w:t>
            </w:r>
          </w:p>
        </w:tc>
        <w:tc>
          <w:tcPr>
            <w:tcW w:w="1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5 %</w:t>
            </w:r>
          </w:p>
        </w:tc>
      </w:tr>
      <w:tr>
        <w:trPr>
          <w:trHeight w:val="148"/>
        </w:trPr>
        <w:tc>
          <w:tcPr>
            <w:tcW w:w="7820" w:type="dxa"/>
            <w:vAlign w:val="bottom"/>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1,591</w:t>
            </w: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5"/>
        </w:trPr>
        <w:tc>
          <w:tcPr>
            <w:tcW w:w="7820" w:type="dxa"/>
            <w:vAlign w:val="bottom"/>
            <w:shd w:val="clear" w:color="auto" w:fill="CCEEFF"/>
          </w:tcPr>
          <w:p>
            <w:pPr>
              <w:ind w:left="460"/>
              <w:spacing w:after="0" w:line="129" w:lineRule="exact"/>
              <w:rPr>
                <w:sz w:val="20"/>
                <w:szCs w:val="20"/>
                <w:color w:val="auto"/>
              </w:rPr>
            </w:pPr>
            <w:r>
              <w:rPr>
                <w:rFonts w:ascii="Arial" w:cs="Arial" w:eastAsia="Arial" w:hAnsi="Arial"/>
                <w:sz w:val="12"/>
                <w:szCs w:val="12"/>
                <w:color w:val="auto"/>
              </w:rPr>
              <w:t>Allowance for expected credit loss</w:t>
            </w:r>
          </w:p>
        </w:tc>
        <w:tc>
          <w:tcPr>
            <w:tcW w:w="160" w:type="dxa"/>
            <w:vAlign w:val="bottom"/>
            <w:tcBorders>
              <w:bottom w:val="single" w:sz="8" w:color="auto"/>
            </w:tcBorders>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48"/>
        </w:trPr>
        <w:tc>
          <w:tcPr>
            <w:tcW w:w="7820" w:type="dxa"/>
            <w:vAlign w:val="bottom"/>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1,585</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20" w:type="dxa"/>
            <w:vAlign w:val="bottom"/>
          </w:tcPr>
          <w:p>
            <w:pPr>
              <w:spacing w:after="0"/>
              <w:rPr>
                <w:sz w:val="13"/>
                <w:szCs w:val="13"/>
                <w:color w:val="auto"/>
              </w:rPr>
            </w:pPr>
          </w:p>
        </w:tc>
        <w:tc>
          <w:tcPr>
            <w:tcW w:w="2260" w:type="dxa"/>
            <w:vAlign w:val="bottom"/>
            <w:tcBorders>
              <w:bottom w:val="single" w:sz="8" w:color="auto"/>
            </w:tcBorders>
            <w:gridSpan w:val="4"/>
          </w:tcPr>
          <w:p>
            <w:pPr>
              <w:ind w:left="1260"/>
              <w:spacing w:after="0"/>
              <w:rPr>
                <w:sz w:val="20"/>
                <w:szCs w:val="20"/>
                <w:color w:val="auto"/>
              </w:rPr>
            </w:pPr>
            <w:r>
              <w:rPr>
                <w:rFonts w:ascii="Arial" w:cs="Arial" w:eastAsia="Arial" w:hAnsi="Arial"/>
                <w:sz w:val="12"/>
                <w:szCs w:val="12"/>
                <w:b w:val="1"/>
                <w:bCs w:val="1"/>
                <w:color w:val="auto"/>
                <w:w w:val="90"/>
              </w:rPr>
              <w:t>December 31, 2020</w:t>
            </w: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Gross Carrying Value</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2"/>
                <w:szCs w:val="12"/>
                <w:b w:val="1"/>
                <w:bCs w:val="1"/>
                <w:color w:val="auto"/>
              </w:rPr>
              <w:t>% of Total</w:t>
            </w:r>
          </w:p>
        </w:tc>
        <w:tc>
          <w:tcPr>
            <w:tcW w:w="0" w:type="dxa"/>
            <w:vAlign w:val="bottom"/>
          </w:tcPr>
          <w:p>
            <w:pPr>
              <w:spacing w:after="0"/>
              <w:rPr>
                <w:sz w:val="1"/>
                <w:szCs w:val="1"/>
                <w:color w:val="auto"/>
              </w:rPr>
            </w:pPr>
          </w:p>
        </w:tc>
      </w:tr>
      <w:tr>
        <w:trPr>
          <w:trHeight w:val="136"/>
        </w:trPr>
        <w:tc>
          <w:tcPr>
            <w:tcW w:w="782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Property Type:</w:t>
            </w:r>
          </w:p>
        </w:tc>
        <w:tc>
          <w:tcPr>
            <w:tcW w:w="1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Hotel</w:t>
            </w:r>
          </w:p>
        </w:tc>
        <w:tc>
          <w:tcPr>
            <w:tcW w:w="1380" w:type="dxa"/>
            <w:vAlign w:val="bottom"/>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Industrial - General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302</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c>
          <w:tcPr>
            <w:tcW w:w="0" w:type="dxa"/>
            <w:vAlign w:val="bottom"/>
          </w:tcPr>
          <w:p>
            <w:pPr>
              <w:spacing w:after="0"/>
              <w:rPr>
                <w:sz w:val="1"/>
                <w:szCs w:val="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Industrial - Warehouse</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Multifamily</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165</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18 %</w:t>
            </w:r>
          </w:p>
        </w:tc>
        <w:tc>
          <w:tcPr>
            <w:tcW w:w="0" w:type="dxa"/>
            <w:vAlign w:val="bottom"/>
          </w:tcPr>
          <w:p>
            <w:pPr>
              <w:spacing w:after="0"/>
              <w:rPr>
                <w:sz w:val="1"/>
                <w:szCs w:val="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Office</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140</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Retail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142</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0" w:type="dxa"/>
            <w:vAlign w:val="bottom"/>
          </w:tcPr>
          <w:p>
            <w:pPr>
              <w:spacing w:after="0"/>
              <w:rPr>
                <w:sz w:val="1"/>
                <w:szCs w:val="1"/>
                <w:color w:val="auto"/>
              </w:rPr>
            </w:pPr>
          </w:p>
        </w:tc>
      </w:tr>
      <w:tr>
        <w:trPr>
          <w:trHeight w:val="151"/>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w:t>
            </w: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125</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14 %</w:t>
            </w: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905</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2"/>
                <w:szCs w:val="12"/>
                <w:color w:val="auto"/>
              </w:rPr>
              <w:t>Allowance for expected credit loss</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820" w:type="dxa"/>
            <w:vAlign w:val="bottom"/>
            <w:tcBorders>
              <w:bottom w:val="single" w:sz="8" w:color="CCEEFF"/>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12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903</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U.S. Region:</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East North Central</w:t>
            </w:r>
          </w:p>
        </w:tc>
        <w:tc>
          <w:tcPr>
            <w:tcW w:w="1380" w:type="dxa"/>
            <w:vAlign w:val="bottom"/>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East South Central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Middle Atlantic</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Mountain</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0" w:type="dxa"/>
            <w:vAlign w:val="bottom"/>
          </w:tcPr>
          <w:p>
            <w:pPr>
              <w:spacing w:after="0"/>
              <w:rPr>
                <w:sz w:val="1"/>
                <w:szCs w:val="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New England</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Pacific</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333</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0" w:type="dxa"/>
            <w:vAlign w:val="bottom"/>
          </w:tcPr>
          <w:p>
            <w:pPr>
              <w:spacing w:after="0"/>
              <w:rPr>
                <w:sz w:val="1"/>
                <w:szCs w:val="1"/>
                <w:color w:val="auto"/>
              </w:rPr>
            </w:pPr>
          </w:p>
        </w:tc>
      </w:tr>
      <w:tr>
        <w:trPr>
          <w:trHeight w:val="151"/>
        </w:trPr>
        <w:tc>
          <w:tcPr>
            <w:tcW w:w="7820" w:type="dxa"/>
            <w:vAlign w:val="bottom"/>
          </w:tcPr>
          <w:p>
            <w:pPr>
              <w:ind w:left="120"/>
              <w:spacing w:after="0"/>
              <w:rPr>
                <w:sz w:val="20"/>
                <w:szCs w:val="20"/>
                <w:color w:val="auto"/>
              </w:rPr>
            </w:pPr>
            <w:r>
              <w:rPr>
                <w:rFonts w:ascii="Arial" w:cs="Arial" w:eastAsia="Arial" w:hAnsi="Arial"/>
                <w:sz w:val="12"/>
                <w:szCs w:val="12"/>
                <w:color w:val="auto"/>
              </w:rPr>
              <w:t>South Atlantic</w:t>
            </w: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133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West North Central</w:t>
            </w: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1"/>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West South Central</w:t>
            </w: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 gross of valuation allowance</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905</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2"/>
                <w:szCs w:val="12"/>
                <w:color w:val="auto"/>
              </w:rPr>
              <w:t>Allowance for expected credit loss</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820" w:type="dxa"/>
            <w:vAlign w:val="bottom"/>
            <w:tcBorders>
              <w:bottom w:val="single" w:sz="8" w:color="CCEEFF"/>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12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Total commercial mortgage loans</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903</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5"/>
          <w:szCs w:val="15"/>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All of our investments in CMLs had a LTV ratio of less than 75% at June 30, 2021, as measured at inception of the loans unless otherwise updated.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5"/>
          <w:szCs w:val="15"/>
          <w:color w:val="auto"/>
        </w:rPr>
        <w:t>The following table presents the recorded investment in CMLs by LTV and DSC ratio categories and estimated fair value by the indicated loan-to-value ratios at June 30, 2021 (dollars in millions)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59055</wp:posOffset>
            </wp:positionV>
            <wp:extent cx="483489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34890" cy="6985"/>
                    </a:xfrm>
                    <a:prstGeom prst="rect">
                      <a:avLst/>
                    </a:prstGeom>
                    <a:noFill/>
                  </pic:spPr>
                </pic:pic>
              </a:graphicData>
            </a:graphic>
          </wp:anchor>
        </w:drawing>
      </w:r>
    </w:p>
    <w:p>
      <w:pPr>
        <w:spacing w:after="0" w:line="319"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2"/>
                <w:szCs w:val="12"/>
                <w:b w:val="1"/>
                <w:bCs w:val="1"/>
                <w:color w:val="auto"/>
                <w:w w:val="92"/>
              </w:rPr>
              <w:t>Debt-Service Coverage Ratios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Total Amount</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 of Total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Estimated Fair</w:t>
            </w:r>
          </w:p>
        </w:tc>
        <w:tc>
          <w:tcPr>
            <w:tcW w:w="1080" w:type="dxa"/>
            <w:vAlign w:val="bottom"/>
          </w:tcPr>
          <w:p>
            <w:pPr>
              <w:jc w:val="right"/>
              <w:ind w:right="221"/>
              <w:spacing w:after="0"/>
              <w:rPr>
                <w:sz w:val="20"/>
                <w:szCs w:val="20"/>
                <w:color w:val="auto"/>
              </w:rPr>
            </w:pPr>
            <w:r>
              <w:rPr>
                <w:rFonts w:ascii="Arial" w:cs="Arial" w:eastAsia="Arial" w:hAnsi="Arial"/>
                <w:sz w:val="12"/>
                <w:szCs w:val="12"/>
                <w:b w:val="1"/>
                <w:bCs w:val="1"/>
                <w:color w:val="auto"/>
              </w:rPr>
              <w:t>% of Total</w:t>
            </w: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&gt;1.25</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1.00 - 1.25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221"/>
              <w:spacing w:after="0"/>
              <w:rPr>
                <w:sz w:val="20"/>
                <w:szCs w:val="20"/>
                <w:color w:val="auto"/>
              </w:rPr>
            </w:pPr>
            <w:r>
              <w:rPr>
                <w:rFonts w:ascii="Arial" w:cs="Arial" w:eastAsia="Arial" w:hAnsi="Arial"/>
                <w:sz w:val="12"/>
                <w:szCs w:val="12"/>
                <w:b w:val="1"/>
                <w:bCs w:val="1"/>
                <w:color w:val="auto"/>
              </w:rPr>
              <w:t>&lt;1.00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7"/>
              </w:rPr>
              <w:t>Value</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June 30, 2021</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rPr>
                <w:sz w:val="20"/>
                <w:szCs w:val="20"/>
                <w:color w:val="auto"/>
              </w:rPr>
            </w:pPr>
            <w:r>
              <w:rPr>
                <w:rFonts w:ascii="Arial" w:cs="Arial" w:eastAsia="Arial" w:hAnsi="Arial"/>
                <w:sz w:val="12"/>
                <w:szCs w:val="12"/>
                <w:color w:val="auto"/>
              </w:rPr>
              <w:t>LTV Ratios:</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Less than 50%</w:t>
            </w:r>
          </w:p>
        </w:tc>
        <w:tc>
          <w:tcPr>
            <w:tcW w:w="640" w:type="dxa"/>
            <w:vAlign w:val="bottom"/>
            <w:shd w:val="clear" w:color="auto" w:fill="CCEEFF"/>
          </w:tcPr>
          <w:p>
            <w:pPr>
              <w:jc w:val="right"/>
              <w:ind w:right="501"/>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38 %</w:t>
            </w:r>
          </w:p>
        </w:tc>
        <w:tc>
          <w:tcPr>
            <w:tcW w:w="0" w:type="dxa"/>
            <w:vAlign w:val="bottom"/>
          </w:tcPr>
          <w:p>
            <w:pPr>
              <w:spacing w:after="0"/>
              <w:rPr>
                <w:sz w:val="1"/>
                <w:szCs w:val="1"/>
                <w:color w:val="auto"/>
              </w:rPr>
            </w:pPr>
          </w:p>
        </w:tc>
      </w:tr>
      <w:tr>
        <w:trPr>
          <w:trHeight w:val="151"/>
        </w:trPr>
        <w:tc>
          <w:tcPr>
            <w:tcW w:w="3320" w:type="dxa"/>
            <w:vAlign w:val="bottom"/>
          </w:tcPr>
          <w:p>
            <w:pPr>
              <w:spacing w:after="0"/>
              <w:rPr>
                <w:sz w:val="20"/>
                <w:szCs w:val="20"/>
                <w:color w:val="auto"/>
              </w:rPr>
            </w:pPr>
            <w:r>
              <w:rPr>
                <w:rFonts w:ascii="Arial" w:cs="Arial" w:eastAsia="Arial" w:hAnsi="Arial"/>
                <w:sz w:val="12"/>
                <w:szCs w:val="12"/>
                <w:color w:val="auto"/>
              </w:rPr>
              <w:t>50% to 60%</w:t>
            </w:r>
          </w:p>
        </w:tc>
        <w:tc>
          <w:tcPr>
            <w:tcW w:w="6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313</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320</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60% to 75%</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676</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42 %</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20"/>
                <w:szCs w:val="20"/>
                <w:color w:val="auto"/>
              </w:rPr>
            </w:pPr>
            <w:r>
              <w:rPr>
                <w:rFonts w:ascii="Arial" w:cs="Arial" w:eastAsia="Arial" w:hAnsi="Arial"/>
                <w:sz w:val="12"/>
                <w:szCs w:val="12"/>
                <w:color w:val="auto"/>
              </w:rPr>
              <w:t>Commercial mortgage loans</w:t>
            </w:r>
          </w:p>
        </w:tc>
        <w:tc>
          <w:tcPr>
            <w:tcW w:w="6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6"/>
              </w:rPr>
              <w:t>1,551</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1,591</w:t>
            </w:r>
          </w:p>
        </w:tc>
        <w:tc>
          <w:tcPr>
            <w:tcW w:w="1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1,616</w:t>
            </w:r>
          </w:p>
        </w:tc>
        <w:tc>
          <w:tcPr>
            <w:tcW w:w="1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20"/>
                <w:szCs w:val="20"/>
                <w:color w:val="auto"/>
              </w:rPr>
            </w:pPr>
            <w:r>
              <w:rPr>
                <w:rFonts w:ascii="Arial" w:cs="Arial" w:eastAsia="Arial" w:hAnsi="Arial"/>
                <w:sz w:val="12"/>
                <w:szCs w:val="12"/>
                <w:b w:val="1"/>
                <w:bCs w:val="1"/>
                <w:color w:val="auto"/>
              </w:rPr>
              <w:t>December 31, 2020</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LTV Ratios:</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rPr>
                <w:sz w:val="20"/>
                <w:szCs w:val="20"/>
                <w:color w:val="auto"/>
              </w:rPr>
            </w:pPr>
            <w:r>
              <w:rPr>
                <w:rFonts w:ascii="Arial" w:cs="Arial" w:eastAsia="Arial" w:hAnsi="Arial"/>
                <w:sz w:val="12"/>
                <w:szCs w:val="12"/>
                <w:color w:val="auto"/>
              </w:rPr>
              <w:t>Less than 50%</w:t>
            </w:r>
          </w:p>
        </w:tc>
        <w:tc>
          <w:tcPr>
            <w:tcW w:w="640" w:type="dxa"/>
            <w:vAlign w:val="bottom"/>
          </w:tcPr>
          <w:p>
            <w:pPr>
              <w:jc w:val="right"/>
              <w:ind w:right="501"/>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520</w:t>
            </w:r>
          </w:p>
        </w:tc>
        <w:tc>
          <w:tcPr>
            <w:tcW w:w="12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538</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60 %</w:t>
            </w:r>
          </w:p>
        </w:tc>
        <w:tc>
          <w:tcPr>
            <w:tcW w:w="12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50% to 60%</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27 %</w:t>
            </w:r>
          </w:p>
        </w:tc>
        <w:tc>
          <w:tcPr>
            <w:tcW w:w="0" w:type="dxa"/>
            <w:vAlign w:val="bottom"/>
          </w:tcPr>
          <w:p>
            <w:pPr>
              <w:spacing w:after="0"/>
              <w:rPr>
                <w:sz w:val="1"/>
                <w:szCs w:val="1"/>
                <w:color w:val="auto"/>
              </w:rPr>
            </w:pPr>
          </w:p>
        </w:tc>
      </w:tr>
      <w:tr>
        <w:trPr>
          <w:trHeight w:val="151"/>
        </w:trPr>
        <w:tc>
          <w:tcPr>
            <w:tcW w:w="3320" w:type="dxa"/>
            <w:vAlign w:val="bottom"/>
          </w:tcPr>
          <w:p>
            <w:pPr>
              <w:spacing w:after="0"/>
              <w:rPr>
                <w:sz w:val="20"/>
                <w:szCs w:val="20"/>
                <w:color w:val="auto"/>
              </w:rPr>
            </w:pPr>
            <w:r>
              <w:rPr>
                <w:rFonts w:ascii="Arial" w:cs="Arial" w:eastAsia="Arial" w:hAnsi="Arial"/>
                <w:sz w:val="12"/>
                <w:szCs w:val="12"/>
                <w:color w:val="auto"/>
              </w:rPr>
              <w:t>60% to 75%</w:t>
            </w:r>
          </w:p>
        </w:tc>
        <w:tc>
          <w:tcPr>
            <w:tcW w:w="6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121</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13 %</w:t>
            </w:r>
          </w:p>
        </w:tc>
        <w:tc>
          <w:tcPr>
            <w:tcW w:w="0" w:type="dxa"/>
            <w:vAlign w:val="bottom"/>
          </w:tcPr>
          <w:p>
            <w:pPr>
              <w:spacing w:after="0"/>
              <w:rPr>
                <w:sz w:val="1"/>
                <w:szCs w:val="1"/>
                <w:color w:val="auto"/>
              </w:rPr>
            </w:pPr>
          </w:p>
        </w:tc>
      </w:tr>
      <w:tr>
        <w:trPr>
          <w:trHeight w:val="17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640" w:type="dxa"/>
            <w:vAlign w:val="bottom"/>
            <w:tcBorders>
              <w:top w:val="single" w:sz="8" w:color="auto"/>
              <w:bottom w:val="single" w:sz="8" w:color="auto"/>
            </w:tcBorders>
            <w:shd w:val="clear" w:color="auto" w:fill="CCEEFF"/>
          </w:tcPr>
          <w:p>
            <w:pPr>
              <w:jc w:val="right"/>
              <w:ind w:right="501"/>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330"/>
        <w:spacing w:after="0" w:line="264" w:lineRule="auto"/>
        <w:rPr>
          <w:sz w:val="20"/>
          <w:szCs w:val="20"/>
          <w:color w:val="auto"/>
        </w:rPr>
      </w:pPr>
      <w:r>
        <w:rPr>
          <w:rFonts w:ascii="Arial" w:cs="Arial" w:eastAsia="Arial" w:hAnsi="Arial"/>
          <w:sz w:val="15"/>
          <w:szCs w:val="15"/>
          <w:color w:val="auto"/>
        </w:rPr>
        <w:t>We recognize a mortgage loan as delinquent when payments on the loan are greater than 30 days past due. At June 30, 2021, we had no CMLs that were delinquent in principal or interest payments.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Allowance for Expected Credit Loss for Commercial Mortgages</w:t>
      </w:r>
    </w:p>
    <w:p>
      <w:pPr>
        <w:spacing w:after="0" w:line="113" w:lineRule="exact"/>
        <w:rPr>
          <w:sz w:val="20"/>
          <w:szCs w:val="20"/>
          <w:color w:val="auto"/>
        </w:rPr>
      </w:pPr>
    </w:p>
    <w:p>
      <w:pPr>
        <w:jc w:val="both"/>
        <w:ind w:firstLine="322"/>
        <w:spacing w:after="0" w:line="251" w:lineRule="auto"/>
        <w:rPr>
          <w:sz w:val="20"/>
          <w:szCs w:val="20"/>
          <w:color w:val="auto"/>
        </w:rPr>
      </w:pPr>
      <w:r>
        <w:rPr>
          <w:rFonts w:ascii="Arial" w:cs="Arial" w:eastAsia="Arial" w:hAnsi="Arial"/>
          <w:sz w:val="15"/>
          <w:szCs w:val="15"/>
          <w:color w:val="auto"/>
        </w:rPr>
        <w:t>We estimate expected credit losses for our commercial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Recognized gains and losses, net in the accompanying unaudited Condensed Consolidated Statements of Earnings.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Residential Mortgage Loans</w:t>
      </w:r>
    </w:p>
    <w:p>
      <w:pPr>
        <w:spacing w:after="0" w:line="95"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Residential mortgage loans ("RMLs") represented approximately 3% of our total investments as of June 30, 2021.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2"/>
                <w:szCs w:val="12"/>
                <w:b w:val="1"/>
                <w:bCs w:val="1"/>
                <w:color w:val="auto"/>
              </w:rPr>
              <w:t>June 30, 2021</w:t>
            </w:r>
          </w:p>
        </w:tc>
        <w:tc>
          <w:tcPr>
            <w:tcW w:w="1260" w:type="dxa"/>
            <w:vAlign w:val="bottom"/>
            <w:tcBorders>
              <w:bottom w:val="single" w:sz="8" w:color="auto"/>
            </w:tcBorders>
          </w:tcPr>
          <w:p>
            <w:pPr>
              <w:spacing w:after="0"/>
              <w:rPr>
                <w:sz w:val="13"/>
                <w:szCs w:val="13"/>
                <w:color w:val="auto"/>
              </w:rPr>
            </w:pPr>
          </w:p>
        </w:tc>
      </w:tr>
      <w:tr>
        <w:trPr>
          <w:trHeight w:val="150"/>
        </w:trPr>
        <w:tc>
          <w:tcPr>
            <w:tcW w:w="7780" w:type="dxa"/>
            <w:vAlign w:val="bottom"/>
          </w:tcPr>
          <w:p>
            <w:pPr>
              <w:ind w:left="20"/>
              <w:spacing w:after="0"/>
              <w:rPr>
                <w:sz w:val="20"/>
                <w:szCs w:val="20"/>
                <w:color w:val="auto"/>
              </w:rPr>
            </w:pPr>
            <w:r>
              <w:rPr>
                <w:rFonts w:ascii="Arial" w:cs="Arial" w:eastAsia="Arial" w:hAnsi="Arial"/>
                <w:sz w:val="12"/>
                <w:szCs w:val="12"/>
                <w:b w:val="1"/>
                <w:bCs w:val="1"/>
                <w:color w:val="auto"/>
              </w:rPr>
              <w:t>U.S. State:</w:t>
            </w:r>
          </w:p>
        </w:tc>
        <w:tc>
          <w:tcPr>
            <w:tcW w:w="120" w:type="dxa"/>
            <w:vAlign w:val="bottom"/>
          </w:tcPr>
          <w:p>
            <w:pPr>
              <w:spacing w:after="0"/>
              <w:rPr>
                <w:sz w:val="13"/>
                <w:szCs w:val="13"/>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Unpaid Principal Balance</w:t>
            </w:r>
          </w:p>
        </w:tc>
        <w:tc>
          <w:tcPr>
            <w:tcW w:w="1260" w:type="dxa"/>
            <w:vAlign w:val="bottom"/>
          </w:tcPr>
          <w:p>
            <w:pPr>
              <w:jc w:val="right"/>
              <w:ind w:right="541"/>
              <w:spacing w:after="0"/>
              <w:rPr>
                <w:sz w:val="20"/>
                <w:szCs w:val="20"/>
                <w:color w:val="auto"/>
              </w:rPr>
            </w:pPr>
            <w:r>
              <w:rPr>
                <w:rFonts w:ascii="Arial" w:cs="Arial" w:eastAsia="Arial" w:hAnsi="Arial"/>
                <w:sz w:val="12"/>
                <w:szCs w:val="12"/>
                <w:b w:val="1"/>
                <w:bCs w:val="1"/>
                <w:color w:val="auto"/>
              </w:rPr>
              <w:t>% of Total</w:t>
            </w:r>
          </w:p>
        </w:tc>
      </w:tr>
      <w:tr>
        <w:trPr>
          <w:trHeight w:val="146"/>
        </w:trPr>
        <w:tc>
          <w:tcPr>
            <w:tcW w:w="7780" w:type="dxa"/>
            <w:vAlign w:val="bottom"/>
          </w:tcPr>
          <w:p>
            <w:pPr>
              <w:ind w:left="20"/>
              <w:spacing w:after="0"/>
              <w:rPr>
                <w:sz w:val="20"/>
                <w:szCs w:val="20"/>
                <w:color w:val="auto"/>
              </w:rPr>
            </w:pPr>
            <w:r>
              <w:rPr>
                <w:rFonts w:ascii="Arial" w:cs="Arial" w:eastAsia="Arial" w:hAnsi="Arial"/>
                <w:sz w:val="12"/>
                <w:szCs w:val="12"/>
                <w:color w:val="auto"/>
              </w:rPr>
              <w:t>Florida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184</w:t>
            </w: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r>
      <w:tr>
        <w:trPr>
          <w:trHeight w:val="157"/>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California</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r>
      <w:tr>
        <w:trPr>
          <w:trHeight w:val="151"/>
        </w:trPr>
        <w:tc>
          <w:tcPr>
            <w:tcW w:w="7780" w:type="dxa"/>
            <w:vAlign w:val="bottom"/>
          </w:tcPr>
          <w:p>
            <w:pPr>
              <w:ind w:left="20"/>
              <w:spacing w:after="0"/>
              <w:rPr>
                <w:sz w:val="20"/>
                <w:szCs w:val="20"/>
                <w:color w:val="auto"/>
              </w:rPr>
            </w:pPr>
            <w:r>
              <w:rPr>
                <w:rFonts w:ascii="Arial" w:cs="Arial" w:eastAsia="Arial" w:hAnsi="Arial"/>
                <w:sz w:val="12"/>
                <w:szCs w:val="12"/>
                <w:color w:val="auto"/>
              </w:rPr>
              <w:t>Texas</w:t>
            </w:r>
          </w:p>
        </w:tc>
        <w:tc>
          <w:tcPr>
            <w:tcW w:w="120" w:type="dxa"/>
            <w:vAlign w:val="bottom"/>
          </w:tcPr>
          <w:p>
            <w:pPr>
              <w:spacing w:after="0"/>
              <w:rPr>
                <w:sz w:val="13"/>
                <w:szCs w:val="13"/>
                <w:color w:val="auto"/>
              </w:rPr>
            </w:pP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107</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4"/>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 States (1)</w:t>
            </w: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793</w:t>
            </w:r>
          </w:p>
        </w:tc>
        <w:tc>
          <w:tcPr>
            <w:tcW w:w="1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65 %</w:t>
            </w:r>
          </w:p>
        </w:tc>
      </w:tr>
      <w:tr>
        <w:trPr>
          <w:trHeight w:val="148"/>
        </w:trPr>
        <w:tc>
          <w:tcPr>
            <w:tcW w:w="7780" w:type="dxa"/>
            <w:vAlign w:val="bottom"/>
          </w:tcPr>
          <w:p>
            <w:pPr>
              <w:ind w:left="20"/>
              <w:spacing w:after="0"/>
              <w:rPr>
                <w:sz w:val="20"/>
                <w:szCs w:val="20"/>
                <w:color w:val="auto"/>
              </w:rPr>
            </w:pPr>
            <w:r>
              <w:rPr>
                <w:rFonts w:ascii="Arial" w:cs="Arial" w:eastAsia="Arial" w:hAnsi="Arial"/>
                <w:sz w:val="12"/>
                <w:szCs w:val="12"/>
                <w:b w:val="1"/>
                <w:bCs w:val="1"/>
                <w:color w:val="auto"/>
              </w:rPr>
              <w:t>Total residential mortgage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1,219</w:t>
            </w: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(1) The individual concentration of each state is equal to or less than 8% as of June 30, 2021.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1160"/>
              <w:spacing w:after="0"/>
              <w:rPr>
                <w:sz w:val="20"/>
                <w:szCs w:val="20"/>
                <w:color w:val="auto"/>
              </w:rPr>
            </w:pPr>
            <w:r>
              <w:rPr>
                <w:rFonts w:ascii="Arial" w:cs="Arial" w:eastAsia="Arial" w:hAnsi="Arial"/>
                <w:sz w:val="12"/>
                <w:szCs w:val="12"/>
                <w:b w:val="1"/>
                <w:bCs w:val="1"/>
                <w:color w:val="auto"/>
                <w:w w:val="92"/>
              </w:rPr>
              <w:t>December 31, 2020</w:t>
            </w:r>
          </w:p>
        </w:tc>
        <w:tc>
          <w:tcPr>
            <w:tcW w:w="1200" w:type="dxa"/>
            <w:vAlign w:val="bottom"/>
            <w:tcBorders>
              <w:bottom w:val="single" w:sz="8" w:color="auto"/>
            </w:tcBorders>
          </w:tcPr>
          <w:p>
            <w:pPr>
              <w:spacing w:after="0"/>
              <w:rPr>
                <w:sz w:val="13"/>
                <w:szCs w:val="13"/>
                <w:color w:val="auto"/>
              </w:rPr>
            </w:pPr>
          </w:p>
        </w:tc>
      </w:tr>
      <w:tr>
        <w:trPr>
          <w:trHeight w:val="150"/>
        </w:trPr>
        <w:tc>
          <w:tcPr>
            <w:tcW w:w="7780" w:type="dxa"/>
            <w:vAlign w:val="bottom"/>
          </w:tcPr>
          <w:p>
            <w:pPr>
              <w:ind w:left="20"/>
              <w:spacing w:after="0"/>
              <w:rPr>
                <w:sz w:val="20"/>
                <w:szCs w:val="20"/>
                <w:color w:val="auto"/>
              </w:rPr>
            </w:pPr>
            <w:r>
              <w:rPr>
                <w:rFonts w:ascii="Arial" w:cs="Arial" w:eastAsia="Arial" w:hAnsi="Arial"/>
                <w:sz w:val="12"/>
                <w:szCs w:val="12"/>
                <w:b w:val="1"/>
                <w:bCs w:val="1"/>
                <w:color w:val="auto"/>
              </w:rPr>
              <w:t>U.S. State:</w:t>
            </w:r>
          </w:p>
        </w:tc>
        <w:tc>
          <w:tcPr>
            <w:tcW w:w="120" w:type="dxa"/>
            <w:vAlign w:val="bottom"/>
          </w:tcPr>
          <w:p>
            <w:pPr>
              <w:spacing w:after="0"/>
              <w:rPr>
                <w:sz w:val="13"/>
                <w:szCs w:val="13"/>
                <w:color w:val="auto"/>
              </w:rPr>
            </w:pP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Unpaid Principal Balance</w:t>
            </w:r>
          </w:p>
        </w:tc>
        <w:tc>
          <w:tcPr>
            <w:tcW w:w="1200" w:type="dxa"/>
            <w:vAlign w:val="bottom"/>
          </w:tcPr>
          <w:p>
            <w:pPr>
              <w:jc w:val="right"/>
              <w:ind w:right="541"/>
              <w:spacing w:after="0"/>
              <w:rPr>
                <w:sz w:val="20"/>
                <w:szCs w:val="20"/>
                <w:color w:val="auto"/>
              </w:rPr>
            </w:pPr>
            <w:r>
              <w:rPr>
                <w:rFonts w:ascii="Arial" w:cs="Arial" w:eastAsia="Arial" w:hAnsi="Arial"/>
                <w:sz w:val="12"/>
                <w:szCs w:val="12"/>
                <w:b w:val="1"/>
                <w:bCs w:val="1"/>
                <w:color w:val="auto"/>
              </w:rPr>
              <w:t>% of Total</w:t>
            </w:r>
          </w:p>
        </w:tc>
      </w:tr>
      <w:tr>
        <w:trPr>
          <w:trHeight w:val="146"/>
        </w:trPr>
        <w:tc>
          <w:tcPr>
            <w:tcW w:w="7780" w:type="dxa"/>
            <w:vAlign w:val="bottom"/>
          </w:tcPr>
          <w:p>
            <w:pPr>
              <w:ind w:left="20"/>
              <w:spacing w:after="0"/>
              <w:rPr>
                <w:sz w:val="20"/>
                <w:szCs w:val="20"/>
                <w:color w:val="auto"/>
              </w:rPr>
            </w:pPr>
            <w:r>
              <w:rPr>
                <w:rFonts w:ascii="Arial" w:cs="Arial" w:eastAsia="Arial" w:hAnsi="Arial"/>
                <w:sz w:val="12"/>
                <w:szCs w:val="12"/>
                <w:color w:val="auto"/>
              </w:rPr>
              <w:t>California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164</w:t>
            </w: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r>
      <w:tr>
        <w:trPr>
          <w:trHeight w:val="157"/>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Florida</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151"/>
        </w:trPr>
        <w:tc>
          <w:tcPr>
            <w:tcW w:w="7780" w:type="dxa"/>
            <w:vAlign w:val="bottom"/>
          </w:tcPr>
          <w:p>
            <w:pPr>
              <w:ind w:left="20"/>
              <w:spacing w:after="0"/>
              <w:rPr>
                <w:sz w:val="20"/>
                <w:szCs w:val="20"/>
                <w:color w:val="auto"/>
              </w:rPr>
            </w:pPr>
            <w:r>
              <w:rPr>
                <w:rFonts w:ascii="Arial" w:cs="Arial" w:eastAsia="Arial" w:hAnsi="Arial"/>
                <w:sz w:val="12"/>
                <w:szCs w:val="12"/>
                <w:color w:val="auto"/>
              </w:rPr>
              <w:t>New Jersey</w:t>
            </w:r>
          </w:p>
        </w:tc>
        <w:tc>
          <w:tcPr>
            <w:tcW w:w="120" w:type="dxa"/>
            <w:vAlign w:val="bottom"/>
          </w:tcPr>
          <w:p>
            <w:pPr>
              <w:spacing w:after="0"/>
              <w:rPr>
                <w:sz w:val="13"/>
                <w:szCs w:val="13"/>
                <w:color w:val="auto"/>
              </w:rPr>
            </w:pP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96</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8 %</w:t>
            </w:r>
          </w:p>
        </w:tc>
      </w:tr>
      <w:tr>
        <w:trPr>
          <w:trHeight w:val="154"/>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 states</w:t>
            </w: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704</w:t>
            </w:r>
          </w:p>
        </w:tc>
        <w:tc>
          <w:tcPr>
            <w:tcW w:w="1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61 %</w:t>
            </w:r>
          </w:p>
        </w:tc>
      </w:tr>
      <w:tr>
        <w:trPr>
          <w:trHeight w:val="148"/>
        </w:trPr>
        <w:tc>
          <w:tcPr>
            <w:tcW w:w="7780" w:type="dxa"/>
            <w:vAlign w:val="bottom"/>
          </w:tcPr>
          <w:p>
            <w:pPr>
              <w:ind w:left="20"/>
              <w:spacing w:after="0"/>
              <w:rPr>
                <w:sz w:val="20"/>
                <w:szCs w:val="20"/>
                <w:color w:val="auto"/>
              </w:rPr>
            </w:pPr>
            <w:r>
              <w:rPr>
                <w:rFonts w:ascii="Arial" w:cs="Arial" w:eastAsia="Arial" w:hAnsi="Arial"/>
                <w:sz w:val="12"/>
                <w:szCs w:val="12"/>
                <w:b w:val="1"/>
                <w:bCs w:val="1"/>
                <w:color w:val="auto"/>
              </w:rPr>
              <w:t>Total residential mortgage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1,152</w:t>
            </w:r>
          </w:p>
        </w:tc>
        <w:tc>
          <w:tcPr>
            <w:tcW w:w="1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(1) The individual concentration of each state is less than 8% as of December 31, 2020.</w:t>
      </w:r>
    </w:p>
    <w:p>
      <w:pPr>
        <w:spacing w:after="0" w:line="87" w:lineRule="exact"/>
        <w:rPr>
          <w:sz w:val="20"/>
          <w:szCs w:val="20"/>
          <w:color w:val="auto"/>
        </w:rPr>
      </w:pPr>
    </w:p>
    <w:p>
      <w:pPr>
        <w:jc w:val="both"/>
        <w:ind w:firstLine="330"/>
        <w:spacing w:after="0" w:line="300" w:lineRule="auto"/>
        <w:rPr>
          <w:sz w:val="20"/>
          <w:szCs w:val="20"/>
          <w:color w:val="auto"/>
        </w:rPr>
      </w:pPr>
      <w:r>
        <w:rPr>
          <w:rFonts w:ascii="Arial" w:cs="Arial" w:eastAsia="Arial" w:hAnsi="Arial"/>
          <w:sz w:val="14"/>
          <w:szCs w:val="14"/>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at June 30, 2021, was as follows (dollars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Arial" w:cs="Arial" w:eastAsia="Arial" w:hAnsi="Arial"/>
                <w:sz w:val="12"/>
                <w:szCs w:val="12"/>
                <w:b w:val="1"/>
                <w:bCs w:val="1"/>
                <w:color w:val="auto"/>
                <w:w w:val="97"/>
              </w:rPr>
              <w:t>June 30, 2021</w:t>
            </w:r>
          </w:p>
        </w:tc>
        <w:tc>
          <w:tcPr>
            <w:tcW w:w="1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w w:val="88"/>
              </w:rPr>
              <w:t>December 31, 2020</w:t>
            </w:r>
          </w:p>
        </w:tc>
        <w:tc>
          <w:tcPr>
            <w:tcW w:w="1060" w:type="dxa"/>
            <w:vAlign w:val="bottom"/>
            <w:tcBorders>
              <w:bottom w:val="single" w:sz="8" w:color="auto"/>
            </w:tcBorders>
          </w:tcPr>
          <w:p>
            <w:pPr>
              <w:spacing w:after="0"/>
              <w:rPr>
                <w:sz w:val="13"/>
                <w:szCs w:val="13"/>
                <w:color w:val="auto"/>
              </w:rPr>
            </w:pPr>
          </w:p>
        </w:tc>
      </w:tr>
      <w:tr>
        <w:trPr>
          <w:trHeight w:val="150"/>
        </w:trPr>
        <w:tc>
          <w:tcPr>
            <w:tcW w:w="4880" w:type="dxa"/>
            <w:vAlign w:val="bottom"/>
          </w:tcPr>
          <w:p>
            <w:pPr>
              <w:ind w:left="20"/>
              <w:spacing w:after="0"/>
              <w:rPr>
                <w:sz w:val="20"/>
                <w:szCs w:val="20"/>
                <w:color w:val="auto"/>
              </w:rPr>
            </w:pPr>
            <w:r>
              <w:rPr>
                <w:rFonts w:ascii="Arial" w:cs="Arial" w:eastAsia="Arial" w:hAnsi="Arial"/>
                <w:sz w:val="12"/>
                <w:szCs w:val="12"/>
                <w:b w:val="1"/>
                <w:bCs w:val="1"/>
                <w:color w:val="auto"/>
              </w:rPr>
              <w:t>Performance indicators:</w:t>
            </w:r>
          </w:p>
        </w:tc>
        <w:tc>
          <w:tcPr>
            <w:tcW w:w="220" w:type="dxa"/>
            <w:vAlign w:val="bottom"/>
          </w:tcPr>
          <w:p>
            <w:pPr>
              <w:spacing w:after="0"/>
              <w:rPr>
                <w:sz w:val="13"/>
                <w:szCs w:val="13"/>
                <w:color w:val="auto"/>
              </w:rPr>
            </w:pPr>
          </w:p>
        </w:tc>
        <w:tc>
          <w:tcPr>
            <w:tcW w:w="1800" w:type="dxa"/>
            <w:vAlign w:val="bottom"/>
            <w:gridSpan w:val="3"/>
          </w:tcPr>
          <w:p>
            <w:pPr>
              <w:ind w:left="140"/>
              <w:spacing w:after="0"/>
              <w:rPr>
                <w:sz w:val="20"/>
                <w:szCs w:val="20"/>
                <w:color w:val="auto"/>
              </w:rPr>
            </w:pPr>
            <w:r>
              <w:rPr>
                <w:rFonts w:ascii="Arial" w:cs="Arial" w:eastAsia="Arial" w:hAnsi="Arial"/>
                <w:sz w:val="12"/>
                <w:szCs w:val="12"/>
                <w:b w:val="1"/>
                <w:bCs w:val="1"/>
                <w:color w:val="auto"/>
              </w:rPr>
              <w:t>Carrying Value</w:t>
            </w:r>
          </w:p>
        </w:tc>
        <w:tc>
          <w:tcPr>
            <w:tcW w:w="1200" w:type="dxa"/>
            <w:vAlign w:val="bottom"/>
          </w:tcPr>
          <w:p>
            <w:pPr>
              <w:jc w:val="right"/>
              <w:ind w:right="521"/>
              <w:spacing w:after="0"/>
              <w:rPr>
                <w:sz w:val="20"/>
                <w:szCs w:val="20"/>
                <w:color w:val="auto"/>
              </w:rPr>
            </w:pPr>
            <w:r>
              <w:rPr>
                <w:rFonts w:ascii="Arial" w:cs="Arial" w:eastAsia="Arial" w:hAnsi="Arial"/>
                <w:sz w:val="12"/>
                <w:szCs w:val="12"/>
                <w:b w:val="1"/>
                <w:bCs w:val="1"/>
                <w:color w:val="auto"/>
              </w:rPr>
              <w:t>% of Total</w:t>
            </w:r>
          </w:p>
        </w:tc>
        <w:tc>
          <w:tcPr>
            <w:tcW w:w="260" w:type="dxa"/>
            <w:vAlign w:val="bottom"/>
          </w:tcPr>
          <w:p>
            <w:pPr>
              <w:spacing w:after="0"/>
              <w:rPr>
                <w:sz w:val="13"/>
                <w:szCs w:val="13"/>
                <w:color w:val="auto"/>
              </w:rPr>
            </w:pP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Carrying Value</w:t>
            </w:r>
          </w:p>
        </w:tc>
        <w:tc>
          <w:tcPr>
            <w:tcW w:w="1060" w:type="dxa"/>
            <w:vAlign w:val="bottom"/>
          </w:tcPr>
          <w:p>
            <w:pPr>
              <w:jc w:val="right"/>
              <w:ind w:right="461"/>
              <w:spacing w:after="0"/>
              <w:rPr>
                <w:sz w:val="20"/>
                <w:szCs w:val="20"/>
                <w:color w:val="auto"/>
              </w:rPr>
            </w:pPr>
            <w:r>
              <w:rPr>
                <w:rFonts w:ascii="Arial" w:cs="Arial" w:eastAsia="Arial" w:hAnsi="Arial"/>
                <w:sz w:val="12"/>
                <w:szCs w:val="12"/>
                <w:b w:val="1"/>
                <w:bCs w:val="1"/>
                <w:color w:val="auto"/>
                <w:w w:val="90"/>
              </w:rPr>
              <w:t>% of Total</w:t>
            </w:r>
          </w:p>
        </w:tc>
      </w:tr>
      <w:tr>
        <w:trPr>
          <w:trHeight w:val="146"/>
        </w:trPr>
        <w:tc>
          <w:tcPr>
            <w:tcW w:w="4880" w:type="dxa"/>
            <w:vAlign w:val="bottom"/>
          </w:tcPr>
          <w:p>
            <w:pPr>
              <w:ind w:left="20"/>
              <w:spacing w:after="0"/>
              <w:rPr>
                <w:sz w:val="20"/>
                <w:szCs w:val="20"/>
                <w:color w:val="auto"/>
              </w:rPr>
            </w:pPr>
            <w:r>
              <w:rPr>
                <w:rFonts w:ascii="Arial" w:cs="Arial" w:eastAsia="Arial" w:hAnsi="Arial"/>
                <w:sz w:val="12"/>
                <w:szCs w:val="12"/>
                <w:color w:val="auto"/>
              </w:rPr>
              <w:t>Performing</w:t>
            </w:r>
          </w:p>
        </w:tc>
        <w:tc>
          <w:tcPr>
            <w:tcW w:w="2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1,144</w:t>
            </w: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92 %</w:t>
            </w: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1,059</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91 %</w:t>
            </w:r>
          </w:p>
        </w:tc>
      </w:tr>
      <w:tr>
        <w:trPr>
          <w:trHeight w:val="157"/>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Non-performing</w:t>
            </w:r>
          </w:p>
        </w:tc>
        <w:tc>
          <w:tcPr>
            <w:tcW w:w="2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8 %</w:t>
            </w: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42"/>
        </w:trPr>
        <w:tc>
          <w:tcPr>
            <w:tcW w:w="488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2"/>
                <w:szCs w:val="12"/>
                <w:b w:val="1"/>
                <w:bCs w:val="1"/>
                <w:color w:val="auto"/>
              </w:rPr>
              <w:t>Total residential mortgage loans, gross of valuation allowance</w:t>
            </w: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1,237</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100 %</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1,165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145"/>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Allowance for expected loan loss</w:t>
            </w: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 %</w:t>
            </w: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48"/>
        </w:trPr>
        <w:tc>
          <w:tcPr>
            <w:tcW w:w="4880" w:type="dxa"/>
            <w:vAlign w:val="bottom"/>
          </w:tcPr>
          <w:p>
            <w:pPr>
              <w:ind w:left="20"/>
              <w:spacing w:after="0"/>
              <w:rPr>
                <w:sz w:val="20"/>
                <w:szCs w:val="20"/>
                <w:color w:val="auto"/>
              </w:rPr>
            </w:pPr>
            <w:r>
              <w:rPr>
                <w:rFonts w:ascii="Arial" w:cs="Arial" w:eastAsia="Arial" w:hAnsi="Arial"/>
                <w:sz w:val="12"/>
                <w:szCs w:val="12"/>
                <w:b w:val="1"/>
                <w:bCs w:val="1"/>
                <w:color w:val="auto"/>
              </w:rPr>
              <w:t>Total residential mortgage loans</w:t>
            </w: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1,209</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100 %</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1,128</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Loans segregated by risk rating exposure as of June 30, 2021 and December 31, 2020,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1"/>
              <w:spacing w:after="0"/>
              <w:rPr>
                <w:sz w:val="20"/>
                <w:szCs w:val="20"/>
                <w:color w:val="auto"/>
              </w:rPr>
            </w:pPr>
            <w:r>
              <w:rPr>
                <w:rFonts w:ascii="Arial" w:cs="Arial" w:eastAsia="Arial" w:hAnsi="Arial"/>
                <w:sz w:val="12"/>
                <w:szCs w:val="12"/>
                <w:b w:val="1"/>
                <w:bCs w:val="1"/>
                <w:color w:val="auto"/>
                <w:w w:val="87"/>
              </w:rPr>
              <w:t>June 30, 2021</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center"/>
              <w:ind w:left="361"/>
              <w:spacing w:after="0"/>
              <w:rPr>
                <w:sz w:val="20"/>
                <w:szCs w:val="20"/>
                <w:color w:val="auto"/>
              </w:rPr>
            </w:pPr>
            <w:r>
              <w:rPr>
                <w:rFonts w:ascii="Arial" w:cs="Arial" w:eastAsia="Arial" w:hAnsi="Arial"/>
                <w:sz w:val="12"/>
                <w:szCs w:val="12"/>
                <w:b w:val="1"/>
                <w:bCs w:val="1"/>
                <w:color w:val="auto"/>
                <w:w w:val="89"/>
              </w:rPr>
              <w:t>Amortized Cost by Origination Year</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b w:val="1"/>
                <w:bCs w:val="1"/>
                <w:color w:val="auto"/>
                <w:w w:val="82"/>
              </w:rPr>
              <w:t>2018</w:t>
            </w: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Prior</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39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Residential mortgages</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Current (less than 30 days past due)</w:t>
            </w:r>
          </w:p>
        </w:tc>
        <w:tc>
          <w:tcPr>
            <w:tcW w:w="740" w:type="dxa"/>
            <w:vAlign w:val="bottom"/>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281</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463</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245</w:t>
            </w: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100</w:t>
            </w:r>
          </w:p>
        </w:tc>
        <w:tc>
          <w:tcPr>
            <w:tcW w:w="420" w:type="dxa"/>
            <w:vAlign w:val="bottom"/>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1,089</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30-89 days past due</w:t>
            </w: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5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Over 90 days past due</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residential mortgages</w:t>
            </w: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w:t>
            </w:r>
          </w:p>
        </w:tc>
        <w:tc>
          <w:tcPr>
            <w:tcW w:w="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4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line="134"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9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(less than 30 days past due)</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42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1,591</w:t>
            </w:r>
          </w:p>
        </w:tc>
        <w:tc>
          <w:tcPr>
            <w:tcW w:w="0" w:type="dxa"/>
            <w:vAlign w:val="bottom"/>
          </w:tcPr>
          <w:p>
            <w:pPr>
              <w:spacing w:after="0"/>
              <w:rPr>
                <w:sz w:val="1"/>
                <w:szCs w:val="1"/>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30-89 days past due</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Over 90 days past due</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42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1,591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December 31, 2020</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Amortized Cost by Origination Year</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w w:val="82"/>
              </w:rPr>
              <w:t>2016</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Prior</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39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Residential mortgages</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Current (less than 30 days past due)</w:t>
            </w:r>
          </w:p>
        </w:tc>
        <w:tc>
          <w:tcPr>
            <w:tcW w:w="740" w:type="dxa"/>
            <w:vAlign w:val="bottom"/>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311</w:t>
            </w: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545</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68</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42</w:t>
            </w:r>
          </w:p>
        </w:tc>
        <w:tc>
          <w:tcPr>
            <w:tcW w:w="420" w:type="dxa"/>
            <w:vAlign w:val="bottom"/>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62</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2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1,030</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30-89 days past due</w:t>
            </w: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Over 90 days past due</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residential mortgages</w:t>
            </w: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4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1,159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line="134"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9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(less than 30 days past due)</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30-89 days past due</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Over 90 days past due</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rPr>
                <w:sz w:val="20"/>
                <w:szCs w:val="20"/>
                <w:color w:val="auto"/>
              </w:rPr>
            </w:pPr>
            <w:r>
              <w:rPr>
                <w:rFonts w:ascii="Arial" w:cs="Arial" w:eastAsia="Arial" w:hAnsi="Arial"/>
                <w:sz w:val="12"/>
                <w:szCs w:val="12"/>
                <w:color w:val="auto"/>
              </w:rPr>
              <w:t>Total commercial mortgage</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1"/>
              <w:spacing w:after="0"/>
              <w:rPr>
                <w:sz w:val="20"/>
                <w:szCs w:val="20"/>
                <w:color w:val="auto"/>
              </w:rPr>
            </w:pPr>
            <w:r>
              <w:rPr>
                <w:rFonts w:ascii="Arial" w:cs="Arial" w:eastAsia="Arial" w:hAnsi="Arial"/>
                <w:sz w:val="12"/>
                <w:szCs w:val="12"/>
                <w:b w:val="1"/>
                <w:bCs w:val="1"/>
                <w:color w:val="auto"/>
                <w:w w:val="87"/>
              </w:rPr>
              <w:t>June 30, 2021</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39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left="1"/>
              <w:spacing w:after="0"/>
              <w:rPr>
                <w:sz w:val="20"/>
                <w:szCs w:val="20"/>
                <w:color w:val="auto"/>
              </w:rPr>
            </w:pPr>
            <w:r>
              <w:rPr>
                <w:rFonts w:ascii="Arial" w:cs="Arial" w:eastAsia="Arial" w:hAnsi="Arial"/>
                <w:sz w:val="12"/>
                <w:szCs w:val="12"/>
                <w:b w:val="1"/>
                <w:bCs w:val="1"/>
                <w:color w:val="auto"/>
                <w:w w:val="89"/>
              </w:rPr>
              <w:t>Amortized Cost by Origination Year</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8"/>
        </w:trPr>
        <w:tc>
          <w:tcPr>
            <w:tcW w:w="39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b w:val="1"/>
                <w:bCs w:val="1"/>
                <w:color w:val="auto"/>
                <w:w w:val="82"/>
              </w:rPr>
              <w:t>2018</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Prior</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r>
      <w:tr>
        <w:trPr>
          <w:trHeight w:val="136"/>
        </w:trPr>
        <w:tc>
          <w:tcPr>
            <w:tcW w:w="39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LTV</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50%</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599</w:t>
            </w: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50% to 60%</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101</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192</w:t>
            </w:r>
          </w:p>
        </w:tc>
        <w:tc>
          <w:tcPr>
            <w:tcW w:w="260" w:type="dxa"/>
            <w:vAlign w:val="bottom"/>
          </w:tcPr>
          <w:p>
            <w:pPr>
              <w:spacing w:after="0"/>
              <w:rPr>
                <w:sz w:val="13"/>
                <w:szCs w:val="13"/>
                <w:color w:val="auto"/>
              </w:rPr>
            </w:pP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313</w:t>
            </w:r>
          </w:p>
        </w:tc>
      </w:tr>
      <w:tr>
        <w:trPr>
          <w:trHeight w:val="15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60% to 75%</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679</w:t>
            </w:r>
          </w:p>
        </w:tc>
      </w:tr>
      <w:tr>
        <w:trPr>
          <w:trHeight w:val="148"/>
        </w:trPr>
        <w:tc>
          <w:tcPr>
            <w:tcW w:w="390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1,591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6"/>
        </w:trPr>
        <w:tc>
          <w:tcPr>
            <w:tcW w:w="3900" w:type="dxa"/>
            <w:vAlign w:val="bottom"/>
            <w:shd w:val="clear" w:color="auto" w:fill="CCEEFF"/>
          </w:tcPr>
          <w:p>
            <w:pPr>
              <w:ind w:left="20"/>
              <w:spacing w:after="0" w:line="116"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DSCR</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Greater than 1.25x</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1,551</w:t>
            </w: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1.00x - 1.25x</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31</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31</w:t>
            </w:r>
          </w:p>
        </w:tc>
      </w:tr>
      <w:tr>
        <w:trPr>
          <w:trHeight w:val="15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1.00x</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w:t>
            </w: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w:t>
            </w:r>
          </w:p>
        </w:tc>
      </w:tr>
      <w:tr>
        <w:trPr>
          <w:trHeight w:val="148"/>
        </w:trPr>
        <w:tc>
          <w:tcPr>
            <w:tcW w:w="390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1,591</w:t>
            </w:r>
          </w:p>
        </w:tc>
      </w:tr>
      <w:tr>
        <w:trPr>
          <w:trHeight w:val="20"/>
        </w:trPr>
        <w:tc>
          <w:tcPr>
            <w:tcW w:w="3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December 31, 2020</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39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left="1"/>
              <w:spacing w:after="0"/>
              <w:rPr>
                <w:sz w:val="20"/>
                <w:szCs w:val="20"/>
                <w:color w:val="auto"/>
              </w:rPr>
            </w:pPr>
            <w:r>
              <w:rPr>
                <w:rFonts w:ascii="Arial" w:cs="Arial" w:eastAsia="Arial" w:hAnsi="Arial"/>
                <w:sz w:val="12"/>
                <w:szCs w:val="12"/>
                <w:b w:val="1"/>
                <w:bCs w:val="1"/>
                <w:color w:val="auto"/>
                <w:w w:val="89"/>
              </w:rPr>
              <w:t>Amortized Cost by Origination Year</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8"/>
        </w:trPr>
        <w:tc>
          <w:tcPr>
            <w:tcW w:w="39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2018</w:t>
            </w:r>
          </w:p>
        </w:tc>
        <w:tc>
          <w:tcPr>
            <w:tcW w:w="780" w:type="dxa"/>
            <w:vAlign w:val="bottom"/>
            <w:tcBorders>
              <w:bottom w:val="single" w:sz="8" w:color="auto"/>
            </w:tcBorders>
          </w:tcPr>
          <w:p>
            <w:pPr>
              <w:jc w:val="center"/>
              <w:ind w:left="261"/>
              <w:spacing w:after="0"/>
              <w:rPr>
                <w:sz w:val="20"/>
                <w:szCs w:val="20"/>
                <w:color w:val="auto"/>
              </w:rPr>
            </w:pPr>
            <w:r>
              <w:rPr>
                <w:rFonts w:ascii="Arial" w:cs="Arial" w:eastAsia="Arial" w:hAnsi="Arial"/>
                <w:sz w:val="12"/>
                <w:szCs w:val="12"/>
                <w:b w:val="1"/>
                <w:bCs w:val="1"/>
                <w:color w:val="auto"/>
                <w:w w:val="82"/>
              </w:rPr>
              <w:t>2017</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2016</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Prior</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Total</w:t>
            </w:r>
          </w:p>
        </w:tc>
      </w:tr>
      <w:tr>
        <w:trPr>
          <w:trHeight w:val="136"/>
        </w:trPr>
        <w:tc>
          <w:tcPr>
            <w:tcW w:w="39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LTV</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50%</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 $</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538</w:t>
            </w: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50% to 60%</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192</w:t>
            </w:r>
          </w:p>
        </w:tc>
        <w:tc>
          <w:tcPr>
            <w:tcW w:w="260" w:type="dxa"/>
            <w:vAlign w:val="bottom"/>
          </w:tcPr>
          <w:p>
            <w:pPr>
              <w:spacing w:after="0"/>
              <w:rPr>
                <w:sz w:val="13"/>
                <w:szCs w:val="13"/>
                <w:color w:val="auto"/>
              </w:rPr>
            </w:pPr>
          </w:p>
        </w:tc>
        <w:tc>
          <w:tcPr>
            <w:tcW w:w="780" w:type="dxa"/>
            <w:vAlign w:val="bottom"/>
          </w:tcPr>
          <w:p>
            <w:pPr>
              <w:ind w:left="64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20"/>
              <w:spacing w:after="0"/>
              <w:rPr>
                <w:sz w:val="20"/>
                <w:szCs w:val="20"/>
                <w:color w:val="auto"/>
              </w:rPr>
            </w:pPr>
            <w:r>
              <w:rPr>
                <w:rFonts w:ascii="Arial" w:cs="Arial" w:eastAsia="Arial" w:hAnsi="Arial"/>
                <w:sz w:val="12"/>
                <w:szCs w:val="12"/>
                <w:color w:val="auto"/>
              </w:rPr>
              <w:t>11</w:t>
            </w:r>
          </w:p>
        </w:tc>
        <w:tc>
          <w:tcPr>
            <w:tcW w:w="7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43</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246</w:t>
            </w:r>
          </w:p>
        </w:tc>
      </w:tr>
      <w:tr>
        <w:trPr>
          <w:trHeight w:val="15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60% to 75%</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121</w:t>
            </w:r>
          </w:p>
        </w:tc>
      </w:tr>
      <w:tr>
        <w:trPr>
          <w:trHeight w:val="148"/>
        </w:trPr>
        <w:tc>
          <w:tcPr>
            <w:tcW w:w="390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11</w:t>
            </w:r>
          </w:p>
        </w:tc>
        <w:tc>
          <w:tcPr>
            <w:tcW w:w="76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905</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6"/>
        </w:trPr>
        <w:tc>
          <w:tcPr>
            <w:tcW w:w="3900" w:type="dxa"/>
            <w:vAlign w:val="bottom"/>
            <w:shd w:val="clear" w:color="auto" w:fill="CCEEFF"/>
          </w:tcPr>
          <w:p>
            <w:pPr>
              <w:ind w:left="20"/>
              <w:spacing w:after="0" w:line="116" w:lineRule="exact"/>
              <w:rPr>
                <w:sz w:val="20"/>
                <w:szCs w:val="20"/>
                <w:color w:val="auto"/>
              </w:rPr>
            </w:pPr>
            <w:r>
              <w:rPr>
                <w:rFonts w:ascii="Arial" w:cs="Arial" w:eastAsia="Arial" w:hAnsi="Arial"/>
                <w:sz w:val="12"/>
                <w:szCs w:val="12"/>
                <w:b w:val="1"/>
                <w:bCs w:val="1"/>
                <w:color w:val="auto"/>
              </w:rPr>
              <w:t>Commercial mortgages</w:t>
            </w: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DSCR</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Greater than 1.25x</w:t>
            </w:r>
          </w:p>
        </w:tc>
        <w:tc>
          <w:tcPr>
            <w:tcW w:w="740" w:type="dxa"/>
            <w:vAlign w:val="bottom"/>
            <w:shd w:val="clear" w:color="auto" w:fill="CCEEFF"/>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ind w:left="640"/>
              <w:spacing w:after="0"/>
              <w:rPr>
                <w:sz w:val="20"/>
                <w:szCs w:val="20"/>
                <w:color w:val="auto"/>
              </w:rPr>
            </w:pPr>
            <w:r>
              <w:rPr>
                <w:rFonts w:ascii="Arial" w:cs="Arial" w:eastAsia="Arial" w:hAnsi="Arial"/>
                <w:sz w:val="12"/>
                <w:szCs w:val="12"/>
                <w:color w:val="auto"/>
                <w:w w:val="99"/>
              </w:rPr>
              <w: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11</w:t>
            </w:r>
          </w:p>
        </w:tc>
        <w:tc>
          <w:tcPr>
            <w:tcW w:w="760" w:type="dxa"/>
            <w:vAlign w:val="bottom"/>
            <w:shd w:val="clear" w:color="auto" w:fill="CCEEFF"/>
          </w:tcPr>
          <w:p>
            <w:pPr>
              <w:jc w:val="right"/>
              <w:ind w:right="621"/>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878</w:t>
            </w:r>
          </w:p>
        </w:tc>
      </w:tr>
      <w:tr>
        <w:trPr>
          <w:trHeight w:val="151"/>
        </w:trPr>
        <w:tc>
          <w:tcPr>
            <w:tcW w:w="3900" w:type="dxa"/>
            <w:vAlign w:val="bottom"/>
          </w:tcPr>
          <w:p>
            <w:pPr>
              <w:ind w:left="20"/>
              <w:spacing w:after="0"/>
              <w:rPr>
                <w:sz w:val="20"/>
                <w:szCs w:val="20"/>
                <w:color w:val="auto"/>
              </w:rPr>
            </w:pPr>
            <w:r>
              <w:rPr>
                <w:rFonts w:ascii="Arial" w:cs="Arial" w:eastAsia="Arial" w:hAnsi="Arial"/>
                <w:sz w:val="12"/>
                <w:szCs w:val="12"/>
                <w:color w:val="auto"/>
              </w:rPr>
              <w:t>1.00x - 1.25x</w:t>
            </w: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80" w:type="dxa"/>
            <w:vAlign w:val="bottom"/>
          </w:tcPr>
          <w:p>
            <w:pPr>
              <w:ind w:left="64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80" w:type="dxa"/>
            <w:vAlign w:val="bottom"/>
          </w:tcPr>
          <w:p>
            <w:pPr>
              <w:ind w:lef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27</w:t>
            </w:r>
          </w:p>
        </w:tc>
        <w:tc>
          <w:tcPr>
            <w:tcW w:w="2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27</w:t>
            </w:r>
          </w:p>
        </w:tc>
      </w:tr>
      <w:tr>
        <w:trPr>
          <w:trHeight w:val="15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1.00x</w:t>
            </w:r>
          </w:p>
        </w:tc>
        <w:tc>
          <w:tcPr>
            <w:tcW w:w="7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8"/>
        </w:trPr>
        <w:tc>
          <w:tcPr>
            <w:tcW w:w="3900" w:type="dxa"/>
            <w:vAlign w:val="bottom"/>
          </w:tcPr>
          <w:p>
            <w:pPr>
              <w:ind w:left="20"/>
              <w:spacing w:after="0"/>
              <w:rPr>
                <w:sz w:val="20"/>
                <w:szCs w:val="20"/>
                <w:color w:val="auto"/>
              </w:rPr>
            </w:pPr>
            <w:r>
              <w:rPr>
                <w:rFonts w:ascii="Arial" w:cs="Arial" w:eastAsia="Arial" w:hAnsi="Arial"/>
                <w:sz w:val="12"/>
                <w:szCs w:val="12"/>
                <w:color w:val="auto"/>
              </w:rPr>
              <w:t>Total commercial mortgages</w:t>
            </w:r>
          </w:p>
        </w:tc>
        <w:tc>
          <w:tcPr>
            <w:tcW w:w="7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11</w:t>
            </w:r>
          </w:p>
        </w:tc>
        <w:tc>
          <w:tcPr>
            <w:tcW w:w="76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905</w:t>
            </w:r>
          </w:p>
        </w:tc>
      </w:tr>
      <w:tr>
        <w:trPr>
          <w:trHeight w:val="20"/>
        </w:trPr>
        <w:tc>
          <w:tcPr>
            <w:tcW w:w="3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Non-accrual loans by amortized cost as of June 30, 2021 and December 31, 2020,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Amortized cost of loans on non-accrual</w:t>
            </w:r>
          </w:p>
        </w:tc>
        <w:tc>
          <w:tcPr>
            <w:tcW w:w="4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2"/>
                <w:szCs w:val="12"/>
                <w:b w:val="1"/>
                <w:bCs w:val="1"/>
                <w:color w:val="auto"/>
              </w:rPr>
              <w:t>June 30, 2021</w:t>
            </w:r>
          </w:p>
        </w:tc>
        <w:tc>
          <w:tcPr>
            <w:tcW w:w="380" w:type="dxa"/>
            <w:vAlign w:val="bottom"/>
            <w:shd w:val="clear" w:color="auto" w:fill="CCEEFF"/>
          </w:tcPr>
          <w:p>
            <w:pPr>
              <w:spacing w:after="0"/>
              <w:rPr>
                <w:sz w:val="13"/>
                <w:szCs w:val="13"/>
                <w:color w:val="auto"/>
              </w:rPr>
            </w:pPr>
          </w:p>
        </w:tc>
        <w:tc>
          <w:tcPr>
            <w:tcW w:w="1880" w:type="dxa"/>
            <w:vAlign w:val="bottom"/>
            <w:shd w:val="clear" w:color="auto" w:fill="CCEEFF"/>
          </w:tcPr>
          <w:p>
            <w:pPr>
              <w:jc w:val="right"/>
              <w:ind w:right="601"/>
              <w:spacing w:after="0"/>
              <w:rPr>
                <w:sz w:val="20"/>
                <w:szCs w:val="20"/>
                <w:color w:val="auto"/>
              </w:rPr>
            </w:pPr>
            <w:r>
              <w:rPr>
                <w:rFonts w:ascii="Arial" w:cs="Arial" w:eastAsia="Arial" w:hAnsi="Arial"/>
                <w:sz w:val="12"/>
                <w:szCs w:val="12"/>
                <w:b w:val="1"/>
                <w:bCs w:val="1"/>
                <w:color w:val="auto"/>
              </w:rPr>
              <w:t>December 31, 2020</w:t>
            </w:r>
          </w:p>
        </w:tc>
      </w:tr>
      <w:tr>
        <w:trPr>
          <w:trHeight w:val="142"/>
        </w:trPr>
        <w:tc>
          <w:tcPr>
            <w:tcW w:w="6680" w:type="dxa"/>
            <w:vAlign w:val="bottom"/>
          </w:tcPr>
          <w:p>
            <w:pPr>
              <w:ind w:left="20"/>
              <w:spacing w:after="0" w:line="135" w:lineRule="exact"/>
              <w:rPr>
                <w:sz w:val="20"/>
                <w:szCs w:val="20"/>
                <w:color w:val="auto"/>
              </w:rPr>
            </w:pPr>
            <w:r>
              <w:rPr>
                <w:rFonts w:ascii="Arial" w:cs="Arial" w:eastAsia="Arial" w:hAnsi="Arial"/>
                <w:sz w:val="12"/>
                <w:szCs w:val="12"/>
                <w:color w:val="auto"/>
              </w:rPr>
              <w:t>Residential mortgage:</w:t>
            </w:r>
          </w:p>
        </w:tc>
        <w:tc>
          <w:tcPr>
            <w:tcW w:w="440" w:type="dxa"/>
            <w:vAlign w:val="bottom"/>
            <w:tcBorders>
              <w:top w:val="single" w:sz="8" w:color="auto"/>
            </w:tcBorders>
          </w:tcPr>
          <w:p>
            <w:pPr>
              <w:jc w:val="right"/>
              <w:ind w:right="301"/>
              <w:spacing w:after="0"/>
              <w:rPr>
                <w:sz w:val="20"/>
                <w:szCs w:val="20"/>
                <w:color w:val="auto"/>
              </w:rPr>
            </w:pPr>
            <w:r>
              <w:rPr>
                <w:rFonts w:ascii="Arial" w:cs="Arial" w:eastAsia="Arial" w:hAnsi="Arial"/>
                <w:sz w:val="12"/>
                <w:szCs w:val="12"/>
                <w:color w:val="auto"/>
                <w:w w:val="89"/>
              </w:rPr>
              <w:t>$</w:t>
            </w:r>
          </w:p>
        </w:tc>
        <w:tc>
          <w:tcPr>
            <w:tcW w:w="18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ind w:right="241"/>
              <w:spacing w:after="0"/>
              <w:rPr>
                <w:sz w:val="20"/>
                <w:szCs w:val="20"/>
                <w:color w:val="auto"/>
              </w:rPr>
            </w:pPr>
            <w:r>
              <w:rPr>
                <w:rFonts w:ascii="Arial" w:cs="Arial" w:eastAsia="Arial" w:hAnsi="Arial"/>
                <w:sz w:val="12"/>
                <w:szCs w:val="12"/>
                <w:color w:val="auto"/>
                <w:w w:val="89"/>
              </w:rPr>
              <w:t>$</w:t>
            </w:r>
          </w:p>
        </w:tc>
        <w:tc>
          <w:tcPr>
            <w:tcW w:w="18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99</w:t>
            </w:r>
          </w:p>
        </w:tc>
      </w:tr>
      <w:tr>
        <w:trPr>
          <w:trHeight w:val="154"/>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w:t>
            </w:r>
          </w:p>
        </w:tc>
        <w:tc>
          <w:tcPr>
            <w:tcW w:w="4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8"/>
        </w:trPr>
        <w:tc>
          <w:tcPr>
            <w:tcW w:w="6680" w:type="dxa"/>
            <w:vAlign w:val="bottom"/>
          </w:tcPr>
          <w:p>
            <w:pPr>
              <w:ind w:left="20"/>
              <w:spacing w:after="0"/>
              <w:rPr>
                <w:sz w:val="20"/>
                <w:szCs w:val="20"/>
                <w:color w:val="auto"/>
              </w:rPr>
            </w:pPr>
            <w:r>
              <w:rPr>
                <w:rFonts w:ascii="Arial" w:cs="Arial" w:eastAsia="Arial" w:hAnsi="Arial"/>
                <w:sz w:val="12"/>
                <w:szCs w:val="12"/>
                <w:b w:val="1"/>
                <w:bCs w:val="1"/>
                <w:color w:val="auto"/>
              </w:rPr>
              <w:t>Total non-accrual loans</w:t>
            </w:r>
          </w:p>
        </w:tc>
        <w:tc>
          <w:tcPr>
            <w:tcW w:w="4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2"/>
                <w:szCs w:val="12"/>
                <w:color w:val="auto"/>
                <w:w w:val="89"/>
              </w:rPr>
              <w:t>$</w:t>
            </w:r>
          </w:p>
        </w:tc>
        <w:tc>
          <w:tcPr>
            <w:tcW w:w="1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2"/>
                <w:szCs w:val="12"/>
                <w:color w:val="auto"/>
                <w:w w:val="89"/>
              </w:rPr>
              <w:t>$</w:t>
            </w:r>
          </w:p>
        </w:tc>
        <w:tc>
          <w:tcPr>
            <w:tcW w:w="1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99</w:t>
            </w:r>
          </w:p>
        </w:tc>
      </w:tr>
      <w:tr>
        <w:trPr>
          <w:trHeight w:val="20"/>
        </w:trPr>
        <w:tc>
          <w:tcPr>
            <w:tcW w:w="6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Immaterial interest income was recognized on non-accrual financing receivables for the three and six months ended June 30, 2021.</w:t>
      </w:r>
    </w:p>
    <w:p>
      <w:pPr>
        <w:spacing w:after="0" w:line="113" w:lineRule="exact"/>
        <w:rPr>
          <w:sz w:val="20"/>
          <w:szCs w:val="20"/>
          <w:color w:val="auto"/>
        </w:rPr>
      </w:pPr>
    </w:p>
    <w:p>
      <w:pPr>
        <w:jc w:val="both"/>
        <w:ind w:right="80" w:firstLine="527"/>
        <w:spacing w:after="0" w:line="239" w:lineRule="auto"/>
        <w:rPr>
          <w:sz w:val="20"/>
          <w:szCs w:val="20"/>
          <w:color w:val="auto"/>
        </w:rPr>
      </w:pPr>
      <w:r>
        <w:rPr>
          <w:rFonts w:ascii="Arial" w:cs="Arial" w:eastAsia="Arial" w:hAnsi="Arial"/>
          <w:sz w:val="14"/>
          <w:szCs w:val="14"/>
          <w:color w:val="auto"/>
        </w:rPr>
        <w:t>It is our policy to cease to accrue interest on loans that are over 90 days delinquent. For loans less than 90 days delinquent, interest is accrued unless it is determined that the accrued interest is not collectible. If a loan becomes over 90 days delinquent, it is our general policy to initiate foreclosure proceedings unless a workout arrangement to bring the loan current is in place. As of June 30, 2021 and December 31, 2020, we had $89 million and $103 million, respectively, of mortgage loans that were over 90 days past due, of which $54 million and $24.4 million, respectively, were in the process of foreclosure. We will continue to evaluate these policies with regard to the economic challenges for mortgage debtors related to COVID-19. Our ability to initiate foreclosure proceedings may be limited by legislation passed and executive orders issued in response to the spread of COVID-19.</w:t>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Allowance for Expected Credit Loss for Residential Mortgages</w:t>
      </w:r>
    </w:p>
    <w:p>
      <w:pPr>
        <w:spacing w:after="0" w:line="201" w:lineRule="exact"/>
        <w:rPr>
          <w:sz w:val="20"/>
          <w:szCs w:val="20"/>
          <w:color w:val="auto"/>
        </w:rPr>
      </w:pPr>
    </w:p>
    <w:p>
      <w:pPr>
        <w:jc w:val="both"/>
        <w:ind w:right="80" w:firstLine="330"/>
        <w:spacing w:after="0" w:line="251" w:lineRule="auto"/>
        <w:rPr>
          <w:sz w:val="20"/>
          <w:szCs w:val="20"/>
          <w:color w:val="auto"/>
        </w:rPr>
      </w:pPr>
      <w:r>
        <w:rPr>
          <w:rFonts w:ascii="Arial" w:cs="Arial" w:eastAsia="Arial" w:hAnsi="Arial"/>
          <w:sz w:val="15"/>
          <w:szCs w:val="15"/>
          <w:color w:val="auto"/>
        </w:rPr>
        <w:t>We estimate expected credit losses for our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107"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6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June 30, 2021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680" w:type="dxa"/>
            <w:vAlign w:val="bottom"/>
          </w:tcPr>
          <w:p>
            <w:pPr>
              <w:spacing w:after="0"/>
              <w:rPr>
                <w:sz w:val="9"/>
                <w:szCs w:val="9"/>
                <w:color w:val="auto"/>
              </w:rPr>
            </w:pPr>
          </w:p>
        </w:tc>
        <w:tc>
          <w:tcPr>
            <w:tcW w:w="158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w w:val="97"/>
              </w:rPr>
              <w:t>Residential Mortgage</w:t>
            </w:r>
          </w:p>
        </w:tc>
        <w:tc>
          <w:tcPr>
            <w:tcW w:w="1300" w:type="dxa"/>
            <w:vAlign w:val="bottom"/>
          </w:tcPr>
          <w:p>
            <w:pPr>
              <w:jc w:val="right"/>
              <w:ind w:right="21"/>
              <w:spacing w:after="0" w:line="106" w:lineRule="exact"/>
              <w:rPr>
                <w:sz w:val="20"/>
                <w:szCs w:val="20"/>
                <w:color w:val="auto"/>
              </w:rPr>
            </w:pPr>
            <w:r>
              <w:rPr>
                <w:rFonts w:ascii="Arial" w:cs="Arial" w:eastAsia="Arial" w:hAnsi="Arial"/>
                <w:sz w:val="12"/>
                <w:szCs w:val="12"/>
                <w:b w:val="1"/>
                <w:bCs w:val="1"/>
                <w:color w:val="auto"/>
              </w:rPr>
              <w:t>Commercial</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jc w:val="right"/>
              <w:ind w:right="12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668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1300" w:type="dxa"/>
            <w:vAlign w:val="bottom"/>
          </w:tcPr>
          <w:p>
            <w:pPr>
              <w:jc w:val="right"/>
              <w:ind w:right="261"/>
              <w:spacing w:after="0"/>
              <w:rPr>
                <w:sz w:val="20"/>
                <w:szCs w:val="20"/>
                <w:color w:val="auto"/>
              </w:rPr>
            </w:pPr>
            <w:r>
              <w:rPr>
                <w:rFonts w:ascii="Arial" w:cs="Arial" w:eastAsia="Arial" w:hAnsi="Arial"/>
                <w:sz w:val="12"/>
                <w:szCs w:val="12"/>
                <w:b w:val="1"/>
                <w:bCs w:val="1"/>
                <w:color w:val="auto"/>
              </w:rPr>
              <w:t>Mortgage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8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Balance, December 31, 2020</w:t>
            </w: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4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(Reversal of) provision for loan losses</w:t>
            </w: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w w:val="95"/>
              </w:rPr>
              <w:t>(9)</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Balance, June 30, 2021</w:t>
            </w:r>
          </w:p>
        </w:tc>
        <w:tc>
          <w:tcPr>
            <w:tcW w:w="8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rPr>
              <w:t>28</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80" w:firstLine="330"/>
        <w:spacing w:after="0" w:line="239" w:lineRule="auto"/>
        <w:rPr>
          <w:sz w:val="20"/>
          <w:szCs w:val="20"/>
          <w:color w:val="auto"/>
        </w:rPr>
      </w:pPr>
      <w:r>
        <w:rPr>
          <w:rFonts w:ascii="Arial" w:cs="Arial" w:eastAsia="Arial" w:hAnsi="Arial"/>
          <w:sz w:val="15"/>
          <w:szCs w:val="15"/>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and were immaterial as of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40" w:name="page41"/>
    <w:bookmarkEnd w:id="4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Investment Income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major sources of Interest and investment income reported on the accompanying unaudited Condensed Consolidated Statements of Earnings were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2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61"/>
              <w:spacing w:after="0"/>
              <w:rPr>
                <w:sz w:val="20"/>
                <w:szCs w:val="20"/>
                <w:color w:val="auto"/>
              </w:rPr>
            </w:pPr>
            <w:r>
              <w:rPr>
                <w:rFonts w:ascii="Arial" w:cs="Arial" w:eastAsia="Arial" w:hAnsi="Arial"/>
                <w:sz w:val="12"/>
                <w:szCs w:val="12"/>
                <w:b w:val="1"/>
                <w:bCs w:val="1"/>
                <w:color w:val="auto"/>
              </w:rPr>
              <w:t>Six months ended</w:t>
            </w:r>
          </w:p>
        </w:tc>
      </w:tr>
      <w:tr>
        <w:trPr>
          <w:trHeight w:val="146"/>
        </w:trPr>
        <w:tc>
          <w:tcPr>
            <w:tcW w:w="5320" w:type="dxa"/>
            <w:vAlign w:val="bottom"/>
          </w:tcPr>
          <w:p>
            <w:pPr>
              <w:spacing w:after="0"/>
              <w:rPr>
                <w:sz w:val="12"/>
                <w:szCs w:val="12"/>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June 30, 2021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June 30, 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 2021</w:t>
            </w:r>
          </w:p>
        </w:tc>
        <w:tc>
          <w:tcPr>
            <w:tcW w:w="220" w:type="dxa"/>
            <w:vAlign w:val="bottom"/>
          </w:tcPr>
          <w:p>
            <w:pPr>
              <w:spacing w:after="0"/>
              <w:rPr>
                <w:sz w:val="12"/>
                <w:szCs w:val="12"/>
                <w:color w:val="auto"/>
              </w:rPr>
            </w:pPr>
          </w:p>
        </w:tc>
        <w:tc>
          <w:tcPr>
            <w:tcW w:w="1180" w:type="dxa"/>
            <w:vAlign w:val="bottom"/>
          </w:tcPr>
          <w:p>
            <w:pPr>
              <w:jc w:val="right"/>
              <w:ind w:right="301"/>
              <w:spacing w:after="0"/>
              <w:rPr>
                <w:sz w:val="20"/>
                <w:szCs w:val="20"/>
                <w:color w:val="auto"/>
              </w:rPr>
            </w:pPr>
            <w:r>
              <w:rPr>
                <w:rFonts w:ascii="Arial" w:cs="Arial" w:eastAsia="Arial" w:hAnsi="Arial"/>
                <w:sz w:val="12"/>
                <w:szCs w:val="12"/>
                <w:b w:val="1"/>
                <w:bCs w:val="1"/>
                <w:color w:val="auto"/>
              </w:rPr>
              <w:t>June 30, 2020</w:t>
            </w:r>
          </w:p>
        </w:tc>
      </w:tr>
      <w:tr>
        <w:trPr>
          <w:trHeight w:val="146"/>
        </w:trPr>
        <w:tc>
          <w:tcPr>
            <w:tcW w:w="5320" w:type="dxa"/>
            <w:vAlign w:val="bottom"/>
          </w:tcPr>
          <w:p>
            <w:pPr>
              <w:ind w:left="20"/>
              <w:spacing w:after="0"/>
              <w:rPr>
                <w:sz w:val="20"/>
                <w:szCs w:val="20"/>
                <w:color w:val="auto"/>
              </w:rPr>
            </w:pPr>
            <w:r>
              <w:rPr>
                <w:rFonts w:ascii="Arial" w:cs="Arial" w:eastAsia="Arial" w:hAnsi="Arial"/>
                <w:sz w:val="12"/>
                <w:szCs w:val="12"/>
                <w:color w:val="auto"/>
              </w:rPr>
              <w:t>Fixed maturity securities, available-for-sale</w:t>
            </w:r>
          </w:p>
        </w:tc>
        <w:tc>
          <w:tcPr>
            <w:tcW w:w="1120" w:type="dxa"/>
            <w:vAlign w:val="bottom"/>
            <w:tcBorders>
              <w:top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631</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134</w:t>
            </w:r>
          </w:p>
        </w:tc>
      </w:tr>
      <w:tr>
        <w:trPr>
          <w:trHeight w:val="157"/>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r>
      <w:tr>
        <w:trPr>
          <w:trHeight w:val="151"/>
        </w:trPr>
        <w:tc>
          <w:tcPr>
            <w:tcW w:w="5320" w:type="dxa"/>
            <w:vAlign w:val="bottom"/>
          </w:tcPr>
          <w:p>
            <w:pPr>
              <w:ind w:left="20"/>
              <w:spacing w:after="0"/>
              <w:rPr>
                <w:sz w:val="20"/>
                <w:szCs w:val="20"/>
                <w:color w:val="auto"/>
              </w:rPr>
            </w:pPr>
            <w:r>
              <w:rPr>
                <w:rFonts w:ascii="Arial" w:cs="Arial" w:eastAsia="Arial" w:hAnsi="Arial"/>
                <w:sz w:val="12"/>
                <w:szCs w:val="12"/>
                <w:color w:val="auto"/>
              </w:rPr>
              <w:t>Preferred securities</w:t>
            </w:r>
          </w:p>
        </w:tc>
        <w:tc>
          <w:tcPr>
            <w:tcW w:w="112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17</w:t>
            </w:r>
          </w:p>
        </w:tc>
      </w:tr>
      <w:tr>
        <w:trPr>
          <w:trHeight w:val="157"/>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Mortgage loans</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r>
      <w:tr>
        <w:trPr>
          <w:trHeight w:val="151"/>
        </w:trPr>
        <w:tc>
          <w:tcPr>
            <w:tcW w:w="5320" w:type="dxa"/>
            <w:vAlign w:val="bottom"/>
          </w:tcPr>
          <w:p>
            <w:pPr>
              <w:ind w:left="20"/>
              <w:spacing w:after="0"/>
              <w:rPr>
                <w:sz w:val="20"/>
                <w:szCs w:val="20"/>
                <w:color w:val="auto"/>
              </w:rPr>
            </w:pPr>
            <w:r>
              <w:rPr>
                <w:rFonts w:ascii="Arial" w:cs="Arial" w:eastAsia="Arial" w:hAnsi="Arial"/>
                <w:sz w:val="12"/>
                <w:szCs w:val="12"/>
                <w:color w:val="auto"/>
              </w:rPr>
              <w:t>Invested cash and short-term investments</w:t>
            </w:r>
          </w:p>
        </w:tc>
        <w:tc>
          <w:tcPr>
            <w:tcW w:w="112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33</w:t>
            </w:r>
          </w:p>
        </w:tc>
      </w:tr>
      <w:tr>
        <w:trPr>
          <w:trHeight w:val="157"/>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Limited partnerships</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1"/>
        </w:trPr>
        <w:tc>
          <w:tcPr>
            <w:tcW w:w="5320" w:type="dxa"/>
            <w:vAlign w:val="bottom"/>
          </w:tcPr>
          <w:p>
            <w:pPr>
              <w:ind w:left="20"/>
              <w:spacing w:after="0"/>
              <w:rPr>
                <w:sz w:val="20"/>
                <w:szCs w:val="20"/>
                <w:color w:val="auto"/>
              </w:rPr>
            </w:pPr>
            <w:r>
              <w:rPr>
                <w:rFonts w:ascii="Arial" w:cs="Arial" w:eastAsia="Arial" w:hAnsi="Arial"/>
                <w:sz w:val="12"/>
                <w:szCs w:val="12"/>
                <w:color w:val="auto"/>
              </w:rPr>
              <w:t>Tax deferred property exchange income</w:t>
            </w:r>
          </w:p>
        </w:tc>
        <w:tc>
          <w:tcPr>
            <w:tcW w:w="112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investments</w:t>
            </w:r>
          </w:p>
        </w:tc>
        <w:tc>
          <w:tcPr>
            <w:tcW w:w="11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w:t>
            </w:r>
          </w:p>
        </w:tc>
      </w:tr>
      <w:tr>
        <w:trPr>
          <w:trHeight w:val="142"/>
        </w:trPr>
        <w:tc>
          <w:tcPr>
            <w:tcW w:w="5320" w:type="dxa"/>
            <w:vAlign w:val="bottom"/>
          </w:tcPr>
          <w:p>
            <w:pPr>
              <w:ind w:left="180"/>
              <w:spacing w:after="0" w:line="135" w:lineRule="exact"/>
              <w:rPr>
                <w:sz w:val="20"/>
                <w:szCs w:val="20"/>
                <w:color w:val="auto"/>
              </w:rPr>
            </w:pPr>
            <w:r>
              <w:rPr>
                <w:rFonts w:ascii="Arial" w:cs="Arial" w:eastAsia="Arial" w:hAnsi="Arial"/>
                <w:sz w:val="12"/>
                <w:szCs w:val="12"/>
                <w:color w:val="auto"/>
              </w:rPr>
              <w:t>Gross investment income</w:t>
            </w:r>
          </w:p>
        </w:tc>
        <w:tc>
          <w:tcPr>
            <w:tcW w:w="1120" w:type="dxa"/>
            <w:vAlign w:val="bottom"/>
          </w:tcPr>
          <w:p>
            <w:pPr>
              <w:spacing w:after="0"/>
              <w:rPr>
                <w:sz w:val="12"/>
                <w:szCs w:val="12"/>
                <w:color w:val="auto"/>
              </w:rPr>
            </w:pP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556</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997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216</w:t>
            </w:r>
          </w:p>
        </w:tc>
      </w:tr>
      <w:tr>
        <w:trPr>
          <w:trHeight w:val="154"/>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expense</w:t>
            </w:r>
          </w:p>
        </w:tc>
        <w:tc>
          <w:tcPr>
            <w:tcW w:w="11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48"/>
        </w:trPr>
        <w:tc>
          <w:tcPr>
            <w:tcW w:w="5320" w:type="dxa"/>
            <w:vAlign w:val="bottom"/>
          </w:tcPr>
          <w:p>
            <w:pPr>
              <w:ind w:left="20"/>
              <w:spacing w:after="0"/>
              <w:rPr>
                <w:sz w:val="20"/>
                <w:szCs w:val="20"/>
                <w:color w:val="auto"/>
              </w:rPr>
            </w:pPr>
            <w:r>
              <w:rPr>
                <w:rFonts w:ascii="Arial" w:cs="Arial" w:eastAsia="Arial" w:hAnsi="Arial"/>
                <w:sz w:val="12"/>
                <w:szCs w:val="12"/>
                <w:b w:val="1"/>
                <w:bCs w:val="1"/>
                <w:color w:val="auto"/>
              </w:rPr>
              <w:t>Interest and investment income</w:t>
            </w:r>
          </w:p>
        </w:tc>
        <w:tc>
          <w:tcPr>
            <w:tcW w:w="1120" w:type="dxa"/>
            <w:vAlign w:val="bottom"/>
            <w:tcBorders>
              <w:bottom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2"/>
                <w:szCs w:val="12"/>
                <w:color w:val="auto"/>
              </w:rPr>
            </w:pPr>
          </w:p>
        </w:tc>
        <w:tc>
          <w:tcPr>
            <w:tcW w:w="1120" w:type="dxa"/>
            <w:vAlign w:val="bottom"/>
            <w:tcBorders>
              <w:bottom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916</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205</w:t>
            </w:r>
          </w:p>
        </w:tc>
      </w:tr>
      <w:tr>
        <w:trPr>
          <w:trHeight w:val="20"/>
        </w:trPr>
        <w:tc>
          <w:tcPr>
            <w:tcW w:w="5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Recognized Gains and Losses, net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Details underlying Recognized gains and losses, net reported on the accompanying unaudited Condensed Consolidated Statements of Earnings were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2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61"/>
              <w:spacing w:after="0"/>
              <w:rPr>
                <w:sz w:val="20"/>
                <w:szCs w:val="20"/>
                <w:color w:val="auto"/>
              </w:rPr>
            </w:pPr>
            <w:r>
              <w:rPr>
                <w:rFonts w:ascii="Arial" w:cs="Arial" w:eastAsia="Arial" w:hAnsi="Arial"/>
                <w:sz w:val="12"/>
                <w:szCs w:val="12"/>
                <w:b w:val="1"/>
                <w:bCs w:val="1"/>
                <w:color w:val="auto"/>
              </w:rPr>
              <w:t>Six months ended</w:t>
            </w:r>
          </w:p>
        </w:tc>
      </w:tr>
      <w:tr>
        <w:trPr>
          <w:trHeight w:val="148"/>
        </w:trPr>
        <w:tc>
          <w:tcPr>
            <w:tcW w:w="5320" w:type="dxa"/>
            <w:vAlign w:val="bottom"/>
          </w:tcPr>
          <w:p>
            <w:pPr>
              <w:spacing w:after="0"/>
              <w:rPr>
                <w:sz w:val="12"/>
                <w:szCs w:val="12"/>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June 30, 2021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June 30, 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 2021</w:t>
            </w:r>
          </w:p>
        </w:tc>
        <w:tc>
          <w:tcPr>
            <w:tcW w:w="220" w:type="dxa"/>
            <w:vAlign w:val="bottom"/>
          </w:tcPr>
          <w:p>
            <w:pPr>
              <w:spacing w:after="0"/>
              <w:rPr>
                <w:sz w:val="12"/>
                <w:szCs w:val="12"/>
                <w:color w:val="auto"/>
              </w:rPr>
            </w:pPr>
          </w:p>
        </w:tc>
        <w:tc>
          <w:tcPr>
            <w:tcW w:w="1180" w:type="dxa"/>
            <w:vAlign w:val="bottom"/>
          </w:tcPr>
          <w:p>
            <w:pPr>
              <w:jc w:val="right"/>
              <w:ind w:right="301"/>
              <w:spacing w:after="0"/>
              <w:rPr>
                <w:sz w:val="20"/>
                <w:szCs w:val="20"/>
                <w:color w:val="auto"/>
              </w:rPr>
            </w:pPr>
            <w:r>
              <w:rPr>
                <w:rFonts w:ascii="Arial" w:cs="Arial" w:eastAsia="Arial" w:hAnsi="Arial"/>
                <w:sz w:val="12"/>
                <w:szCs w:val="12"/>
                <w:b w:val="1"/>
                <w:bCs w:val="1"/>
                <w:color w:val="auto"/>
              </w:rPr>
              <w:t>June 30, 2020</w:t>
            </w:r>
          </w:p>
        </w:tc>
      </w:tr>
      <w:tr>
        <w:trPr>
          <w:trHeight w:val="147"/>
        </w:trPr>
        <w:tc>
          <w:tcPr>
            <w:tcW w:w="532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color w:val="auto"/>
              </w:rPr>
              <w:t>Net realized gains on fixed maturity available-for-sale securities</w:t>
            </w:r>
          </w:p>
        </w:tc>
        <w:tc>
          <w:tcPr>
            <w:tcW w:w="1120" w:type="dxa"/>
            <w:vAlign w:val="bottom"/>
            <w:tcBorders>
              <w:top w:val="single" w:sz="8" w:color="auto"/>
            </w:tcBorders>
            <w:shd w:val="clear" w:color="auto" w:fill="CCEEFF"/>
          </w:tcPr>
          <w:p>
            <w:pPr>
              <w:jc w:val="right"/>
              <w:ind w:right="981"/>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981"/>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r>
      <w:tr>
        <w:trPr>
          <w:trHeight w:val="151"/>
        </w:trPr>
        <w:tc>
          <w:tcPr>
            <w:tcW w:w="5320" w:type="dxa"/>
            <w:vAlign w:val="bottom"/>
          </w:tcPr>
          <w:p>
            <w:pPr>
              <w:ind w:left="20"/>
              <w:spacing w:after="0"/>
              <w:rPr>
                <w:sz w:val="20"/>
                <w:szCs w:val="20"/>
                <w:color w:val="auto"/>
              </w:rPr>
            </w:pPr>
            <w:r>
              <w:rPr>
                <w:rFonts w:ascii="Arial" w:cs="Arial" w:eastAsia="Arial" w:hAnsi="Arial"/>
                <w:sz w:val="12"/>
                <w:szCs w:val="12"/>
                <w:color w:val="auto"/>
              </w:rPr>
              <w:t>Net realized/unrealized gains (losses) on equity securities (2)</w:t>
            </w:r>
          </w:p>
        </w:tc>
        <w:tc>
          <w:tcPr>
            <w:tcW w:w="1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57"/>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realized/unrealized gains (losses) on preferred securities (3)</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r>
      <w:tr>
        <w:trPr>
          <w:trHeight w:val="151"/>
        </w:trPr>
        <w:tc>
          <w:tcPr>
            <w:tcW w:w="5320" w:type="dxa"/>
            <w:vAlign w:val="bottom"/>
          </w:tcPr>
          <w:p>
            <w:pPr>
              <w:ind w:left="20"/>
              <w:spacing w:after="0"/>
              <w:rPr>
                <w:sz w:val="20"/>
                <w:szCs w:val="20"/>
                <w:color w:val="auto"/>
              </w:rPr>
            </w:pPr>
            <w:r>
              <w:rPr>
                <w:rFonts w:ascii="Arial" w:cs="Arial" w:eastAsia="Arial" w:hAnsi="Arial"/>
                <w:sz w:val="12"/>
                <w:szCs w:val="12"/>
                <w:color w:val="auto"/>
              </w:rPr>
              <w:t>Realized gains (losses) on other invested assets</w:t>
            </w:r>
          </w:p>
        </w:tc>
        <w:tc>
          <w:tcPr>
            <w:tcW w:w="112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57"/>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allowance for expected credit losses</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51"/>
        </w:trPr>
        <w:tc>
          <w:tcPr>
            <w:tcW w:w="5320" w:type="dxa"/>
            <w:vAlign w:val="bottom"/>
          </w:tcPr>
          <w:p>
            <w:pPr>
              <w:ind w:left="20"/>
              <w:spacing w:after="0"/>
              <w:rPr>
                <w:sz w:val="20"/>
                <w:szCs w:val="20"/>
                <w:color w:val="auto"/>
              </w:rPr>
            </w:pPr>
            <w:r>
              <w:rPr>
                <w:rFonts w:ascii="Arial" w:cs="Arial" w:eastAsia="Arial" w:hAnsi="Arial"/>
                <w:sz w:val="12"/>
                <w:szCs w:val="12"/>
                <w:color w:val="auto"/>
              </w:rPr>
              <w:t>Derivatives and embedded derivatives: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5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Realized gains on certain derivative instruments</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r>
      <w:tr>
        <w:trPr>
          <w:trHeight w:val="151"/>
        </w:trPr>
        <w:tc>
          <w:tcPr>
            <w:tcW w:w="5320" w:type="dxa"/>
            <w:vAlign w:val="bottom"/>
          </w:tcPr>
          <w:p>
            <w:pPr>
              <w:ind w:left="120"/>
              <w:spacing w:after="0"/>
              <w:rPr>
                <w:sz w:val="20"/>
                <w:szCs w:val="20"/>
                <w:color w:val="auto"/>
              </w:rPr>
            </w:pPr>
            <w:r>
              <w:rPr>
                <w:rFonts w:ascii="Arial" w:cs="Arial" w:eastAsia="Arial" w:hAnsi="Arial"/>
                <w:sz w:val="12"/>
                <w:szCs w:val="12"/>
                <w:color w:val="auto"/>
              </w:rPr>
              <w:t>Unrealized gains on certain derivative instruments</w:t>
            </w:r>
          </w:p>
        </w:tc>
        <w:tc>
          <w:tcPr>
            <w:tcW w:w="112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4</w:t>
            </w:r>
          </w:p>
        </w:tc>
      </w:tr>
      <w:tr>
        <w:trPr>
          <w:trHeight w:val="157"/>
        </w:trPr>
        <w:tc>
          <w:tcPr>
            <w:tcW w:w="5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fair value of reinsurance related embedded derivatives (1)</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51"/>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Change in fair value of other derivatives and embedded derivatives</w:t>
            </w:r>
          </w:p>
        </w:tc>
        <w:tc>
          <w:tcPr>
            <w:tcW w:w="1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w:t>
            </w:r>
          </w:p>
        </w:tc>
      </w:tr>
      <w:tr>
        <w:trPr>
          <w:trHeight w:val="145"/>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Realized gains (losses) on derivatives and embedded derivatives</w:t>
            </w:r>
          </w:p>
        </w:tc>
        <w:tc>
          <w:tcPr>
            <w:tcW w:w="11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238</w:t>
            </w:r>
          </w:p>
        </w:tc>
        <w:tc>
          <w:tcPr>
            <w:tcW w:w="1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48"/>
        </w:trPr>
        <w:tc>
          <w:tcPr>
            <w:tcW w:w="5320" w:type="dxa"/>
            <w:vAlign w:val="bottom"/>
          </w:tcPr>
          <w:p>
            <w:pPr>
              <w:ind w:left="20"/>
              <w:spacing w:after="0"/>
              <w:rPr>
                <w:sz w:val="20"/>
                <w:szCs w:val="20"/>
                <w:color w:val="auto"/>
              </w:rPr>
            </w:pPr>
            <w:r>
              <w:rPr>
                <w:rFonts w:ascii="Arial" w:cs="Arial" w:eastAsia="Arial" w:hAnsi="Arial"/>
                <w:sz w:val="12"/>
                <w:szCs w:val="12"/>
                <w:b w:val="1"/>
                <w:bCs w:val="1"/>
                <w:color w:val="auto"/>
              </w:rPr>
              <w:t>Recognized gains and (losses), net</w:t>
            </w:r>
          </w:p>
        </w:tc>
        <w:tc>
          <w:tcPr>
            <w:tcW w:w="1120" w:type="dxa"/>
            <w:vAlign w:val="bottom"/>
            <w:tcBorders>
              <w:bottom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232</w:t>
            </w:r>
          </w:p>
        </w:tc>
        <w:tc>
          <w:tcPr>
            <w:tcW w:w="100" w:type="dxa"/>
            <w:vAlign w:val="bottom"/>
          </w:tcPr>
          <w:p>
            <w:pPr>
              <w:spacing w:after="0"/>
              <w:rPr>
                <w:sz w:val="12"/>
                <w:szCs w:val="12"/>
                <w:color w:val="auto"/>
              </w:rPr>
            </w:pPr>
          </w:p>
        </w:tc>
        <w:tc>
          <w:tcPr>
            <w:tcW w:w="1120" w:type="dxa"/>
            <w:vAlign w:val="bottom"/>
            <w:tcBorders>
              <w:bottom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r>
      <w:tr>
        <w:trPr>
          <w:trHeight w:val="20"/>
        </w:trPr>
        <w:tc>
          <w:tcPr>
            <w:tcW w:w="5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1"/>
          <w:szCs w:val="11"/>
          <w:color w:val="auto"/>
        </w:rPr>
      </w:pPr>
      <w:r>
        <w:rPr>
          <w:rFonts w:ascii="Arial" w:cs="Arial" w:eastAsia="Arial" w:hAnsi="Arial"/>
          <w:sz w:val="11"/>
          <w:szCs w:val="11"/>
          <w:color w:val="auto"/>
        </w:rPr>
        <w:t>Change in fair value of reinsurance related embedded derivatives is due to held for sale unaffiliated third party business under the fair value option election, and activity related to the FGL Insurance and Kubera reinsurance treaty.</w:t>
      </w:r>
    </w:p>
    <w:p>
      <w:pPr>
        <w:spacing w:after="0" w:line="15" w:lineRule="exact"/>
        <w:rPr>
          <w:rFonts w:ascii="Arial" w:cs="Arial" w:eastAsia="Arial" w:hAnsi="Arial"/>
          <w:sz w:val="11"/>
          <w:szCs w:val="11"/>
          <w:color w:val="auto"/>
        </w:rPr>
      </w:pPr>
    </w:p>
    <w:p>
      <w:pPr>
        <w:ind w:firstLine="8"/>
        <w:spacing w:after="0" w:line="229" w:lineRule="auto"/>
        <w:tabs>
          <w:tab w:leader="none" w:pos="16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net valuation (losses) gains of $(46) million and $146 million for the three months ended June 30, 2021 and 2020, respectively, and net valuation losses of $92 million and $58 million for the six months ended June 30, 2021 and 2020, respectively.</w:t>
      </w:r>
    </w:p>
    <w:p>
      <w:pPr>
        <w:ind w:right="20" w:firstLine="8"/>
        <w:spacing w:after="0" w:line="234" w:lineRule="auto"/>
        <w:tabs>
          <w:tab w:leader="none" w:pos="16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net valuation gains (losses) of $7 million and $33 million for the three months ended June 30, 2021 and 2020, respectively, and net valuation gains (losses) of $4 million and $(73)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proceeds from the sale of fixed-maturity available for-sale-securities and the gross gains and losses associated with those transactions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2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61"/>
              <w:spacing w:after="0"/>
              <w:rPr>
                <w:sz w:val="20"/>
                <w:szCs w:val="20"/>
                <w:color w:val="auto"/>
              </w:rPr>
            </w:pPr>
            <w:r>
              <w:rPr>
                <w:rFonts w:ascii="Arial" w:cs="Arial" w:eastAsia="Arial" w:hAnsi="Arial"/>
                <w:sz w:val="12"/>
                <w:szCs w:val="12"/>
                <w:b w:val="1"/>
                <w:bCs w:val="1"/>
                <w:color w:val="auto"/>
              </w:rPr>
              <w:t>Six months ended</w:t>
            </w:r>
          </w:p>
        </w:tc>
      </w:tr>
      <w:tr>
        <w:trPr>
          <w:trHeight w:val="148"/>
        </w:trPr>
        <w:tc>
          <w:tcPr>
            <w:tcW w:w="5320" w:type="dxa"/>
            <w:vAlign w:val="bottom"/>
          </w:tcPr>
          <w:p>
            <w:pPr>
              <w:spacing w:after="0"/>
              <w:rPr>
                <w:sz w:val="12"/>
                <w:szCs w:val="12"/>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June 30, 2021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June 30, 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 2021</w:t>
            </w:r>
          </w:p>
        </w:tc>
        <w:tc>
          <w:tcPr>
            <w:tcW w:w="220" w:type="dxa"/>
            <w:vAlign w:val="bottom"/>
          </w:tcPr>
          <w:p>
            <w:pPr>
              <w:spacing w:after="0"/>
              <w:rPr>
                <w:sz w:val="12"/>
                <w:szCs w:val="12"/>
                <w:color w:val="auto"/>
              </w:rPr>
            </w:pPr>
          </w:p>
        </w:tc>
        <w:tc>
          <w:tcPr>
            <w:tcW w:w="1180" w:type="dxa"/>
            <w:vAlign w:val="bottom"/>
          </w:tcPr>
          <w:p>
            <w:pPr>
              <w:jc w:val="right"/>
              <w:ind w:right="301"/>
              <w:spacing w:after="0"/>
              <w:rPr>
                <w:sz w:val="20"/>
                <w:szCs w:val="20"/>
                <w:color w:val="auto"/>
              </w:rPr>
            </w:pPr>
            <w:r>
              <w:rPr>
                <w:rFonts w:ascii="Arial" w:cs="Arial" w:eastAsia="Arial" w:hAnsi="Arial"/>
                <w:sz w:val="12"/>
                <w:szCs w:val="12"/>
                <w:b w:val="1"/>
                <w:bCs w:val="1"/>
                <w:color w:val="auto"/>
              </w:rPr>
              <w:t>June 30, 2020</w:t>
            </w:r>
          </w:p>
        </w:tc>
      </w:tr>
      <w:tr>
        <w:trPr>
          <w:trHeight w:val="147"/>
        </w:trPr>
        <w:tc>
          <w:tcPr>
            <w:tcW w:w="532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color w:val="auto"/>
              </w:rPr>
              <w:t>Proceeds</w:t>
            </w:r>
          </w:p>
        </w:tc>
        <w:tc>
          <w:tcPr>
            <w:tcW w:w="1120" w:type="dxa"/>
            <w:vAlign w:val="bottom"/>
            <w:tcBorders>
              <w:top w:val="single" w:sz="8" w:color="auto"/>
            </w:tcBorders>
            <w:shd w:val="clear" w:color="auto" w:fill="CCEEFF"/>
          </w:tcPr>
          <w:p>
            <w:pPr>
              <w:jc w:val="right"/>
              <w:ind w:right="981"/>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444</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981"/>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477</w:t>
            </w:r>
          </w:p>
        </w:tc>
      </w:tr>
      <w:tr>
        <w:trPr>
          <w:trHeight w:val="151"/>
        </w:trPr>
        <w:tc>
          <w:tcPr>
            <w:tcW w:w="5320" w:type="dxa"/>
            <w:vAlign w:val="bottom"/>
          </w:tcPr>
          <w:p>
            <w:pPr>
              <w:ind w:left="20"/>
              <w:spacing w:after="0"/>
              <w:rPr>
                <w:sz w:val="20"/>
                <w:szCs w:val="20"/>
                <w:color w:val="auto"/>
              </w:rPr>
            </w:pPr>
            <w:r>
              <w:rPr>
                <w:rFonts w:ascii="Arial" w:cs="Arial" w:eastAsia="Arial" w:hAnsi="Arial"/>
                <w:sz w:val="12"/>
                <w:szCs w:val="12"/>
                <w:color w:val="auto"/>
              </w:rPr>
              <w:t>Gross gains</w:t>
            </w:r>
          </w:p>
        </w:tc>
        <w:tc>
          <w:tcPr>
            <w:tcW w:w="112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15</w:t>
            </w:r>
          </w:p>
        </w:tc>
      </w:tr>
      <w:tr>
        <w:trPr>
          <w:trHeight w:val="157"/>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losses</w:t>
            </w: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Unconsolidated Variable Interest Entities</w:t>
      </w:r>
    </w:p>
    <w:p>
      <w:pPr>
        <w:spacing w:after="0" w:line="135" w:lineRule="exact"/>
        <w:rPr>
          <w:sz w:val="20"/>
          <w:szCs w:val="20"/>
          <w:color w:val="auto"/>
        </w:rPr>
      </w:pPr>
    </w:p>
    <w:p>
      <w:pPr>
        <w:jc w:val="both"/>
        <w:ind w:firstLine="363"/>
        <w:spacing w:after="0" w:line="271" w:lineRule="auto"/>
        <w:rPr>
          <w:sz w:val="20"/>
          <w:szCs w:val="20"/>
          <w:color w:val="auto"/>
        </w:rPr>
      </w:pPr>
      <w:r>
        <w:rPr>
          <w:rFonts w:ascii="Arial" w:cs="Arial" w:eastAsia="Arial" w:hAnsi="Arial"/>
          <w:sz w:val="14"/>
          <w:szCs w:val="14"/>
          <w:color w:val="auto"/>
        </w:rPr>
        <w:t>We own investments in VIEs that are not consolidated within our financial statements, and one investment in a VIE that is consolidated within our financial statements. VIEs do not have sufficient equity to finance their own activities without additional financial support and certain of its investors lack certain characteristics of a controlling financial interest.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as the substantive power to make the key economic decisions for each respective VIE resides with entities not under our control. It is for this reason that the we are not considered the primary beneficiary for the VIE investments that are not consolidated.</w:t>
      </w:r>
    </w:p>
    <w:p>
      <w:pPr>
        <w:spacing w:after="0" w:line="102" w:lineRule="exact"/>
        <w:rPr>
          <w:sz w:val="20"/>
          <w:szCs w:val="20"/>
          <w:color w:val="auto"/>
        </w:rPr>
      </w:pPr>
    </w:p>
    <w:p>
      <w:pPr>
        <w:jc w:val="both"/>
        <w:ind w:firstLine="363"/>
        <w:spacing w:after="0" w:line="271" w:lineRule="auto"/>
        <w:rPr>
          <w:sz w:val="20"/>
          <w:szCs w:val="20"/>
          <w:color w:val="auto"/>
        </w:rPr>
      </w:pPr>
      <w:r>
        <w:rPr>
          <w:rFonts w:ascii="Arial" w:cs="Arial" w:eastAsia="Arial" w:hAnsi="Arial"/>
          <w:sz w:val="14"/>
          <w:szCs w:val="14"/>
          <w:color w:val="auto"/>
        </w:rPr>
        <w:t>We invest in various limited partnerships, which may be VIEs, as a passive investor. These investments are in credit funds with a bias towards current income, real assets, or private equity. Limited partnership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102" w:lineRule="exact"/>
        <w:rPr>
          <w:sz w:val="20"/>
          <w:szCs w:val="20"/>
          <w:color w:val="auto"/>
        </w:rPr>
      </w:pPr>
    </w:p>
    <w:p>
      <w:pPr>
        <w:jc w:val="both"/>
        <w:ind w:firstLine="363"/>
        <w:spacing w:after="0" w:line="251" w:lineRule="auto"/>
        <w:rPr>
          <w:sz w:val="20"/>
          <w:szCs w:val="20"/>
          <w:color w:val="auto"/>
        </w:rPr>
      </w:pPr>
      <w:r>
        <w:rPr>
          <w:rFonts w:ascii="Arial" w:cs="Arial" w:eastAsia="Arial" w:hAnsi="Arial"/>
          <w:sz w:val="15"/>
          <w:szCs w:val="15"/>
          <w:color w:val="auto"/>
        </w:rPr>
        <w:t>Our maximum exposure to loss with respect to these VIEs is limited to the investment carrying amounts reported in our unaudited Condensed Consolidated Balance Sheets in addition to any required unfunded commitments. As of June 30, 2021, our maximum exposure to loss on unconsolidated VIEs was equal to the carrying value of our investment in unconsolidated affiliates of $1,667 million, the carrying value of our structured security VIE investments as presented in the tables of fixed maturity securities available for sale above, and the additional unfunded commitments associated with these investments presented in Note F - Commitments and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with Related Party</w:t>
      </w:r>
    </w:p>
    <w:p>
      <w:pPr>
        <w:spacing w:after="0" w:line="91"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Included in equity securities as of June 30, 2021 and December 31, 2020 are 5,706,134 shares of Cannae Holdings, Inc. ("Cannae") common stock (NYSE: CNNE) which were purchased during the fourth quarter of 2017 in connection with the split-off of our former portfolio company investments to Cannae. The fair value of our related party investment based on quoted market prices is $193 million and $253 million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E — Derivative Financial Instruments</w:t>
      </w:r>
    </w:p>
    <w:p>
      <w:pPr>
        <w:spacing w:after="0" w:line="139"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carrying amounts of derivative instruments, including derivative instruments embedded in FIA and reinsurance contracts, as of June 30, 2021 and December 31, 2020 is as follows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 2021</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December 31, 2020</w:t>
            </w:r>
          </w:p>
        </w:tc>
        <w:tc>
          <w:tcPr>
            <w:tcW w:w="40" w:type="dxa"/>
            <w:vAlign w:val="bottom"/>
          </w:tcPr>
          <w:p>
            <w:pPr>
              <w:spacing w:after="0"/>
              <w:rPr>
                <w:sz w:val="13"/>
                <w:szCs w:val="13"/>
                <w:color w:val="auto"/>
              </w:rPr>
            </w:pPr>
          </w:p>
        </w:tc>
      </w:tr>
      <w:tr>
        <w:trPr>
          <w:trHeight w:val="138"/>
        </w:trPr>
        <w:tc>
          <w:tcPr>
            <w:tcW w:w="60" w:type="dxa"/>
            <w:vAlign w:val="bottom"/>
          </w:tcPr>
          <w:p>
            <w:pPr>
              <w:spacing w:after="0"/>
              <w:rPr>
                <w:sz w:val="11"/>
                <w:szCs w:val="11"/>
                <w:color w:val="auto"/>
              </w:rPr>
            </w:pPr>
          </w:p>
        </w:tc>
        <w:tc>
          <w:tcPr>
            <w:tcW w:w="7240" w:type="dxa"/>
            <w:vAlign w:val="bottom"/>
          </w:tcPr>
          <w:p>
            <w:pPr>
              <w:spacing w:after="0" w:line="133" w:lineRule="exact"/>
              <w:rPr>
                <w:sz w:val="20"/>
                <w:szCs w:val="20"/>
                <w:color w:val="auto"/>
              </w:rPr>
            </w:pPr>
            <w:r>
              <w:rPr>
                <w:rFonts w:ascii="Arial" w:cs="Arial" w:eastAsia="Arial" w:hAnsi="Arial"/>
                <w:sz w:val="12"/>
                <w:szCs w:val="12"/>
                <w:b w:val="1"/>
                <w:bCs w:val="1"/>
                <w:color w:val="auto"/>
              </w:rPr>
              <w:t>Assets:</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60" w:type="dxa"/>
            <w:vAlign w:val="bottom"/>
          </w:tcPr>
          <w:p>
            <w:pPr>
              <w:spacing w:after="0"/>
              <w:rPr>
                <w:sz w:val="13"/>
                <w:szCs w:val="13"/>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2"/>
                <w:szCs w:val="12"/>
                <w:color w:val="auto"/>
              </w:rPr>
              <w:t>Derivative investments:</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60" w:type="dxa"/>
            <w:vAlign w:val="bottom"/>
          </w:tcPr>
          <w:p>
            <w:pPr>
              <w:spacing w:after="0"/>
              <w:rPr>
                <w:sz w:val="13"/>
                <w:szCs w:val="13"/>
                <w:color w:val="auto"/>
              </w:rPr>
            </w:pPr>
          </w:p>
        </w:tc>
        <w:tc>
          <w:tcPr>
            <w:tcW w:w="7240" w:type="dxa"/>
            <w:vAlign w:val="bottom"/>
          </w:tcPr>
          <w:p>
            <w:pPr>
              <w:ind w:left="160"/>
              <w:spacing w:after="0"/>
              <w:rPr>
                <w:sz w:val="20"/>
                <w:szCs w:val="20"/>
                <w:color w:val="auto"/>
              </w:rPr>
            </w:pPr>
            <w:r>
              <w:rPr>
                <w:rFonts w:ascii="Arial" w:cs="Arial" w:eastAsia="Arial" w:hAnsi="Arial"/>
                <w:sz w:val="12"/>
                <w:szCs w:val="12"/>
                <w:color w:val="auto"/>
              </w:rPr>
              <w:t>Call options</w:t>
            </w:r>
          </w:p>
        </w:tc>
        <w:tc>
          <w:tcPr>
            <w:tcW w:w="1460" w:type="dxa"/>
            <w:vAlign w:val="bottom"/>
            <w:gridSpan w:val="2"/>
          </w:tcPr>
          <w:p>
            <w:pPr>
              <w:jc w:val="right"/>
              <w:ind w:right="110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260" w:type="dxa"/>
            <w:vAlign w:val="bottom"/>
            <w:gridSpan w:val="3"/>
          </w:tcPr>
          <w:p>
            <w:pPr>
              <w:jc w:val="right"/>
              <w:ind w:right="13"/>
              <w:spacing w:after="0"/>
              <w:rPr>
                <w:sz w:val="20"/>
                <w:szCs w:val="20"/>
                <w:color w:val="auto"/>
              </w:rPr>
            </w:pPr>
            <w:r>
              <w:rPr>
                <w:rFonts w:ascii="Arial" w:cs="Arial" w:eastAsia="Arial" w:hAnsi="Arial"/>
                <w:sz w:val="12"/>
                <w:szCs w:val="12"/>
                <w:color w:val="auto"/>
                <w:w w:val="89"/>
              </w:rPr>
              <w:t>690</w:t>
            </w:r>
          </w:p>
        </w:tc>
        <w:tc>
          <w:tcPr>
            <w:tcW w:w="80" w:type="dxa"/>
            <w:vAlign w:val="bottom"/>
          </w:tcPr>
          <w:p>
            <w:pPr>
              <w:spacing w:after="0"/>
              <w:rPr>
                <w:sz w:val="13"/>
                <w:szCs w:val="13"/>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2"/>
                <w:szCs w:val="12"/>
                <w:color w:val="auto"/>
              </w:rPr>
              <w:t>548</w:t>
            </w:r>
          </w:p>
        </w:tc>
        <w:tc>
          <w:tcPr>
            <w:tcW w:w="40" w:type="dxa"/>
            <w:vAlign w:val="bottom"/>
          </w:tcPr>
          <w:p>
            <w:pPr>
              <w:spacing w:after="0"/>
              <w:rPr>
                <w:sz w:val="13"/>
                <w:szCs w:val="13"/>
                <w:color w:val="auto"/>
              </w:rPr>
            </w:pPr>
          </w:p>
        </w:tc>
      </w:tr>
      <w:tr>
        <w:trPr>
          <w:trHeight w:val="157"/>
        </w:trPr>
        <w:tc>
          <w:tcPr>
            <w:tcW w:w="60" w:type="dxa"/>
            <w:vAlign w:val="bottom"/>
          </w:tcPr>
          <w:p>
            <w:pPr>
              <w:spacing w:after="0"/>
              <w:rPr>
                <w:sz w:val="13"/>
                <w:szCs w:val="13"/>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Futures contracts</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3"/>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r>
      <w:tr>
        <w:trPr>
          <w:trHeight w:val="151"/>
        </w:trPr>
        <w:tc>
          <w:tcPr>
            <w:tcW w:w="60" w:type="dxa"/>
            <w:vAlign w:val="bottom"/>
          </w:tcPr>
          <w:p>
            <w:pPr>
              <w:spacing w:after="0"/>
              <w:rPr>
                <w:sz w:val="13"/>
                <w:szCs w:val="13"/>
                <w:color w:val="auto"/>
              </w:rPr>
            </w:pPr>
          </w:p>
        </w:tc>
        <w:tc>
          <w:tcPr>
            <w:tcW w:w="7240" w:type="dxa"/>
            <w:vAlign w:val="bottom"/>
          </w:tcPr>
          <w:p>
            <w:pPr>
              <w:ind w:left="160"/>
              <w:spacing w:after="0"/>
              <w:rPr>
                <w:sz w:val="20"/>
                <w:szCs w:val="20"/>
                <w:color w:val="auto"/>
              </w:rPr>
            </w:pPr>
            <w:r>
              <w:rPr>
                <w:rFonts w:ascii="Arial" w:cs="Arial" w:eastAsia="Arial" w:hAnsi="Arial"/>
                <w:sz w:val="12"/>
                <w:szCs w:val="12"/>
                <w:color w:val="auto"/>
              </w:rPr>
              <w:t>Foreign currency forward</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gridSpan w:val="3"/>
          </w:tcPr>
          <w:p>
            <w:pPr>
              <w:jc w:val="right"/>
              <w:ind w:right="13"/>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r>
      <w:tr>
        <w:trPr>
          <w:trHeight w:val="157"/>
        </w:trPr>
        <w:tc>
          <w:tcPr>
            <w:tcW w:w="60" w:type="dxa"/>
            <w:vAlign w:val="bottom"/>
          </w:tcPr>
          <w:p>
            <w:pPr>
              <w:spacing w:after="0"/>
              <w:rPr>
                <w:sz w:val="13"/>
                <w:szCs w:val="13"/>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investments:</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60" w:type="dxa"/>
            <w:vAlign w:val="bottom"/>
          </w:tcPr>
          <w:p>
            <w:pPr>
              <w:spacing w:after="0"/>
              <w:rPr>
                <w:sz w:val="13"/>
                <w:szCs w:val="13"/>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embedded derivatives</w:t>
            </w:r>
          </w:p>
        </w:tc>
        <w:tc>
          <w:tcPr>
            <w:tcW w:w="2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2"/>
                <w:szCs w:val="12"/>
                <w:color w:val="auto"/>
              </w:rPr>
              <w:t>30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40" w:type="dxa"/>
            <w:vAlign w:val="bottom"/>
          </w:tcPr>
          <w:p>
            <w:pPr>
              <w:spacing w:after="0"/>
              <w:rPr>
                <w:sz w:val="13"/>
                <w:szCs w:val="13"/>
                <w:color w:val="auto"/>
              </w:rPr>
            </w:pPr>
          </w:p>
        </w:tc>
      </w:tr>
      <w:tr>
        <w:trPr>
          <w:trHeight w:val="170"/>
        </w:trPr>
        <w:tc>
          <w:tcPr>
            <w:tcW w:w="60" w:type="dxa"/>
            <w:vAlign w:val="bottom"/>
          </w:tcPr>
          <w:p>
            <w:pPr>
              <w:spacing w:after="0"/>
              <w:rPr>
                <w:sz w:val="14"/>
                <w:szCs w:val="14"/>
                <w:color w:val="auto"/>
              </w:rPr>
            </w:pPr>
          </w:p>
        </w:tc>
        <w:tc>
          <w:tcPr>
            <w:tcW w:w="7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3"/>
            <w:shd w:val="clear" w:color="auto" w:fill="CCEEFF"/>
          </w:tcPr>
          <w:p>
            <w:pPr>
              <w:jc w:val="right"/>
              <w:ind w:right="13"/>
              <w:spacing w:after="0"/>
              <w:rPr>
                <w:sz w:val="20"/>
                <w:szCs w:val="20"/>
                <w:color w:val="auto"/>
              </w:rPr>
            </w:pPr>
            <w:r>
              <w:rPr>
                <w:rFonts w:ascii="Arial" w:cs="Arial" w:eastAsia="Arial" w:hAnsi="Arial"/>
                <w:sz w:val="12"/>
                <w:szCs w:val="12"/>
                <w:color w:val="auto"/>
                <w:w w:val="89"/>
              </w:rPr>
              <w:t>722</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575</w:t>
            </w:r>
          </w:p>
        </w:tc>
        <w:tc>
          <w:tcPr>
            <w:tcW w:w="4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730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4"/>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1"/>
        </w:trPr>
        <w:tc>
          <w:tcPr>
            <w:tcW w:w="7300" w:type="dxa"/>
            <w:vAlign w:val="bottom"/>
            <w:gridSpan w:val="2"/>
          </w:tcPr>
          <w:p>
            <w:pPr>
              <w:ind w:left="20"/>
              <w:spacing w:after="0"/>
              <w:rPr>
                <w:sz w:val="20"/>
                <w:szCs w:val="20"/>
                <w:color w:val="auto"/>
              </w:rPr>
            </w:pPr>
            <w:r>
              <w:rPr>
                <w:rFonts w:ascii="Arial" w:cs="Arial" w:eastAsia="Arial" w:hAnsi="Arial"/>
                <w:sz w:val="12"/>
                <w:szCs w:val="12"/>
                <w:color w:val="auto"/>
              </w:rPr>
              <w:t>Contractholder funds:</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0" w:type="dxa"/>
            <w:vAlign w:val="bottom"/>
            <w:shd w:val="clear" w:color="auto" w:fill="CCEEFF"/>
          </w:tcPr>
          <w:p>
            <w:pPr>
              <w:spacing w:after="0"/>
              <w:rPr>
                <w:sz w:val="13"/>
                <w:szCs w:val="13"/>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FIA embedded derivative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9"/>
                <w:szCs w:val="9"/>
                <w:color w:val="auto"/>
                <w:w w:val="78"/>
              </w:rPr>
              <w:t>$</w:t>
            </w: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3,759</w:t>
            </w:r>
          </w:p>
        </w:tc>
        <w:tc>
          <w:tcPr>
            <w:tcW w:w="260" w:type="dxa"/>
            <w:vAlign w:val="bottom"/>
            <w:gridSpan w:val="3"/>
            <w:shd w:val="clear" w:color="auto" w:fill="CCEEFF"/>
          </w:tcPr>
          <w:p>
            <w:pPr>
              <w:jc w:val="right"/>
              <w:ind w:right="1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3,404</w:t>
            </w:r>
          </w:p>
        </w:tc>
        <w:tc>
          <w:tcPr>
            <w:tcW w:w="40" w:type="dxa"/>
            <w:vAlign w:val="bottom"/>
            <w:shd w:val="clear" w:color="auto" w:fill="CCEEFF"/>
          </w:tcPr>
          <w:p>
            <w:pPr>
              <w:spacing w:after="0"/>
              <w:rPr>
                <w:sz w:val="13"/>
                <w:szCs w:val="13"/>
                <w:color w:val="auto"/>
              </w:rPr>
            </w:pPr>
          </w:p>
        </w:tc>
      </w:tr>
      <w:tr>
        <w:trPr>
          <w:trHeight w:val="151"/>
        </w:trPr>
        <w:tc>
          <w:tcPr>
            <w:tcW w:w="7300" w:type="dxa"/>
            <w:vAlign w:val="bottom"/>
            <w:gridSpan w:val="2"/>
          </w:tcPr>
          <w:p>
            <w:pPr>
              <w:ind w:left="20"/>
              <w:spacing w:after="0"/>
              <w:rPr>
                <w:sz w:val="20"/>
                <w:szCs w:val="20"/>
                <w:color w:val="auto"/>
              </w:rPr>
            </w:pPr>
            <w:r>
              <w:rPr>
                <w:rFonts w:ascii="Arial" w:cs="Arial" w:eastAsia="Arial" w:hAnsi="Arial"/>
                <w:sz w:val="12"/>
                <w:szCs w:val="12"/>
                <w:color w:val="auto"/>
              </w:rPr>
              <w:t>Accounts payable and accrued liabilities:</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0" w:type="dxa"/>
            <w:vAlign w:val="bottom"/>
            <w:shd w:val="clear" w:color="auto" w:fill="CCEEFF"/>
          </w:tcPr>
          <w:p>
            <w:pPr>
              <w:spacing w:after="0"/>
              <w:rPr>
                <w:sz w:val="13"/>
                <w:szCs w:val="13"/>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Reinsurance related embedded derivative</w:t>
            </w:r>
          </w:p>
        </w:tc>
        <w:tc>
          <w:tcPr>
            <w:tcW w:w="2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40" w:type="dxa"/>
            <w:vAlign w:val="bottom"/>
            <w:tcBorders>
              <w:bottom w:val="single" w:sz="8" w:color="auto"/>
            </w:tcBorders>
            <w:shd w:val="clear" w:color="auto" w:fill="CCEEFF"/>
          </w:tcPr>
          <w:p>
            <w:pPr>
              <w:spacing w:after="0"/>
              <w:rPr>
                <w:sz w:val="13"/>
                <w:szCs w:val="13"/>
                <w:color w:val="auto"/>
              </w:rPr>
            </w:pPr>
          </w:p>
        </w:tc>
      </w:tr>
      <w:tr>
        <w:trPr>
          <w:trHeight w:val="142"/>
        </w:trPr>
        <w:tc>
          <w:tcPr>
            <w:tcW w:w="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9"/>
                <w:szCs w:val="9"/>
                <w:color w:val="auto"/>
                <w:w w:val="78"/>
              </w:rPr>
              <w:t>$</w:t>
            </w:r>
          </w:p>
        </w:tc>
        <w:tc>
          <w:tcPr>
            <w:tcW w:w="1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3,866</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3,505</w:t>
            </w:r>
          </w:p>
        </w:tc>
        <w:tc>
          <w:tcPr>
            <w:tcW w:w="40" w:type="dxa"/>
            <w:vAlign w:val="bottom"/>
            <w:tcBorders>
              <w:bottom w:val="single" w:sz="8" w:color="auto"/>
            </w:tcBorders>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change in fair value of derivative instruments included in the accompanying unaudited Condensed Consolidated Statements of Earnings is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61"/>
              <w:spacing w:after="0"/>
              <w:rPr>
                <w:sz w:val="20"/>
                <w:szCs w:val="20"/>
                <w:color w:val="auto"/>
              </w:rPr>
            </w:pPr>
            <w:r>
              <w:rPr>
                <w:rFonts w:ascii="Arial" w:cs="Arial" w:eastAsia="Arial" w:hAnsi="Arial"/>
                <w:sz w:val="12"/>
                <w:szCs w:val="12"/>
                <w:b w:val="1"/>
                <w:bCs w:val="1"/>
                <w:color w:val="auto"/>
                <w:w w:val="94"/>
              </w:rPr>
              <w:t>Three Months Ended</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Three Months Ended</w:t>
            </w:r>
          </w:p>
        </w:tc>
        <w:tc>
          <w:tcPr>
            <w:tcW w:w="140" w:type="dxa"/>
            <w:vAlign w:val="bottom"/>
          </w:tcPr>
          <w:p>
            <w:pPr>
              <w:spacing w:after="0"/>
              <w:rPr>
                <w:sz w:val="13"/>
                <w:szCs w:val="13"/>
                <w:color w:val="auto"/>
              </w:rPr>
            </w:pPr>
          </w:p>
        </w:tc>
        <w:tc>
          <w:tcPr>
            <w:tcW w:w="1200" w:type="dxa"/>
            <w:vAlign w:val="bottom"/>
          </w:tcPr>
          <w:p>
            <w:pPr>
              <w:jc w:val="right"/>
              <w:ind w:right="141"/>
              <w:spacing w:after="0"/>
              <w:rPr>
                <w:sz w:val="20"/>
                <w:szCs w:val="20"/>
                <w:color w:val="auto"/>
              </w:rPr>
            </w:pPr>
            <w:r>
              <w:rPr>
                <w:rFonts w:ascii="Arial" w:cs="Arial" w:eastAsia="Arial" w:hAnsi="Arial"/>
                <w:sz w:val="12"/>
                <w:szCs w:val="12"/>
                <w:b w:val="1"/>
                <w:bCs w:val="1"/>
                <w:color w:val="auto"/>
                <w:w w:val="94"/>
              </w:rPr>
              <w:t>Six Months Ended</w:t>
            </w:r>
          </w:p>
        </w:tc>
      </w:tr>
      <w:tr>
        <w:trPr>
          <w:trHeight w:val="155"/>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341"/>
              <w:spacing w:after="0"/>
              <w:rPr>
                <w:sz w:val="20"/>
                <w:szCs w:val="20"/>
                <w:color w:val="auto"/>
              </w:rPr>
            </w:pPr>
            <w:r>
              <w:rPr>
                <w:rFonts w:ascii="Arial" w:cs="Arial" w:eastAsia="Arial" w:hAnsi="Arial"/>
                <w:sz w:val="12"/>
                <w:szCs w:val="12"/>
                <w:b w:val="1"/>
                <w:bCs w:val="1"/>
                <w:color w:val="auto"/>
              </w:rPr>
              <w:t>June 30, 2021</w:t>
            </w:r>
          </w:p>
        </w:tc>
        <w:tc>
          <w:tcPr>
            <w:tcW w:w="16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June 30, 2020</w:t>
            </w:r>
          </w:p>
        </w:tc>
        <w:tc>
          <w:tcPr>
            <w:tcW w:w="140" w:type="dxa"/>
            <w:vAlign w:val="bottom"/>
          </w:tcPr>
          <w:p>
            <w:pPr>
              <w:spacing w:after="0"/>
              <w:rPr>
                <w:sz w:val="13"/>
                <w:szCs w:val="13"/>
                <w:color w:val="auto"/>
              </w:rPr>
            </w:pPr>
          </w:p>
        </w:tc>
        <w:tc>
          <w:tcPr>
            <w:tcW w:w="1200" w:type="dxa"/>
            <w:vAlign w:val="bottom"/>
          </w:tcPr>
          <w:p>
            <w:pPr>
              <w:jc w:val="right"/>
              <w:ind w:right="281"/>
              <w:spacing w:after="0"/>
              <w:rPr>
                <w:sz w:val="20"/>
                <w:szCs w:val="20"/>
                <w:color w:val="auto"/>
              </w:rPr>
            </w:pPr>
            <w:r>
              <w:rPr>
                <w:rFonts w:ascii="Arial" w:cs="Arial" w:eastAsia="Arial" w:hAnsi="Arial"/>
                <w:sz w:val="12"/>
                <w:szCs w:val="12"/>
                <w:b w:val="1"/>
                <w:bCs w:val="1"/>
                <w:color w:val="auto"/>
              </w:rPr>
              <w:t>June 30, 2021</w:t>
            </w:r>
          </w:p>
        </w:tc>
      </w:tr>
      <w:tr>
        <w:trPr>
          <w:trHeight w:val="138"/>
        </w:trPr>
        <w:tc>
          <w:tcPr>
            <w:tcW w:w="6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Net investment gains (losses):</w:t>
            </w: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9"/>
        </w:trPr>
        <w:tc>
          <w:tcPr>
            <w:tcW w:w="6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Call options</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279</w:t>
            </w:r>
          </w:p>
        </w:tc>
      </w:tr>
      <w:tr>
        <w:trPr>
          <w:trHeight w:val="151"/>
        </w:trPr>
        <w:tc>
          <w:tcPr>
            <w:tcW w:w="6820" w:type="dxa"/>
            <w:vAlign w:val="bottom"/>
          </w:tcPr>
          <w:p>
            <w:pPr>
              <w:ind w:left="120"/>
              <w:spacing w:after="0"/>
              <w:rPr>
                <w:sz w:val="20"/>
                <w:szCs w:val="20"/>
                <w:color w:val="auto"/>
              </w:rPr>
            </w:pPr>
            <w:r>
              <w:rPr>
                <w:rFonts w:ascii="Arial" w:cs="Arial" w:eastAsia="Arial" w:hAnsi="Arial"/>
                <w:sz w:val="12"/>
                <w:szCs w:val="12"/>
                <w:color w:val="auto"/>
              </w:rPr>
              <w:t>Futures contracts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4</w:t>
            </w:r>
          </w:p>
        </w:tc>
      </w:tr>
      <w:tr>
        <w:trPr>
          <w:trHeight w:val="157"/>
        </w:trPr>
        <w:tc>
          <w:tcPr>
            <w:tcW w:w="6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forward</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r>
      <w:tr>
        <w:trPr>
          <w:trHeight w:val="151"/>
        </w:trPr>
        <w:tc>
          <w:tcPr>
            <w:tcW w:w="6820" w:type="dxa"/>
            <w:vAlign w:val="bottom"/>
          </w:tcPr>
          <w:p>
            <w:pPr>
              <w:ind w:left="120"/>
              <w:spacing w:after="0"/>
              <w:rPr>
                <w:sz w:val="20"/>
                <w:szCs w:val="20"/>
                <w:color w:val="auto"/>
              </w:rPr>
            </w:pPr>
            <w:r>
              <w:rPr>
                <w:rFonts w:ascii="Arial" w:cs="Arial" w:eastAsia="Arial" w:hAnsi="Arial"/>
                <w:sz w:val="12"/>
                <w:szCs w:val="12"/>
                <w:color w:val="auto"/>
              </w:rPr>
              <w:t>Other derivatives and embedded derivatives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3</w:t>
            </w:r>
          </w:p>
        </w:tc>
      </w:tr>
      <w:tr>
        <w:trPr>
          <w:trHeight w:val="154"/>
        </w:trPr>
        <w:tc>
          <w:tcPr>
            <w:tcW w:w="6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Reinsurance related embedded derivatives</w:t>
            </w:r>
          </w:p>
        </w:tc>
        <w:tc>
          <w:tcPr>
            <w:tcW w:w="14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8"/>
        </w:trPr>
        <w:tc>
          <w:tcPr>
            <w:tcW w:w="6820" w:type="dxa"/>
            <w:vAlign w:val="bottom"/>
          </w:tcPr>
          <w:p>
            <w:pPr>
              <w:ind w:left="20"/>
              <w:spacing w:after="0"/>
              <w:rPr>
                <w:sz w:val="20"/>
                <w:szCs w:val="20"/>
                <w:color w:val="auto"/>
              </w:rPr>
            </w:pPr>
            <w:r>
              <w:rPr>
                <w:rFonts w:ascii="Arial" w:cs="Arial" w:eastAsia="Arial" w:hAnsi="Arial"/>
                <w:sz w:val="12"/>
                <w:szCs w:val="12"/>
                <w:b w:val="1"/>
                <w:bCs w:val="1"/>
                <w:color w:val="auto"/>
              </w:rPr>
              <w:t>Total net investment gains (losses)</w:t>
            </w: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290</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8"/>
        </w:trPr>
        <w:tc>
          <w:tcPr>
            <w:tcW w:w="6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Benefits and other changes in policy reserves:</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72"/>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FIA embedded derivatives</w:t>
            </w: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w:t>
            </w: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FIA Embedded Derivative and Call Options and Futures</w:t>
      </w:r>
    </w:p>
    <w:p>
      <w:pPr>
        <w:spacing w:after="0" w:line="69" w:lineRule="exact"/>
        <w:rPr>
          <w:sz w:val="20"/>
          <w:szCs w:val="20"/>
          <w:color w:val="auto"/>
        </w:rPr>
      </w:pPr>
    </w:p>
    <w:p>
      <w:pPr>
        <w:jc w:val="both"/>
        <w:ind w:firstLine="363"/>
        <w:spacing w:after="0" w:line="302" w:lineRule="auto"/>
        <w:rPr>
          <w:sz w:val="20"/>
          <w:szCs w:val="20"/>
          <w:color w:val="auto"/>
        </w:rPr>
      </w:pPr>
      <w:r>
        <w:rPr>
          <w:rFonts w:ascii="Arial" w:cs="Arial" w:eastAsia="Arial" w:hAnsi="Arial"/>
          <w:sz w:val="13"/>
          <w:szCs w:val="13"/>
          <w:color w:val="auto"/>
        </w:rPr>
        <w:t xml:space="preserve">We have FIA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 embedded derivative is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C </w:t>
      </w:r>
      <w:r>
        <w:rPr>
          <w:rFonts w:ascii="Arial" w:cs="Arial" w:eastAsia="Arial" w:hAnsi="Arial"/>
          <w:sz w:val="13"/>
          <w:szCs w:val="13"/>
          <w:i w:val="1"/>
          <w:iCs w:val="1"/>
          <w:color w:val="auto"/>
        </w:rPr>
        <w:t>Fair Value of Financial Instruments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63"/>
        <w:spacing w:after="0" w:line="292" w:lineRule="auto"/>
        <w:rPr>
          <w:sz w:val="20"/>
          <w:szCs w:val="20"/>
          <w:color w:val="auto"/>
        </w:rPr>
      </w:pPr>
      <w:r>
        <w:rPr>
          <w:rFonts w:ascii="Arial" w:cs="Arial" w:eastAsia="Arial" w:hAnsi="Arial"/>
          <w:sz w:val="13"/>
          <w:szCs w:val="13"/>
          <w:color w:val="auto"/>
        </w:rPr>
        <w:t>We purchase derivatives consisting of a combination of call options and futures contracts on the applicable market indices to fund the index credits due to FIA contractholders. The call options are one, two, three, and five year options purchased to match the funding requirements of the underlying policies. On the respective anniversary dates of the index policies, the index used to compute the interest credit is reset and we purchase new call options to fund the next index credit. We manage the cost of these purchases through the terms of our FIA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 embedded derivative related to index performance through the current credit period. The call options and futures contracts are marked to fair value with the change in fair value included as a component of Recognized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89"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3"/>
          <w:szCs w:val="13"/>
          <w:color w:val="auto"/>
        </w:rPr>
        <w:t>Other market exposures are hedged periodically depending on market conditions and our risk tolerance. Our FIA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Credit Risk</w:t>
      </w:r>
    </w:p>
    <w:p>
      <w:pPr>
        <w:spacing w:after="0" w:line="135"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5"/>
          <w:szCs w:val="15"/>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Information regarding our exposure to credit loss on the call options we hold as of June 30, 2021 and December 31, 2020, is presented in the following table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June 30, 2021</w:t>
            </w: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Counterparty</w:t>
            </w:r>
          </w:p>
        </w:tc>
        <w:tc>
          <w:tcPr>
            <w:tcW w:w="2880" w:type="dxa"/>
            <w:vAlign w:val="bottom"/>
            <w:gridSpan w:val="2"/>
          </w:tcPr>
          <w:p>
            <w:pPr>
              <w:jc w:val="center"/>
              <w:ind w:left="681"/>
              <w:spacing w:after="0" w:line="110" w:lineRule="exact"/>
              <w:rPr>
                <w:sz w:val="20"/>
                <w:szCs w:val="20"/>
                <w:color w:val="auto"/>
              </w:rPr>
            </w:pPr>
            <w:r>
              <w:rPr>
                <w:rFonts w:ascii="Arial" w:cs="Arial" w:eastAsia="Arial" w:hAnsi="Arial"/>
                <w:sz w:val="12"/>
                <w:szCs w:val="12"/>
                <w:b w:val="1"/>
                <w:bCs w:val="1"/>
                <w:color w:val="auto"/>
                <w:w w:val="92"/>
              </w:rPr>
              <w:t>Credit Rating</w:t>
            </w:r>
          </w:p>
        </w:tc>
        <w:tc>
          <w:tcPr>
            <w:tcW w:w="240" w:type="dxa"/>
            <w:vAlign w:val="bottom"/>
          </w:tcPr>
          <w:p>
            <w:pPr>
              <w:spacing w:after="0"/>
              <w:rPr>
                <w:sz w:val="9"/>
                <w:szCs w:val="9"/>
                <w:color w:val="auto"/>
              </w:rPr>
            </w:pPr>
          </w:p>
        </w:tc>
        <w:tc>
          <w:tcPr>
            <w:tcW w:w="1120" w:type="dxa"/>
            <w:vAlign w:val="bottom"/>
            <w:gridSpan w:val="2"/>
          </w:tcPr>
          <w:p>
            <w:pPr>
              <w:ind w:left="180"/>
              <w:spacing w:after="0" w:line="110" w:lineRule="exact"/>
              <w:rPr>
                <w:sz w:val="20"/>
                <w:szCs w:val="20"/>
                <w:color w:val="auto"/>
              </w:rPr>
            </w:pPr>
            <w:r>
              <w:rPr>
                <w:rFonts w:ascii="Arial" w:cs="Arial" w:eastAsia="Arial" w:hAnsi="Arial"/>
                <w:sz w:val="12"/>
                <w:szCs w:val="12"/>
                <w:b w:val="1"/>
                <w:bCs w:val="1"/>
                <w:color w:val="auto"/>
              </w:rPr>
              <w:t>Notional</w:t>
            </w:r>
          </w:p>
        </w:tc>
        <w:tc>
          <w:tcPr>
            <w:tcW w:w="220" w:type="dxa"/>
            <w:vAlign w:val="bottom"/>
          </w:tcPr>
          <w:p>
            <w:pPr>
              <w:spacing w:after="0"/>
              <w:rPr>
                <w:sz w:val="9"/>
                <w:szCs w:val="9"/>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340" w:type="dxa"/>
            <w:vAlign w:val="bottom"/>
          </w:tcPr>
          <w:p>
            <w:pPr>
              <w:spacing w:after="0"/>
              <w:rPr>
                <w:sz w:val="9"/>
                <w:szCs w:val="9"/>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Collateral</w:t>
            </w:r>
          </w:p>
        </w:tc>
        <w:tc>
          <w:tcPr>
            <w:tcW w:w="160" w:type="dxa"/>
            <w:vAlign w:val="bottom"/>
          </w:tcPr>
          <w:p>
            <w:pPr>
              <w:spacing w:after="0"/>
              <w:rPr>
                <w:sz w:val="9"/>
                <w:szCs w:val="9"/>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w w:val="97"/>
              </w:rPr>
              <w:t>Net Credit Risk</w:t>
            </w:r>
          </w:p>
        </w:tc>
        <w:tc>
          <w:tcPr>
            <w:tcW w:w="0" w:type="dxa"/>
            <w:vAlign w:val="bottom"/>
          </w:tcPr>
          <w:p>
            <w:pPr>
              <w:spacing w:after="0"/>
              <w:rPr>
                <w:sz w:val="1"/>
                <w:szCs w:val="1"/>
                <w:color w:val="auto"/>
              </w:rPr>
            </w:pPr>
          </w:p>
        </w:tc>
      </w:tr>
      <w:tr>
        <w:trPr>
          <w:trHeight w:val="152"/>
        </w:trPr>
        <w:tc>
          <w:tcPr>
            <w:tcW w:w="3040" w:type="dxa"/>
            <w:vAlign w:val="bottom"/>
            <w:vMerge w:val="continue"/>
          </w:tcPr>
          <w:p>
            <w:pPr>
              <w:spacing w:after="0"/>
              <w:rPr>
                <w:sz w:val="13"/>
                <w:szCs w:val="13"/>
                <w:color w:val="auto"/>
              </w:rPr>
            </w:pP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0"/>
              </w:rPr>
              <w:t>(Fitch/Moody's/S&amp;P) (1)</w:t>
            </w:r>
          </w:p>
        </w:tc>
        <w:tc>
          <w:tcPr>
            <w:tcW w:w="24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Merrill Lynch</w:t>
            </w:r>
          </w:p>
        </w:tc>
        <w:tc>
          <w:tcPr>
            <w:tcW w:w="2760" w:type="dxa"/>
            <w:vAlign w:val="bottom"/>
            <w:tcBorders>
              <w:top w:val="single" w:sz="8" w:color="auto"/>
            </w:tcBorders>
            <w:shd w:val="clear" w:color="auto" w:fill="CCEEFF"/>
          </w:tcPr>
          <w:p>
            <w:pPr>
              <w:jc w:val="center"/>
              <w:ind w:left="821"/>
              <w:spacing w:after="0"/>
              <w:rPr>
                <w:sz w:val="20"/>
                <w:szCs w:val="20"/>
                <w:color w:val="auto"/>
              </w:rPr>
            </w:pPr>
            <w:r>
              <w:rPr>
                <w:rFonts w:ascii="Arial" w:cs="Arial" w:eastAsia="Arial" w:hAnsi="Arial"/>
                <w:sz w:val="12"/>
                <w:szCs w:val="12"/>
                <w:b w:val="1"/>
                <w:bCs w:val="1"/>
                <w:color w:val="auto"/>
                <w:w w:val="99"/>
              </w:rPr>
              <w:t>AA/*/A+</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1,899</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87</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2"/>
        </w:trPr>
        <w:tc>
          <w:tcPr>
            <w:tcW w:w="3040" w:type="dxa"/>
            <w:vAlign w:val="bottom"/>
          </w:tcPr>
          <w:p>
            <w:pPr>
              <w:ind w:left="20"/>
              <w:spacing w:after="0"/>
              <w:rPr>
                <w:sz w:val="20"/>
                <w:szCs w:val="20"/>
                <w:color w:val="auto"/>
              </w:rPr>
            </w:pPr>
            <w:r>
              <w:rPr>
                <w:rFonts w:ascii="Arial" w:cs="Arial" w:eastAsia="Arial" w:hAnsi="Arial"/>
                <w:sz w:val="12"/>
                <w:szCs w:val="12"/>
                <w:color w:val="auto"/>
              </w:rPr>
              <w:t>Morgan Stanley</w:t>
            </w:r>
          </w:p>
        </w:tc>
        <w:tc>
          <w:tcPr>
            <w:tcW w:w="2880" w:type="dxa"/>
            <w:vAlign w:val="bottom"/>
            <w:gridSpan w:val="2"/>
          </w:tcPr>
          <w:p>
            <w:pPr>
              <w:jc w:val="center"/>
              <w:ind w:left="701"/>
              <w:spacing w:after="0"/>
              <w:rPr>
                <w:sz w:val="20"/>
                <w:szCs w:val="20"/>
                <w:color w:val="auto"/>
              </w:rPr>
            </w:pPr>
            <w:r>
              <w:rPr>
                <w:rFonts w:ascii="Arial" w:cs="Arial" w:eastAsia="Arial" w:hAnsi="Arial"/>
                <w:sz w:val="12"/>
                <w:szCs w:val="12"/>
                <w:b w:val="1"/>
                <w:bCs w:val="1"/>
                <w:color w:val="auto"/>
                <w:w w:val="97"/>
              </w:rPr>
              <w:t>*/Aa3/A+</w:t>
            </w:r>
          </w:p>
        </w:tc>
        <w:tc>
          <w:tcPr>
            <w:tcW w:w="24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1,561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Barclay's Bank</w:t>
            </w:r>
          </w:p>
        </w:tc>
        <w:tc>
          <w:tcPr>
            <w:tcW w:w="2880" w:type="dxa"/>
            <w:vAlign w:val="bottom"/>
            <w:gridSpan w:val="2"/>
            <w:shd w:val="clear" w:color="auto" w:fill="CCEEFF"/>
          </w:tcPr>
          <w:p>
            <w:pPr>
              <w:jc w:val="center"/>
              <w:ind w:left="701"/>
              <w:spacing w:after="0"/>
              <w:rPr>
                <w:sz w:val="20"/>
                <w:szCs w:val="20"/>
                <w:color w:val="auto"/>
              </w:rPr>
            </w:pPr>
            <w:r>
              <w:rPr>
                <w:rFonts w:ascii="Arial" w:cs="Arial" w:eastAsia="Arial" w:hAnsi="Arial"/>
                <w:sz w:val="12"/>
                <w:szCs w:val="12"/>
                <w:b w:val="1"/>
                <w:bCs w:val="1"/>
                <w:color w:val="auto"/>
                <w:w w:val="94"/>
              </w:rPr>
              <w:t>A+/A1/A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5,342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2"/>
        </w:trPr>
        <w:tc>
          <w:tcPr>
            <w:tcW w:w="3040" w:type="dxa"/>
            <w:vAlign w:val="bottom"/>
          </w:tcPr>
          <w:p>
            <w:pPr>
              <w:ind w:left="20"/>
              <w:spacing w:after="0"/>
              <w:rPr>
                <w:sz w:val="20"/>
                <w:szCs w:val="20"/>
                <w:color w:val="auto"/>
              </w:rPr>
            </w:pPr>
            <w:r>
              <w:rPr>
                <w:rFonts w:ascii="Arial" w:cs="Arial" w:eastAsia="Arial" w:hAnsi="Arial"/>
                <w:sz w:val="12"/>
                <w:szCs w:val="12"/>
                <w:color w:val="auto"/>
              </w:rPr>
              <w:t>Canadian Imperial Bank of Commerce</w:t>
            </w:r>
          </w:p>
        </w:tc>
        <w:tc>
          <w:tcPr>
            <w:tcW w:w="2880" w:type="dxa"/>
            <w:vAlign w:val="bottom"/>
            <w:gridSpan w:val="2"/>
          </w:tcPr>
          <w:p>
            <w:pPr>
              <w:jc w:val="center"/>
              <w:ind w:left="701"/>
              <w:spacing w:after="0"/>
              <w:rPr>
                <w:sz w:val="20"/>
                <w:szCs w:val="20"/>
                <w:color w:val="auto"/>
              </w:rPr>
            </w:pPr>
            <w:r>
              <w:rPr>
                <w:rFonts w:ascii="Arial" w:cs="Arial" w:eastAsia="Arial" w:hAnsi="Arial"/>
                <w:sz w:val="12"/>
                <w:szCs w:val="12"/>
                <w:b w:val="1"/>
                <w:bCs w:val="1"/>
                <w:color w:val="auto"/>
                <w:w w:val="97"/>
              </w:rPr>
              <w:t>AA/Aa2/A+</w:t>
            </w:r>
          </w:p>
        </w:tc>
        <w:tc>
          <w:tcPr>
            <w:tcW w:w="24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2,263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Wells Fargo</w:t>
            </w:r>
          </w:p>
        </w:tc>
        <w:tc>
          <w:tcPr>
            <w:tcW w:w="2880" w:type="dxa"/>
            <w:vAlign w:val="bottom"/>
            <w:gridSpan w:val="2"/>
            <w:shd w:val="clear" w:color="auto" w:fill="CCEEFF"/>
          </w:tcPr>
          <w:p>
            <w:pPr>
              <w:jc w:val="center"/>
              <w:ind w:left="681"/>
              <w:spacing w:after="0"/>
              <w:rPr>
                <w:sz w:val="20"/>
                <w:szCs w:val="20"/>
                <w:color w:val="auto"/>
              </w:rPr>
            </w:pPr>
            <w:r>
              <w:rPr>
                <w:rFonts w:ascii="Arial" w:cs="Arial" w:eastAsia="Arial" w:hAnsi="Arial"/>
                <w:sz w:val="12"/>
                <w:szCs w:val="12"/>
                <w:b w:val="1"/>
                <w:bCs w:val="1"/>
                <w:color w:val="auto"/>
                <w:w w:val="93"/>
              </w:rPr>
              <w:t>A+/A2/BBB+</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3040" w:type="dxa"/>
            <w:vAlign w:val="bottom"/>
          </w:tcPr>
          <w:p>
            <w:pPr>
              <w:ind w:left="20"/>
              <w:spacing w:after="0"/>
              <w:rPr>
                <w:sz w:val="20"/>
                <w:szCs w:val="20"/>
                <w:color w:val="auto"/>
              </w:rPr>
            </w:pPr>
            <w:r>
              <w:rPr>
                <w:rFonts w:ascii="Arial" w:cs="Arial" w:eastAsia="Arial" w:hAnsi="Arial"/>
                <w:sz w:val="12"/>
                <w:szCs w:val="12"/>
                <w:color w:val="auto"/>
              </w:rPr>
              <w:t>Goldman Sachs</w:t>
            </w:r>
          </w:p>
        </w:tc>
        <w:tc>
          <w:tcPr>
            <w:tcW w:w="2880" w:type="dxa"/>
            <w:vAlign w:val="bottom"/>
            <w:gridSpan w:val="2"/>
          </w:tcPr>
          <w:p>
            <w:pPr>
              <w:jc w:val="center"/>
              <w:ind w:left="701"/>
              <w:spacing w:after="0"/>
              <w:rPr>
                <w:sz w:val="20"/>
                <w:szCs w:val="20"/>
                <w:color w:val="auto"/>
              </w:rPr>
            </w:pPr>
            <w:r>
              <w:rPr>
                <w:rFonts w:ascii="Arial" w:cs="Arial" w:eastAsia="Arial" w:hAnsi="Arial"/>
                <w:sz w:val="12"/>
                <w:szCs w:val="12"/>
                <w:b w:val="1"/>
                <w:bCs w:val="1"/>
                <w:color w:val="auto"/>
                <w:w w:val="94"/>
              </w:rPr>
              <w:t>A/A2/BBB+</w:t>
            </w:r>
          </w:p>
        </w:tc>
        <w:tc>
          <w:tcPr>
            <w:tcW w:w="24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Credit Suisse</w:t>
            </w:r>
          </w:p>
        </w:tc>
        <w:tc>
          <w:tcPr>
            <w:tcW w:w="2880" w:type="dxa"/>
            <w:vAlign w:val="bottom"/>
            <w:gridSpan w:val="2"/>
            <w:shd w:val="clear" w:color="auto" w:fill="CCEEFF"/>
          </w:tcPr>
          <w:p>
            <w:pPr>
              <w:jc w:val="center"/>
              <w:ind w:left="701"/>
              <w:spacing w:after="0"/>
              <w:rPr>
                <w:sz w:val="20"/>
                <w:szCs w:val="20"/>
                <w:color w:val="auto"/>
              </w:rPr>
            </w:pPr>
            <w:r>
              <w:rPr>
                <w:rFonts w:ascii="Arial" w:cs="Arial" w:eastAsia="Arial" w:hAnsi="Arial"/>
                <w:sz w:val="12"/>
                <w:szCs w:val="12"/>
                <w:b w:val="1"/>
                <w:bCs w:val="1"/>
                <w:color w:val="auto"/>
                <w:w w:val="94"/>
              </w:rPr>
              <w:t>A/A1/A+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Truist</w:t>
            </w:r>
          </w:p>
        </w:tc>
        <w:tc>
          <w:tcPr>
            <w:tcW w:w="2880" w:type="dxa"/>
            <w:vAlign w:val="bottom"/>
            <w:tcBorders>
              <w:bottom w:val="single" w:sz="8" w:color="CCEEFF"/>
            </w:tcBorders>
            <w:gridSpan w:val="2"/>
          </w:tcPr>
          <w:p>
            <w:pPr>
              <w:jc w:val="center"/>
              <w:ind w:left="701"/>
              <w:spacing w:after="0"/>
              <w:rPr>
                <w:sz w:val="20"/>
                <w:szCs w:val="20"/>
                <w:color w:val="auto"/>
              </w:rPr>
            </w:pPr>
            <w:r>
              <w:rPr>
                <w:rFonts w:ascii="Arial" w:cs="Arial" w:eastAsia="Arial" w:hAnsi="Arial"/>
                <w:sz w:val="12"/>
                <w:szCs w:val="12"/>
                <w:b w:val="1"/>
                <w:bCs w:val="1"/>
                <w:color w:val="auto"/>
                <w:w w:val="94"/>
              </w:rPr>
              <w:t>A+/A2/A</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1,197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w:t>
            </w:r>
          </w:p>
        </w:tc>
        <w:tc>
          <w:tcPr>
            <w:tcW w:w="2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17,564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636</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December 31, 2020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Counterparty</w:t>
            </w:r>
          </w:p>
        </w:tc>
        <w:tc>
          <w:tcPr>
            <w:tcW w:w="2880" w:type="dxa"/>
            <w:vAlign w:val="bottom"/>
            <w:gridSpan w:val="2"/>
          </w:tcPr>
          <w:p>
            <w:pPr>
              <w:jc w:val="center"/>
              <w:ind w:left="681"/>
              <w:spacing w:after="0" w:line="110" w:lineRule="exact"/>
              <w:rPr>
                <w:sz w:val="20"/>
                <w:szCs w:val="20"/>
                <w:color w:val="auto"/>
              </w:rPr>
            </w:pPr>
            <w:r>
              <w:rPr>
                <w:rFonts w:ascii="Arial" w:cs="Arial" w:eastAsia="Arial" w:hAnsi="Arial"/>
                <w:sz w:val="12"/>
                <w:szCs w:val="12"/>
                <w:b w:val="1"/>
                <w:bCs w:val="1"/>
                <w:color w:val="auto"/>
                <w:w w:val="92"/>
              </w:rPr>
              <w:t>Credit Rating</w:t>
            </w:r>
          </w:p>
        </w:tc>
        <w:tc>
          <w:tcPr>
            <w:tcW w:w="240" w:type="dxa"/>
            <w:vAlign w:val="bottom"/>
          </w:tcPr>
          <w:p>
            <w:pPr>
              <w:spacing w:after="0"/>
              <w:rPr>
                <w:sz w:val="9"/>
                <w:szCs w:val="9"/>
                <w:color w:val="auto"/>
              </w:rPr>
            </w:pPr>
          </w:p>
        </w:tc>
        <w:tc>
          <w:tcPr>
            <w:tcW w:w="1120" w:type="dxa"/>
            <w:vAlign w:val="bottom"/>
            <w:gridSpan w:val="2"/>
          </w:tcPr>
          <w:p>
            <w:pPr>
              <w:ind w:left="180"/>
              <w:spacing w:after="0" w:line="110" w:lineRule="exact"/>
              <w:rPr>
                <w:sz w:val="20"/>
                <w:szCs w:val="20"/>
                <w:color w:val="auto"/>
              </w:rPr>
            </w:pPr>
            <w:r>
              <w:rPr>
                <w:rFonts w:ascii="Arial" w:cs="Arial" w:eastAsia="Arial" w:hAnsi="Arial"/>
                <w:sz w:val="12"/>
                <w:szCs w:val="12"/>
                <w:b w:val="1"/>
                <w:bCs w:val="1"/>
                <w:color w:val="auto"/>
              </w:rPr>
              <w:t>Notional</w:t>
            </w:r>
          </w:p>
        </w:tc>
        <w:tc>
          <w:tcPr>
            <w:tcW w:w="220" w:type="dxa"/>
            <w:vAlign w:val="bottom"/>
          </w:tcPr>
          <w:p>
            <w:pPr>
              <w:spacing w:after="0"/>
              <w:rPr>
                <w:sz w:val="9"/>
                <w:szCs w:val="9"/>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Fair Value</w:t>
            </w:r>
          </w:p>
        </w:tc>
        <w:tc>
          <w:tcPr>
            <w:tcW w:w="240" w:type="dxa"/>
            <w:vAlign w:val="bottom"/>
          </w:tcPr>
          <w:p>
            <w:pPr>
              <w:spacing w:after="0"/>
              <w:rPr>
                <w:sz w:val="9"/>
                <w:szCs w:val="9"/>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Collateral</w:t>
            </w:r>
          </w:p>
        </w:tc>
        <w:tc>
          <w:tcPr>
            <w:tcW w:w="160" w:type="dxa"/>
            <w:vAlign w:val="bottom"/>
          </w:tcPr>
          <w:p>
            <w:pPr>
              <w:spacing w:after="0"/>
              <w:rPr>
                <w:sz w:val="9"/>
                <w:szCs w:val="9"/>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w w:val="97"/>
              </w:rPr>
              <w:t>Net Credit Risk</w:t>
            </w:r>
          </w:p>
        </w:tc>
        <w:tc>
          <w:tcPr>
            <w:tcW w:w="0" w:type="dxa"/>
            <w:vAlign w:val="bottom"/>
          </w:tcPr>
          <w:p>
            <w:pPr>
              <w:spacing w:after="0"/>
              <w:rPr>
                <w:sz w:val="1"/>
                <w:szCs w:val="1"/>
                <w:color w:val="auto"/>
              </w:rPr>
            </w:pPr>
          </w:p>
        </w:tc>
      </w:tr>
      <w:tr>
        <w:trPr>
          <w:trHeight w:val="152"/>
        </w:trPr>
        <w:tc>
          <w:tcPr>
            <w:tcW w:w="3040" w:type="dxa"/>
            <w:vAlign w:val="bottom"/>
            <w:vMerge w:val="continue"/>
          </w:tcPr>
          <w:p>
            <w:pPr>
              <w:spacing w:after="0"/>
              <w:rPr>
                <w:sz w:val="13"/>
                <w:szCs w:val="13"/>
                <w:color w:val="auto"/>
              </w:rPr>
            </w:pP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0"/>
              </w:rPr>
              <w:t>(Fitch/Moody's/S&amp;P) (1)</w:t>
            </w:r>
          </w:p>
        </w:tc>
        <w:tc>
          <w:tcPr>
            <w:tcW w:w="24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Merrill Lynch</w:t>
            </w:r>
          </w:p>
        </w:tc>
        <w:tc>
          <w:tcPr>
            <w:tcW w:w="2760" w:type="dxa"/>
            <w:vAlign w:val="bottom"/>
            <w:tcBorders>
              <w:top w:val="single" w:sz="8" w:color="auto"/>
            </w:tcBorders>
            <w:shd w:val="clear" w:color="auto" w:fill="CCEEFF"/>
          </w:tcPr>
          <w:p>
            <w:pPr>
              <w:jc w:val="center"/>
              <w:ind w:left="781"/>
              <w:spacing w:after="0"/>
              <w:rPr>
                <w:sz w:val="20"/>
                <w:szCs w:val="20"/>
                <w:color w:val="auto"/>
              </w:rPr>
            </w:pPr>
            <w:r>
              <w:rPr>
                <w:rFonts w:ascii="Arial" w:cs="Arial" w:eastAsia="Arial" w:hAnsi="Arial"/>
                <w:sz w:val="12"/>
                <w:szCs w:val="12"/>
                <w:b w:val="1"/>
                <w:bCs w:val="1"/>
                <w:color w:val="auto"/>
                <w:w w:val="99"/>
              </w:rPr>
              <w:t>AA-/*/A+</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1,932</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75</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2"/>
        </w:trPr>
        <w:tc>
          <w:tcPr>
            <w:tcW w:w="3040" w:type="dxa"/>
            <w:vAlign w:val="bottom"/>
          </w:tcPr>
          <w:p>
            <w:pPr>
              <w:ind w:left="20"/>
              <w:spacing w:after="0"/>
              <w:rPr>
                <w:sz w:val="20"/>
                <w:szCs w:val="20"/>
                <w:color w:val="auto"/>
              </w:rPr>
            </w:pPr>
            <w:r>
              <w:rPr>
                <w:rFonts w:ascii="Arial" w:cs="Arial" w:eastAsia="Arial" w:hAnsi="Arial"/>
                <w:sz w:val="12"/>
                <w:szCs w:val="12"/>
                <w:color w:val="auto"/>
              </w:rPr>
              <w:t>Morgan Stanley</w:t>
            </w: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1"/>
              </w:rPr>
              <w:t>A/A2/BBB+</w:t>
            </w:r>
          </w:p>
        </w:tc>
        <w:tc>
          <w:tcPr>
            <w:tcW w:w="24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1,503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Barclay's Bank</w:t>
            </w:r>
          </w:p>
        </w:tc>
        <w:tc>
          <w:tcPr>
            <w:tcW w:w="2880" w:type="dxa"/>
            <w:vAlign w:val="bottom"/>
            <w:gridSpan w:val="2"/>
            <w:shd w:val="clear" w:color="auto" w:fill="CCEEFF"/>
          </w:tcPr>
          <w:p>
            <w:pPr>
              <w:jc w:val="center"/>
              <w:ind w:left="661"/>
              <w:spacing w:after="0"/>
              <w:rPr>
                <w:sz w:val="20"/>
                <w:szCs w:val="20"/>
                <w:color w:val="auto"/>
              </w:rPr>
            </w:pPr>
            <w:r>
              <w:rPr>
                <w:rFonts w:ascii="Arial" w:cs="Arial" w:eastAsia="Arial" w:hAnsi="Arial"/>
                <w:sz w:val="12"/>
                <w:szCs w:val="12"/>
                <w:b w:val="1"/>
                <w:bCs w:val="1"/>
                <w:color w:val="auto"/>
                <w:w w:val="94"/>
              </w:rPr>
              <w:t>A+/A1/A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4,639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2"/>
        </w:trPr>
        <w:tc>
          <w:tcPr>
            <w:tcW w:w="3040" w:type="dxa"/>
            <w:vAlign w:val="bottom"/>
          </w:tcPr>
          <w:p>
            <w:pPr>
              <w:ind w:left="20"/>
              <w:spacing w:after="0"/>
              <w:rPr>
                <w:sz w:val="20"/>
                <w:szCs w:val="20"/>
                <w:color w:val="auto"/>
              </w:rPr>
            </w:pPr>
            <w:r>
              <w:rPr>
                <w:rFonts w:ascii="Arial" w:cs="Arial" w:eastAsia="Arial" w:hAnsi="Arial"/>
                <w:sz w:val="12"/>
                <w:szCs w:val="12"/>
                <w:color w:val="auto"/>
              </w:rPr>
              <w:t>Canadian Imperial Bank of Commerce</w:t>
            </w: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3"/>
              </w:rPr>
              <w:t>AA/Aa2/A+</w:t>
            </w:r>
          </w:p>
        </w:tc>
        <w:tc>
          <w:tcPr>
            <w:tcW w:w="24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2,276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Wells Fargo</w:t>
            </w:r>
          </w:p>
        </w:tc>
        <w:tc>
          <w:tcPr>
            <w:tcW w:w="2880" w:type="dxa"/>
            <w:vAlign w:val="bottom"/>
            <w:gridSpan w:val="2"/>
            <w:shd w:val="clear" w:color="auto" w:fill="CCEEFF"/>
          </w:tcPr>
          <w:p>
            <w:pPr>
              <w:jc w:val="center"/>
              <w:ind w:left="681"/>
              <w:spacing w:after="0"/>
              <w:rPr>
                <w:sz w:val="20"/>
                <w:szCs w:val="20"/>
                <w:color w:val="auto"/>
              </w:rPr>
            </w:pPr>
            <w:r>
              <w:rPr>
                <w:rFonts w:ascii="Arial" w:cs="Arial" w:eastAsia="Arial" w:hAnsi="Arial"/>
                <w:sz w:val="12"/>
                <w:szCs w:val="12"/>
                <w:b w:val="1"/>
                <w:bCs w:val="1"/>
                <w:color w:val="auto"/>
                <w:w w:val="93"/>
              </w:rPr>
              <w:t>A+/A2/BBB+</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2"/>
        </w:trPr>
        <w:tc>
          <w:tcPr>
            <w:tcW w:w="3040" w:type="dxa"/>
            <w:vAlign w:val="bottom"/>
          </w:tcPr>
          <w:p>
            <w:pPr>
              <w:ind w:left="20"/>
              <w:spacing w:after="0"/>
              <w:rPr>
                <w:sz w:val="20"/>
                <w:szCs w:val="20"/>
                <w:color w:val="auto"/>
              </w:rPr>
            </w:pPr>
            <w:r>
              <w:rPr>
                <w:rFonts w:ascii="Arial" w:cs="Arial" w:eastAsia="Arial" w:hAnsi="Arial"/>
                <w:sz w:val="12"/>
                <w:szCs w:val="12"/>
                <w:color w:val="auto"/>
              </w:rPr>
              <w:t>Goldman Sachs</w:t>
            </w:r>
          </w:p>
        </w:tc>
        <w:tc>
          <w:tcPr>
            <w:tcW w:w="2880" w:type="dxa"/>
            <w:vAlign w:val="bottom"/>
            <w:gridSpan w:val="2"/>
          </w:tcPr>
          <w:p>
            <w:pPr>
              <w:jc w:val="center"/>
              <w:ind w:left="681"/>
              <w:spacing w:after="0"/>
              <w:rPr>
                <w:sz w:val="20"/>
                <w:szCs w:val="20"/>
                <w:color w:val="auto"/>
              </w:rPr>
            </w:pPr>
            <w:r>
              <w:rPr>
                <w:rFonts w:ascii="Arial" w:cs="Arial" w:eastAsia="Arial" w:hAnsi="Arial"/>
                <w:sz w:val="12"/>
                <w:szCs w:val="12"/>
                <w:b w:val="1"/>
                <w:bCs w:val="1"/>
                <w:color w:val="auto"/>
                <w:w w:val="91"/>
              </w:rPr>
              <w:t>A/A3/BBB+</w:t>
            </w:r>
          </w:p>
        </w:tc>
        <w:tc>
          <w:tcPr>
            <w:tcW w:w="24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634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Credit Suisse</w:t>
            </w:r>
          </w:p>
        </w:tc>
        <w:tc>
          <w:tcPr>
            <w:tcW w:w="2880" w:type="dxa"/>
            <w:vAlign w:val="bottom"/>
            <w:gridSpan w:val="2"/>
            <w:shd w:val="clear" w:color="auto" w:fill="CCEEFF"/>
          </w:tcPr>
          <w:p>
            <w:pPr>
              <w:jc w:val="center"/>
              <w:ind w:left="681"/>
              <w:spacing w:after="0"/>
              <w:rPr>
                <w:sz w:val="20"/>
                <w:szCs w:val="20"/>
                <w:color w:val="auto"/>
              </w:rPr>
            </w:pPr>
            <w:r>
              <w:rPr>
                <w:rFonts w:ascii="Arial" w:cs="Arial" w:eastAsia="Arial" w:hAnsi="Arial"/>
                <w:sz w:val="12"/>
                <w:szCs w:val="12"/>
                <w:b w:val="1"/>
                <w:bCs w:val="1"/>
                <w:color w:val="auto"/>
                <w:w w:val="94"/>
              </w:rPr>
              <w:t>A/Aa3/A+</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1,373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Truist</w:t>
            </w:r>
          </w:p>
        </w:tc>
        <w:tc>
          <w:tcPr>
            <w:tcW w:w="2880" w:type="dxa"/>
            <w:vAlign w:val="bottom"/>
            <w:tcBorders>
              <w:bottom w:val="single" w:sz="8" w:color="CCEEFF"/>
            </w:tcBorders>
            <w:gridSpan w:val="2"/>
          </w:tcPr>
          <w:p>
            <w:pPr>
              <w:jc w:val="center"/>
              <w:ind w:left="661"/>
              <w:spacing w:after="0"/>
              <w:rPr>
                <w:sz w:val="20"/>
                <w:szCs w:val="20"/>
                <w:color w:val="auto"/>
              </w:rPr>
            </w:pPr>
            <w:r>
              <w:rPr>
                <w:rFonts w:ascii="Arial" w:cs="Arial" w:eastAsia="Arial" w:hAnsi="Arial"/>
                <w:sz w:val="12"/>
                <w:szCs w:val="12"/>
                <w:b w:val="1"/>
                <w:bCs w:val="1"/>
                <w:color w:val="auto"/>
                <w:w w:val="94"/>
              </w:rPr>
              <w:t>A+/A2/A</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w:t>
            </w:r>
          </w:p>
        </w:tc>
        <w:tc>
          <w:tcPr>
            <w:tcW w:w="2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15,909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(1) An * represents credit ratings that were not available.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Collateral Agreements</w:t>
      </w:r>
    </w:p>
    <w:p>
      <w:pPr>
        <w:spacing w:after="0" w:line="102" w:lineRule="exact"/>
        <w:rPr>
          <w:sz w:val="20"/>
          <w:szCs w:val="20"/>
          <w:color w:val="auto"/>
        </w:rPr>
      </w:pPr>
    </w:p>
    <w:p>
      <w:pPr>
        <w:jc w:val="both"/>
        <w:ind w:firstLine="330"/>
        <w:spacing w:after="0" w:line="290" w:lineRule="auto"/>
        <w:rPr>
          <w:sz w:val="20"/>
          <w:szCs w:val="20"/>
          <w:color w:val="auto"/>
        </w:rPr>
      </w:pPr>
      <w:r>
        <w:rPr>
          <w:rFonts w:ascii="Arial" w:cs="Arial" w:eastAsia="Arial" w:hAnsi="Arial"/>
          <w:sz w:val="13"/>
          <w:szCs w:val="13"/>
          <w:color w:val="auto"/>
        </w:rPr>
        <w:t>We are required to maintain minimum ratings as a matter of routine practice as part of its over-the-counter derivative agreements on ISDA forms. Under some ISDA agreements, we have agreed to maintain certain financial strength ratings. A downgrade below these levels provides the counterparty under the agreement the right to terminate the open option contracts between the parties, at which time any amounts payable by us or the counterparty would be dependent on the market value of the underlying option contracts. Our current rating doesn't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Merrill Lynch, this threshold is set to zero. As of June 30, 2021 and December 31, 2020, respectively, counterparties posted $636 million and $491 million of collateral of which $424 million and $415 million is included in cash and cash equivalents with an associated payable for this collateral included in accounts payable and accrued liabilities on the unaudited Condensed Consolidated Balance Sheet. Accordingly, the maximum amount of loss due to credit risk that we would incur if parties to the call options failed completely to perform according to the terms of the contracts was $56 million at June 30, 2021 and $58 million at December 31, 2020.</w:t>
      </w:r>
    </w:p>
    <w:p>
      <w:pPr>
        <w:spacing w:after="0" w:line="71"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unaudited Condensed Consolidated Balance Sheets.</w:t>
      </w:r>
    </w:p>
    <w:p>
      <w:pPr>
        <w:spacing w:after="0" w:line="79"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We held 369 and 384 futures contracts at June 30, 2021 and December 31, 2020,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$4 million at June 30, 2021 and December 31,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Reinsurance Related Embedded Derivatives</w:t>
      </w:r>
    </w:p>
    <w:p>
      <w:pPr>
        <w:spacing w:after="0" w:line="113" w:lineRule="exact"/>
        <w:rPr>
          <w:sz w:val="20"/>
          <w:szCs w:val="20"/>
          <w:color w:val="auto"/>
        </w:rPr>
      </w:pPr>
    </w:p>
    <w:p>
      <w:pPr>
        <w:jc w:val="both"/>
        <w:ind w:firstLine="330"/>
        <w:spacing w:after="0" w:line="294" w:lineRule="auto"/>
        <w:rPr>
          <w:sz w:val="20"/>
          <w:szCs w:val="20"/>
          <w:color w:val="auto"/>
        </w:rPr>
      </w:pPr>
      <w:r>
        <w:rPr>
          <w:rFonts w:ascii="Arial" w:cs="Arial" w:eastAsia="Arial" w:hAnsi="Arial"/>
          <w:sz w:val="13"/>
          <w:szCs w:val="13"/>
          <w:color w:val="auto"/>
        </w:rPr>
        <w:t>FGL Insurance entered into a reinsurance agreement with Kubera effective December 31, 2018, to cede certain MYGA and deferred annuity statutory reserve on a coinsurance funds withheld basis, net of applicable existing reinsurance. Fair value movements in the funds withheld balances associated with this arrangement create an obligation for FGL Insurance to pay Kubera at a later date, which results in an embedded derivative. This embedded derivative is 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were passed directly to the reinsurer pursuant to contractual terms of the reinsurance arrangement. The reinsurance related embedded derivative is reported in prepaid expenses and other assets if in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 net gain position, or accounts payable and accrued liabilities, if in a net loss position, on the unaudited Condensed Consolidated Balance Sheets and the related gains or losses are reported in Recognized gains and losses, net on the unaudited Condensed Consolidated Statements of Earnings.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F — Commitments and Contingencies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and Regulatory Contingencies</w:t>
      </w:r>
    </w:p>
    <w:p>
      <w:pPr>
        <w:spacing w:after="0" w:line="70" w:lineRule="exact"/>
        <w:rPr>
          <w:sz w:val="20"/>
          <w:szCs w:val="20"/>
          <w:color w:val="auto"/>
        </w:rPr>
      </w:pPr>
    </w:p>
    <w:p>
      <w:pPr>
        <w:jc w:val="both"/>
        <w:ind w:firstLine="330"/>
        <w:spacing w:after="0" w:line="239" w:lineRule="auto"/>
        <w:rPr>
          <w:sz w:val="20"/>
          <w:szCs w:val="20"/>
          <w:color w:val="auto"/>
        </w:rPr>
      </w:pPr>
      <w:r>
        <w:rPr>
          <w:rFonts w:ascii="Arial" w:cs="Arial" w:eastAsia="Arial" w:hAnsi="Arial"/>
          <w:sz w:val="14"/>
          <w:szCs w:val="14"/>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Arial" w:cs="Arial" w:eastAsia="Arial" w:hAnsi="Arial"/>
          <w:sz w:val="14"/>
          <w:szCs w:val="14"/>
          <w:i w:val="1"/>
          <w:iCs w:val="1"/>
          <w:color w:val="auto"/>
        </w:rPr>
        <w:t>Summary of Reserve for Title Claim Losses</w:t>
      </w:r>
      <w:r>
        <w:rPr>
          <w:rFonts w:ascii="Arial" w:cs="Arial" w:eastAsia="Arial" w:hAnsi="Arial"/>
          <w:sz w:val="14"/>
          <w:szCs w:val="14"/>
          <w:color w:val="auto"/>
        </w:rPr>
        <w:t xml:space="preserve"> for further discussion.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65" w:lineRule="exact"/>
        <w:rPr>
          <w:sz w:val="20"/>
          <w:szCs w:val="20"/>
          <w:color w:val="auto"/>
        </w:rPr>
      </w:pPr>
    </w:p>
    <w:p>
      <w:pPr>
        <w:jc w:val="both"/>
        <w:ind w:firstLine="264"/>
        <w:spacing w:after="0" w:line="256" w:lineRule="auto"/>
        <w:rPr>
          <w:sz w:val="20"/>
          <w:szCs w:val="20"/>
          <w:color w:val="auto"/>
        </w:rPr>
      </w:pPr>
      <w:r>
        <w:rPr>
          <w:rFonts w:ascii="Arial" w:cs="Arial" w:eastAsia="Arial" w:hAnsi="Arial"/>
          <w:sz w:val="13"/>
          <w:szCs w:val="13"/>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$14 million and $13 million as of June 30, 2021 and December 31, 2020,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58" w:lineRule="exact"/>
        <w:rPr>
          <w:sz w:val="20"/>
          <w:szCs w:val="20"/>
          <w:color w:val="auto"/>
        </w:rPr>
      </w:pPr>
    </w:p>
    <w:p>
      <w:pPr>
        <w:jc w:val="both"/>
        <w:ind w:firstLine="290"/>
        <w:spacing w:after="0" w:line="220" w:lineRule="auto"/>
        <w:rPr>
          <w:sz w:val="20"/>
          <w:szCs w:val="20"/>
          <w:color w:val="auto"/>
        </w:rPr>
      </w:pPr>
      <w:r>
        <w:rPr>
          <w:rFonts w:ascii="Arial" w:cs="Arial" w:eastAsia="Arial" w:hAnsi="Arial"/>
          <w:sz w:val="15"/>
          <w:szCs w:val="15"/>
          <w:color w:val="auto"/>
        </w:rPr>
        <w:t xml:space="preserve">Two lawsuits have been filed related to FNF’s acquisition of F&amp;G. On August 4, 2020, a stockholder derivative lawsuit styled, </w:t>
      </w:r>
      <w:r>
        <w:rPr>
          <w:rFonts w:ascii="Arial" w:cs="Arial" w:eastAsia="Arial" w:hAnsi="Arial"/>
          <w:sz w:val="15"/>
          <w:szCs w:val="15"/>
          <w:i w:val="1"/>
          <w:iCs w:val="1"/>
          <w:color w:val="auto"/>
        </w:rPr>
        <w:t>City of Miami General Employees’ and Sanitation</w:t>
      </w:r>
      <w:r>
        <w:rPr>
          <w:rFonts w:ascii="Arial" w:cs="Arial" w:eastAsia="Arial" w:hAnsi="Arial"/>
          <w:sz w:val="15"/>
          <w:szCs w:val="15"/>
          <w:color w:val="auto"/>
        </w:rPr>
        <w:t xml:space="preserve"> </w:t>
      </w:r>
      <w:r>
        <w:rPr>
          <w:rFonts w:ascii="Arial" w:cs="Arial" w:eastAsia="Arial" w:hAnsi="Arial"/>
          <w:sz w:val="15"/>
          <w:szCs w:val="15"/>
          <w:i w:val="1"/>
          <w:iCs w:val="1"/>
          <w:color w:val="auto"/>
        </w:rPr>
        <w:t>Employees’ Retirement Trust v. Fidelity National Financial, et al.</w:t>
      </w:r>
      <w:r>
        <w:rPr>
          <w:rFonts w:ascii="Arial" w:cs="Arial" w:eastAsia="Arial" w:hAnsi="Arial"/>
          <w:sz w:val="15"/>
          <w:szCs w:val="15"/>
          <w:color w:val="auto"/>
        </w:rPr>
        <w:t>, was filed in the Court of Chancery of the State of Delaware against the Company, its Board of Directors and others alleging</w:t>
      </w:r>
      <w:r>
        <w:rPr>
          <w:rFonts w:ascii="Arial" w:cs="Arial" w:eastAsia="Arial" w:hAnsi="Arial"/>
          <w:sz w:val="15"/>
          <w:szCs w:val="15"/>
          <w:i w:val="1"/>
          <w:iCs w:val="1"/>
          <w:color w:val="auto"/>
        </w:rPr>
        <w:t xml:space="preserve"> </w:t>
      </w:r>
      <w:r>
        <w:rPr>
          <w:rFonts w:ascii="Arial" w:cs="Arial" w:eastAsia="Arial" w:hAnsi="Arial"/>
          <w:sz w:val="15"/>
          <w:szCs w:val="15"/>
          <w:color w:val="auto"/>
        </w:rPr>
        <w:t>breach of fiduciary duties as directors and officers relating to FNF’s acquisition of F&amp;G. Our Board of Directors (“Board”) has designated a Special Litigation Committee (the “SLC”) consisting of three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our shareholders, and what action we should take with respect to the lawsuit. The parties have agreed to stay the action until August 31, 2021, to allow sufficient time for the SLC to investigate the allegations and provide its evaluation.</w:t>
      </w:r>
    </w:p>
    <w:p>
      <w:pPr>
        <w:spacing w:after="0" w:line="168" w:lineRule="exact"/>
        <w:rPr>
          <w:sz w:val="20"/>
          <w:szCs w:val="20"/>
          <w:color w:val="auto"/>
        </w:rPr>
      </w:pPr>
    </w:p>
    <w:p>
      <w:pPr>
        <w:jc w:val="both"/>
        <w:ind w:firstLine="290"/>
        <w:spacing w:after="0" w:line="241" w:lineRule="auto"/>
        <w:rPr>
          <w:sz w:val="20"/>
          <w:szCs w:val="20"/>
          <w:color w:val="auto"/>
        </w:rPr>
      </w:pPr>
      <w:r>
        <w:rPr>
          <w:rFonts w:ascii="Arial" w:cs="Arial" w:eastAsia="Arial" w:hAnsi="Arial"/>
          <w:sz w:val="14"/>
          <w:szCs w:val="14"/>
          <w:color w:val="auto"/>
        </w:rPr>
        <w:t>On August 17, 2020, a lawsuit styled</w:t>
      </w:r>
      <w:r>
        <w:rPr>
          <w:rFonts w:ascii="Arial" w:cs="Arial" w:eastAsia="Arial" w:hAnsi="Arial"/>
          <w:sz w:val="14"/>
          <w:szCs w:val="14"/>
          <w:i w:val="1"/>
          <w:iCs w:val="1"/>
          <w:color w:val="auto"/>
        </w:rPr>
        <w:t>, In the Matter of FGL Holdings</w:t>
      </w:r>
      <w:r>
        <w:rPr>
          <w:rFonts w:ascii="Arial" w:cs="Arial" w:eastAsia="Arial" w:hAnsi="Arial"/>
          <w:sz w:val="14"/>
          <w:szCs w:val="14"/>
          <w:color w:val="auto"/>
        </w:rPr>
        <w:t>,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Discovery is ongoing. We do not believe the result in either case will have a material adverse effect on our financial condition.</w:t>
      </w:r>
    </w:p>
    <w:p>
      <w:pPr>
        <w:spacing w:after="0" w:line="166" w:lineRule="exact"/>
        <w:rPr>
          <w:sz w:val="20"/>
          <w:szCs w:val="20"/>
          <w:color w:val="auto"/>
        </w:rPr>
      </w:pPr>
    </w:p>
    <w:p>
      <w:pPr>
        <w:jc w:val="both"/>
        <w:ind w:firstLine="290"/>
        <w:spacing w:after="0" w:line="258" w:lineRule="auto"/>
        <w:rPr>
          <w:sz w:val="20"/>
          <w:szCs w:val="20"/>
          <w:color w:val="auto"/>
        </w:rPr>
      </w:pPr>
      <w:r>
        <w:rPr>
          <w:rFonts w:ascii="Arial" w:cs="Arial" w:eastAsia="Arial" w:hAnsi="Arial"/>
          <w:sz w:val="13"/>
          <w:szCs w:val="13"/>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 Commitments</w:t>
      </w:r>
    </w:p>
    <w:p>
      <w:pPr>
        <w:spacing w:after="0" w:line="69"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In our F&amp;G segment, we have unfunded investment commitments as of June 30, 2021 based upon the timing of when investments are executed compared to when the actual investments are funded, as some investments require that funding occur over a period of months or years. A summary of unfunded commitments by invested asset class as of June 30, 2021 is included below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8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801"/>
              <w:spacing w:after="0"/>
              <w:rPr>
                <w:sz w:val="20"/>
                <w:szCs w:val="20"/>
                <w:color w:val="auto"/>
              </w:rPr>
            </w:pPr>
            <w:r>
              <w:rPr>
                <w:rFonts w:ascii="Arial" w:cs="Arial" w:eastAsia="Arial" w:hAnsi="Arial"/>
                <w:sz w:val="12"/>
                <w:szCs w:val="12"/>
                <w:b w:val="1"/>
                <w:bCs w:val="1"/>
                <w:color w:val="auto"/>
              </w:rPr>
              <w:t>June 30, 2021</w:t>
            </w:r>
          </w:p>
        </w:tc>
      </w:tr>
      <w:tr>
        <w:trPr>
          <w:trHeight w:val="138"/>
        </w:trPr>
        <w:tc>
          <w:tcPr>
            <w:tcW w:w="88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Asset Type</w:t>
            </w:r>
          </w:p>
        </w:tc>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59"/>
        </w:trPr>
        <w:tc>
          <w:tcPr>
            <w:tcW w:w="8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Unconsolidated VIEs:</w:t>
            </w:r>
          </w:p>
        </w:tc>
        <w:tc>
          <w:tcPr>
            <w:tcW w:w="4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r>
      <w:tr>
        <w:trPr>
          <w:trHeight w:val="151"/>
        </w:trPr>
        <w:tc>
          <w:tcPr>
            <w:tcW w:w="8880" w:type="dxa"/>
            <w:vAlign w:val="bottom"/>
          </w:tcPr>
          <w:p>
            <w:pPr>
              <w:ind w:left="160"/>
              <w:spacing w:after="0"/>
              <w:rPr>
                <w:sz w:val="20"/>
                <w:szCs w:val="20"/>
                <w:color w:val="auto"/>
              </w:rPr>
            </w:pPr>
            <w:r>
              <w:rPr>
                <w:rFonts w:ascii="Arial" w:cs="Arial" w:eastAsia="Arial" w:hAnsi="Arial"/>
                <w:sz w:val="12"/>
                <w:szCs w:val="12"/>
                <w:color w:val="auto"/>
              </w:rPr>
              <w:t>Limited partnerships</w:t>
            </w:r>
          </w:p>
        </w:tc>
        <w:tc>
          <w:tcPr>
            <w:tcW w:w="460" w:type="dxa"/>
            <w:vAlign w:val="bottom"/>
          </w:tcPr>
          <w:p>
            <w:pPr>
              <w:jc w:val="right"/>
              <w:ind w:right="353"/>
              <w:spacing w:after="0"/>
              <w:rPr>
                <w:sz w:val="20"/>
                <w:szCs w:val="20"/>
                <w:color w:val="auto"/>
              </w:rPr>
            </w:pPr>
            <w:r>
              <w:rPr>
                <w:rFonts w:ascii="Arial" w:cs="Arial" w:eastAsia="Arial" w:hAnsi="Arial"/>
                <w:sz w:val="9"/>
                <w:szCs w:val="9"/>
                <w:color w:val="auto"/>
                <w:w w:val="78"/>
              </w:rPr>
              <w:t>$</w:t>
            </w:r>
          </w:p>
        </w:tc>
        <w:tc>
          <w:tcPr>
            <w:tcW w:w="1940" w:type="dxa"/>
            <w:vAlign w:val="bottom"/>
          </w:tcPr>
          <w:p>
            <w:pPr>
              <w:jc w:val="right"/>
              <w:ind w:right="1"/>
              <w:spacing w:after="0"/>
              <w:rPr>
                <w:sz w:val="20"/>
                <w:szCs w:val="20"/>
                <w:color w:val="auto"/>
              </w:rPr>
            </w:pPr>
            <w:r>
              <w:rPr>
                <w:rFonts w:ascii="Arial" w:cs="Arial" w:eastAsia="Arial" w:hAnsi="Arial"/>
                <w:sz w:val="12"/>
                <w:szCs w:val="12"/>
                <w:color w:val="auto"/>
              </w:rPr>
              <w:t>687</w:t>
            </w:r>
          </w:p>
        </w:tc>
      </w:tr>
      <w:tr>
        <w:trPr>
          <w:trHeight w:val="157"/>
        </w:trPr>
        <w:tc>
          <w:tcPr>
            <w:tcW w:w="8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Whole loans</w:t>
            </w:r>
          </w:p>
        </w:tc>
        <w:tc>
          <w:tcPr>
            <w:tcW w:w="46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478</w:t>
            </w:r>
          </w:p>
        </w:tc>
      </w:tr>
      <w:tr>
        <w:trPr>
          <w:trHeight w:val="151"/>
        </w:trPr>
        <w:tc>
          <w:tcPr>
            <w:tcW w:w="8880" w:type="dxa"/>
            <w:vAlign w:val="bottom"/>
          </w:tcPr>
          <w:p>
            <w:pPr>
              <w:ind w:left="160"/>
              <w:spacing w:after="0"/>
              <w:rPr>
                <w:sz w:val="20"/>
                <w:szCs w:val="20"/>
                <w:color w:val="auto"/>
              </w:rPr>
            </w:pPr>
            <w:r>
              <w:rPr>
                <w:rFonts w:ascii="Arial" w:cs="Arial" w:eastAsia="Arial" w:hAnsi="Arial"/>
                <w:sz w:val="12"/>
                <w:szCs w:val="12"/>
                <w:color w:val="auto"/>
              </w:rPr>
              <w:t>Fixed Maturity securities, ABS</w:t>
            </w:r>
          </w:p>
        </w:tc>
        <w:tc>
          <w:tcPr>
            <w:tcW w:w="460" w:type="dxa"/>
            <w:vAlign w:val="bottom"/>
          </w:tcPr>
          <w:p>
            <w:pPr>
              <w:spacing w:after="0"/>
              <w:rPr>
                <w:sz w:val="13"/>
                <w:szCs w:val="13"/>
                <w:color w:val="auto"/>
              </w:rPr>
            </w:pPr>
          </w:p>
        </w:tc>
        <w:tc>
          <w:tcPr>
            <w:tcW w:w="1940" w:type="dxa"/>
            <w:vAlign w:val="bottom"/>
          </w:tcPr>
          <w:p>
            <w:pPr>
              <w:jc w:val="right"/>
              <w:ind w:right="1"/>
              <w:spacing w:after="0"/>
              <w:rPr>
                <w:sz w:val="20"/>
                <w:szCs w:val="20"/>
                <w:color w:val="auto"/>
              </w:rPr>
            </w:pPr>
            <w:r>
              <w:rPr>
                <w:rFonts w:ascii="Arial" w:cs="Arial" w:eastAsia="Arial" w:hAnsi="Arial"/>
                <w:sz w:val="12"/>
                <w:szCs w:val="12"/>
                <w:color w:val="auto"/>
              </w:rPr>
              <w:t>147</w:t>
            </w:r>
          </w:p>
        </w:tc>
      </w:tr>
      <w:tr>
        <w:trPr>
          <w:trHeight w:val="157"/>
        </w:trPr>
        <w:tc>
          <w:tcPr>
            <w:tcW w:w="8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46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w:t>
            </w:r>
          </w:p>
        </w:tc>
      </w:tr>
      <w:tr>
        <w:trPr>
          <w:trHeight w:val="151"/>
        </w:trPr>
        <w:tc>
          <w:tcPr>
            <w:tcW w:w="8880" w:type="dxa"/>
            <w:vAlign w:val="bottom"/>
          </w:tcPr>
          <w:p>
            <w:pPr>
              <w:ind w:left="20"/>
              <w:spacing w:after="0"/>
              <w:rPr>
                <w:sz w:val="20"/>
                <w:szCs w:val="20"/>
                <w:color w:val="auto"/>
              </w:rPr>
            </w:pPr>
            <w:r>
              <w:rPr>
                <w:rFonts w:ascii="Arial" w:cs="Arial" w:eastAsia="Arial" w:hAnsi="Arial"/>
                <w:sz w:val="12"/>
                <w:szCs w:val="12"/>
                <w:color w:val="auto"/>
              </w:rPr>
              <w:t>Commercial mortgage loans</w:t>
            </w:r>
          </w:p>
        </w:tc>
        <w:tc>
          <w:tcPr>
            <w:tcW w:w="460" w:type="dxa"/>
            <w:vAlign w:val="bottom"/>
          </w:tcPr>
          <w:p>
            <w:pPr>
              <w:spacing w:after="0"/>
              <w:rPr>
                <w:sz w:val="13"/>
                <w:szCs w:val="13"/>
                <w:color w:val="auto"/>
              </w:rPr>
            </w:pPr>
          </w:p>
        </w:tc>
        <w:tc>
          <w:tcPr>
            <w:tcW w:w="1940" w:type="dxa"/>
            <w:vAlign w:val="bottom"/>
          </w:tcPr>
          <w:p>
            <w:pPr>
              <w:jc w:val="right"/>
              <w:ind w:right="1"/>
              <w:spacing w:after="0"/>
              <w:rPr>
                <w:sz w:val="20"/>
                <w:szCs w:val="20"/>
                <w:color w:val="auto"/>
              </w:rPr>
            </w:pPr>
            <w:r>
              <w:rPr>
                <w:rFonts w:ascii="Arial" w:cs="Arial" w:eastAsia="Arial" w:hAnsi="Arial"/>
                <w:sz w:val="12"/>
                <w:szCs w:val="12"/>
                <w:color w:val="auto"/>
              </w:rPr>
              <w:t>34</w:t>
            </w:r>
          </w:p>
        </w:tc>
      </w:tr>
      <w:tr>
        <w:trPr>
          <w:trHeight w:val="157"/>
        </w:trPr>
        <w:tc>
          <w:tcPr>
            <w:tcW w:w="8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Bank loans</w:t>
            </w:r>
          </w:p>
        </w:tc>
        <w:tc>
          <w:tcPr>
            <w:tcW w:w="46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r>
      <w:tr>
        <w:trPr>
          <w:trHeight w:val="151"/>
        </w:trPr>
        <w:tc>
          <w:tcPr>
            <w:tcW w:w="888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460" w:type="dxa"/>
            <w:vAlign w:val="bottom"/>
          </w:tcPr>
          <w:p>
            <w:pPr>
              <w:spacing w:after="0"/>
              <w:rPr>
                <w:sz w:val="13"/>
                <w:szCs w:val="13"/>
                <w:color w:val="auto"/>
              </w:rPr>
            </w:pPr>
          </w:p>
        </w:tc>
        <w:tc>
          <w:tcPr>
            <w:tcW w:w="1940" w:type="dxa"/>
            <w:vAlign w:val="bottom"/>
          </w:tcPr>
          <w:p>
            <w:pPr>
              <w:jc w:val="right"/>
              <w:ind w:right="1"/>
              <w:spacing w:after="0"/>
              <w:rPr>
                <w:sz w:val="20"/>
                <w:szCs w:val="20"/>
                <w:color w:val="auto"/>
              </w:rPr>
            </w:pPr>
            <w:r>
              <w:rPr>
                <w:rFonts w:ascii="Arial" w:cs="Arial" w:eastAsia="Arial" w:hAnsi="Arial"/>
                <w:sz w:val="12"/>
                <w:szCs w:val="12"/>
                <w:color w:val="auto"/>
              </w:rPr>
              <w:t>77</w:t>
            </w:r>
          </w:p>
        </w:tc>
      </w:tr>
      <w:tr>
        <w:trPr>
          <w:trHeight w:val="154"/>
        </w:trPr>
        <w:tc>
          <w:tcPr>
            <w:tcW w:w="8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invested assets</w:t>
            </w:r>
          </w:p>
        </w:tc>
        <w:tc>
          <w:tcPr>
            <w:tcW w:w="4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r>
      <w:tr>
        <w:trPr>
          <w:trHeight w:val="148"/>
        </w:trPr>
        <w:tc>
          <w:tcPr>
            <w:tcW w:w="888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460" w:type="dxa"/>
            <w:vAlign w:val="bottom"/>
            <w:tcBorders>
              <w:bottom w:val="single" w:sz="8" w:color="auto"/>
            </w:tcBorders>
          </w:tcPr>
          <w:p>
            <w:pPr>
              <w:jc w:val="right"/>
              <w:ind w:right="353"/>
              <w:spacing w:after="0"/>
              <w:rPr>
                <w:sz w:val="20"/>
                <w:szCs w:val="20"/>
                <w:color w:val="auto"/>
              </w:rPr>
            </w:pPr>
            <w:r>
              <w:rPr>
                <w:rFonts w:ascii="Arial" w:cs="Arial" w:eastAsia="Arial" w:hAnsi="Arial"/>
                <w:sz w:val="9"/>
                <w:szCs w:val="9"/>
                <w:color w:val="auto"/>
                <w:w w:val="78"/>
              </w:rPr>
              <w:t>$</w:t>
            </w:r>
          </w:p>
        </w:tc>
        <w:tc>
          <w:tcPr>
            <w:tcW w:w="1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1,516</w:t>
            </w:r>
          </w:p>
        </w:tc>
      </w:tr>
      <w:tr>
        <w:trPr>
          <w:trHeight w:val="20"/>
        </w:trPr>
        <w:tc>
          <w:tcPr>
            <w:tcW w:w="8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G — Dividends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On August 3, 2021, our Board of Directors declared cash dividends of $0.40 per share, payable on September 30, 2021, to FNF common shareholders of record as of September 16, 2021.</w:t>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H — Segment Information</w:t>
      </w:r>
    </w:p>
    <w:p>
      <w:pPr>
        <w:spacing w:after="0" w:line="95"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Summarized financial information concerning our reportable segments is shown in the following tables. On June 1, 2020, we completed our acquisition of F&amp;G. As a result, the tables for the three and six months ended June 30, 2020 present one month of F&amp;G activity.</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three months ended June 30,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8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4"/>
        </w:trPr>
        <w:tc>
          <w:tcPr>
            <w:tcW w:w="7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right"/>
              <w:ind w:right="143"/>
              <w:spacing w:after="0"/>
              <w:rPr>
                <w:sz w:val="20"/>
                <w:szCs w:val="20"/>
                <w:color w:val="auto"/>
              </w:rPr>
            </w:pPr>
            <w:r>
              <w:rPr>
                <w:rFonts w:ascii="Arial" w:cs="Arial" w:eastAsia="Arial" w:hAnsi="Arial"/>
                <w:sz w:val="10"/>
                <w:szCs w:val="10"/>
                <w:color w:val="auto"/>
              </w:rPr>
              <w:t>(In millions)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2,160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2,160</w:t>
            </w:r>
          </w:p>
        </w:tc>
      </w:tr>
      <w:tr>
        <w:trPr>
          <w:trHeight w:val="15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839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62</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948</w:t>
            </w:r>
          </w:p>
        </w:tc>
      </w:tr>
      <w:tr>
        <w:trPr>
          <w:trHeight w:val="147"/>
        </w:trPr>
        <w:tc>
          <w:tcPr>
            <w:tcW w:w="73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2,999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3,108</w:t>
            </w:r>
          </w:p>
        </w:tc>
      </w:tr>
      <w:tr>
        <w:trPr>
          <w:trHeight w:val="15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740</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746</w:t>
            </w:r>
          </w:p>
        </w:tc>
      </w:tr>
      <w:tr>
        <w:trPr>
          <w:trHeight w:val="147"/>
        </w:trPr>
        <w:tc>
          <w:tcPr>
            <w:tcW w:w="73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Total revenues</w:t>
            </w:r>
          </w:p>
        </w:tc>
        <w:tc>
          <w:tcPr>
            <w:tcW w:w="5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2,996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802</w:t>
            </w:r>
          </w:p>
        </w:tc>
        <w:tc>
          <w:tcPr>
            <w:tcW w:w="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3,854</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65</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105</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28</w:t>
            </w:r>
          </w:p>
        </w:tc>
      </w:tr>
      <w:tr>
        <w:trPr>
          <w:trHeight w:val="152"/>
        </w:trPr>
        <w:tc>
          <w:tcPr>
            <w:tcW w:w="738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(loss)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644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97</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713</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160</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176</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484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76</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537</w:t>
            </w:r>
          </w:p>
        </w:tc>
      </w:tr>
      <w:tr>
        <w:trPr>
          <w:trHeight w:val="154"/>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14</w:t>
            </w:r>
          </w:p>
        </w:tc>
      </w:tr>
      <w:tr>
        <w:trPr>
          <w:trHeight w:val="147"/>
        </w:trPr>
        <w:tc>
          <w:tcPr>
            <w:tcW w:w="7380" w:type="dxa"/>
            <w:vAlign w:val="bottom"/>
          </w:tcPr>
          <w:p>
            <w:pPr>
              <w:ind w:left="20"/>
              <w:spacing w:after="0"/>
              <w:rPr>
                <w:sz w:val="20"/>
                <w:szCs w:val="20"/>
                <w:color w:val="auto"/>
              </w:rPr>
            </w:pPr>
            <w:r>
              <w:rPr>
                <w:rFonts w:ascii="Arial" w:cs="Arial" w:eastAsia="Arial" w:hAnsi="Arial"/>
                <w:sz w:val="12"/>
                <w:szCs w:val="12"/>
                <w:color w:val="auto"/>
              </w:rPr>
              <w:t>Net earnings (loss) from continuing operations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498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76</w:t>
            </w: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551</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73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9,565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43,206</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1,749</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54,520</w:t>
            </w:r>
          </w:p>
        </w:tc>
      </w:tr>
      <w:tr>
        <w:trPr>
          <w:trHeight w:val="150"/>
        </w:trPr>
        <w:tc>
          <w:tcPr>
            <w:tcW w:w="738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1,756</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4,506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three months ended June 30,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8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4"/>
        </w:trPr>
        <w:tc>
          <w:tcPr>
            <w:tcW w:w="7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ind w:left="480"/>
              <w:spacing w:after="0"/>
              <w:rPr>
                <w:sz w:val="20"/>
                <w:szCs w:val="20"/>
                <w:color w:val="auto"/>
              </w:rPr>
            </w:pPr>
            <w:r>
              <w:rPr>
                <w:rFonts w:ascii="Arial" w:cs="Arial" w:eastAsia="Arial" w:hAnsi="Arial"/>
                <w:sz w:val="10"/>
                <w:szCs w:val="10"/>
                <w:color w:val="auto"/>
              </w:rPr>
              <w:t>(In millions)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1,359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1,359</w:t>
            </w:r>
          </w:p>
        </w:tc>
      </w:tr>
      <w:tr>
        <w:trPr>
          <w:trHeight w:val="15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747</w:t>
            </w:r>
          </w:p>
        </w:tc>
      </w:tr>
      <w:tr>
        <w:trPr>
          <w:trHeight w:val="147"/>
        </w:trPr>
        <w:tc>
          <w:tcPr>
            <w:tcW w:w="73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2,014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2,106</w:t>
            </w:r>
          </w:p>
        </w:tc>
      </w:tr>
      <w:tr>
        <w:trPr>
          <w:trHeight w:val="152"/>
        </w:trPr>
        <w:tc>
          <w:tcPr>
            <w:tcW w:w="7380" w:type="dxa"/>
            <w:vAlign w:val="bottom"/>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210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104</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314</w:t>
            </w:r>
          </w:p>
        </w:tc>
      </w:tr>
      <w:tr>
        <w:trPr>
          <w:trHeight w:val="147"/>
        </w:trPr>
        <w:tc>
          <w:tcPr>
            <w:tcW w:w="738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color w:val="auto"/>
              </w:rPr>
              <w:t>Total revenues</w:t>
            </w: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2,224</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124</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2,420</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46</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21</w:t>
            </w:r>
          </w:p>
        </w:tc>
      </w:tr>
      <w:tr>
        <w:trPr>
          <w:trHeight w:val="152"/>
        </w:trPr>
        <w:tc>
          <w:tcPr>
            <w:tcW w:w="738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528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480"/>
              <w:spacing w:after="0"/>
              <w:rPr>
                <w:sz w:val="20"/>
                <w:szCs w:val="20"/>
                <w:color w:val="auto"/>
              </w:rPr>
            </w:pPr>
            <w:r>
              <w:rPr>
                <w:rFonts w:ascii="Arial" w:cs="Arial" w:eastAsia="Arial" w:hAnsi="Arial"/>
                <w:sz w:val="12"/>
                <w:szCs w:val="12"/>
                <w:color w:val="auto"/>
                <w:w w:val="93"/>
              </w:rPr>
              <w:t>(58)</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401</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130</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93"/>
              </w:rPr>
              <w:t>(14)</w:t>
            </w: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89</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398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ind w:left="480"/>
              <w:spacing w:after="0"/>
              <w:rPr>
                <w:sz w:val="20"/>
                <w:szCs w:val="20"/>
                <w:color w:val="auto"/>
              </w:rPr>
            </w:pPr>
            <w:r>
              <w:rPr>
                <w:rFonts w:ascii="Arial" w:cs="Arial" w:eastAsia="Arial" w:hAnsi="Arial"/>
                <w:sz w:val="12"/>
                <w:szCs w:val="12"/>
                <w:color w:val="auto"/>
                <w:w w:val="93"/>
              </w:rPr>
              <w:t>(44)</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312</w:t>
            </w:r>
          </w:p>
        </w:tc>
      </w:tr>
      <w:tr>
        <w:trPr>
          <w:trHeight w:val="154"/>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(loss)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1</w:t>
            </w:r>
          </w:p>
        </w:tc>
      </w:tr>
      <w:tr>
        <w:trPr>
          <w:trHeight w:val="147"/>
        </w:trPr>
        <w:tc>
          <w:tcPr>
            <w:tcW w:w="7380" w:type="dxa"/>
            <w:vAlign w:val="bottom"/>
          </w:tcPr>
          <w:p>
            <w:pPr>
              <w:ind w:left="20"/>
              <w:spacing w:after="0"/>
              <w:rPr>
                <w:sz w:val="20"/>
                <w:szCs w:val="20"/>
                <w:color w:val="auto"/>
              </w:rPr>
            </w:pPr>
            <w:r>
              <w:rPr>
                <w:rFonts w:ascii="Arial" w:cs="Arial" w:eastAsia="Arial" w:hAnsi="Arial"/>
                <w:sz w:val="12"/>
                <w:szCs w:val="12"/>
                <w:color w:val="auto"/>
              </w:rPr>
              <w:t>Net earnings (loss) from continuing operations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400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w w:val="93"/>
              </w:rPr>
              <w:t>(44)</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313</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73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8,875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38,311</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48,001</w:t>
            </w:r>
          </w:p>
        </w:tc>
      </w:tr>
      <w:tr>
        <w:trPr>
          <w:trHeight w:val="150"/>
        </w:trPr>
        <w:tc>
          <w:tcPr>
            <w:tcW w:w="738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1,725</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265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4,452</w:t>
            </w:r>
          </w:p>
        </w:tc>
      </w:tr>
    </w:tbl>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six months ended June 30,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8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4"/>
        </w:trPr>
        <w:tc>
          <w:tcPr>
            <w:tcW w:w="7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right"/>
              <w:ind w:right="143"/>
              <w:spacing w:after="0"/>
              <w:rPr>
                <w:sz w:val="20"/>
                <w:szCs w:val="20"/>
                <w:color w:val="auto"/>
              </w:rPr>
            </w:pPr>
            <w:r>
              <w:rPr>
                <w:rFonts w:ascii="Arial" w:cs="Arial" w:eastAsia="Arial" w:hAnsi="Arial"/>
                <w:sz w:val="10"/>
                <w:szCs w:val="10"/>
                <w:color w:val="auto"/>
              </w:rPr>
              <w:t>(In millions)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3,964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3,964</w:t>
            </w:r>
          </w:p>
        </w:tc>
      </w:tr>
      <w:tr>
        <w:trPr>
          <w:trHeight w:val="15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1,584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126</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1,799</w:t>
            </w:r>
          </w:p>
        </w:tc>
      </w:tr>
      <w:tr>
        <w:trPr>
          <w:trHeight w:val="147"/>
        </w:trPr>
        <w:tc>
          <w:tcPr>
            <w:tcW w:w="73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5,548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126</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5,763</w:t>
            </w:r>
          </w:p>
        </w:tc>
      </w:tr>
      <w:tr>
        <w:trPr>
          <w:trHeight w:val="15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1,215</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1,191</w:t>
            </w:r>
          </w:p>
        </w:tc>
      </w:tr>
      <w:tr>
        <w:trPr>
          <w:trHeight w:val="147"/>
        </w:trPr>
        <w:tc>
          <w:tcPr>
            <w:tcW w:w="73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Total revenues</w:t>
            </w:r>
          </w:p>
        </w:tc>
        <w:tc>
          <w:tcPr>
            <w:tcW w:w="5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5,515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1,341</w:t>
            </w:r>
          </w:p>
        </w:tc>
        <w:tc>
          <w:tcPr>
            <w:tcW w:w="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6,954</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209</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288</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56</w:t>
            </w:r>
          </w:p>
        </w:tc>
      </w:tr>
      <w:tr>
        <w:trPr>
          <w:trHeight w:val="152"/>
        </w:trPr>
        <w:tc>
          <w:tcPr>
            <w:tcW w:w="738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(loss)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1,083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453</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1,470</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93</w:t>
            </w: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342</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820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360</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1,128</w:t>
            </w:r>
          </w:p>
        </w:tc>
      </w:tr>
      <w:tr>
        <w:trPr>
          <w:trHeight w:val="154"/>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27</w:t>
            </w:r>
          </w:p>
        </w:tc>
      </w:tr>
      <w:tr>
        <w:trPr>
          <w:trHeight w:val="147"/>
        </w:trPr>
        <w:tc>
          <w:tcPr>
            <w:tcW w:w="7380" w:type="dxa"/>
            <w:vAlign w:val="bottom"/>
          </w:tcPr>
          <w:p>
            <w:pPr>
              <w:ind w:left="20"/>
              <w:spacing w:after="0"/>
              <w:rPr>
                <w:sz w:val="20"/>
                <w:szCs w:val="20"/>
                <w:color w:val="auto"/>
              </w:rPr>
            </w:pPr>
            <w:r>
              <w:rPr>
                <w:rFonts w:ascii="Arial" w:cs="Arial" w:eastAsia="Arial" w:hAnsi="Arial"/>
                <w:sz w:val="12"/>
                <w:szCs w:val="12"/>
                <w:color w:val="auto"/>
              </w:rPr>
              <w:t>Net earnings (loss) from continuing operations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842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360</w:t>
            </w: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1,155</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73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9,565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43,206</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1,749</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54,520</w:t>
            </w:r>
          </w:p>
        </w:tc>
      </w:tr>
      <w:tr>
        <w:trPr>
          <w:trHeight w:val="150"/>
        </w:trPr>
        <w:tc>
          <w:tcPr>
            <w:tcW w:w="738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1,756</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4,506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and for the six months ended June 30,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8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Title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F&amp;G</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Corporate and Other</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r>
      <w:tr>
        <w:trPr>
          <w:trHeight w:val="134"/>
        </w:trPr>
        <w:tc>
          <w:tcPr>
            <w:tcW w:w="7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480"/>
              <w:spacing w:after="0"/>
              <w:rPr>
                <w:sz w:val="20"/>
                <w:szCs w:val="20"/>
                <w:color w:val="auto"/>
              </w:rPr>
            </w:pPr>
            <w:r>
              <w:rPr>
                <w:rFonts w:ascii="Arial" w:cs="Arial" w:eastAsia="Arial" w:hAnsi="Arial"/>
                <w:sz w:val="10"/>
                <w:szCs w:val="10"/>
                <w:color w:val="auto"/>
              </w:rPr>
              <w:t>(In millions)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2,637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2,637</w:t>
            </w:r>
          </w:p>
        </w:tc>
      </w:tr>
      <w:tr>
        <w:trPr>
          <w:trHeight w:val="15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1,265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w:t>
            </w: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1,348</w:t>
            </w:r>
          </w:p>
        </w:tc>
      </w:tr>
      <w:tr>
        <w:trPr>
          <w:trHeight w:val="147"/>
        </w:trPr>
        <w:tc>
          <w:tcPr>
            <w:tcW w:w="73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Revenues from external customers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3,902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3,985</w:t>
            </w:r>
          </w:p>
        </w:tc>
      </w:tr>
      <w:tr>
        <w:trPr>
          <w:trHeight w:val="15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investment income, including recognized gains and losses, net</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104</w:t>
            </w: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47</w:t>
            </w:r>
          </w:p>
        </w:tc>
      </w:tr>
      <w:tr>
        <w:trPr>
          <w:trHeight w:val="147"/>
        </w:trPr>
        <w:tc>
          <w:tcPr>
            <w:tcW w:w="73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Total revenues</w:t>
            </w:r>
          </w:p>
        </w:tc>
        <w:tc>
          <w:tcPr>
            <w:tcW w:w="5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3,847</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124</w:t>
            </w:r>
          </w:p>
        </w:tc>
        <w:tc>
          <w:tcPr>
            <w:tcW w:w="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4,032</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89</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33</w:t>
            </w:r>
          </w:p>
        </w:tc>
      </w:tr>
      <w:tr>
        <w:trPr>
          <w:trHeight w:val="152"/>
        </w:trPr>
        <w:tc>
          <w:tcPr>
            <w:tcW w:w="7380" w:type="dxa"/>
            <w:vAlign w:val="bottom"/>
          </w:tcPr>
          <w:p>
            <w:pPr>
              <w:ind w:left="20"/>
              <w:spacing w:after="0"/>
              <w:rPr>
                <w:sz w:val="20"/>
                <w:szCs w:val="20"/>
                <w:color w:val="auto"/>
              </w:rPr>
            </w:pPr>
            <w:r>
              <w:rPr>
                <w:rFonts w:ascii="Arial" w:cs="Arial" w:eastAsia="Arial" w:hAnsi="Arial"/>
                <w:sz w:val="12"/>
                <w:szCs w:val="12"/>
                <w:color w:val="auto"/>
              </w:rPr>
              <w:t>Earnings (loss) from continuing operations before income taxes and equity in earnings of unconsolidated affiliates</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475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480"/>
              <w:spacing w:after="0"/>
              <w:rPr>
                <w:sz w:val="20"/>
                <w:szCs w:val="20"/>
                <w:color w:val="auto"/>
              </w:rPr>
            </w:pPr>
            <w:r>
              <w:rPr>
                <w:rFonts w:ascii="Arial" w:cs="Arial" w:eastAsia="Arial" w:hAnsi="Arial"/>
                <w:sz w:val="12"/>
                <w:szCs w:val="12"/>
                <w:color w:val="auto"/>
                <w:w w:val="93"/>
              </w:rPr>
              <w:t>(58)</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315</w:t>
            </w:r>
          </w:p>
        </w:tc>
      </w:tr>
      <w:tr>
        <w:trPr>
          <w:trHeight w:val="156"/>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93"/>
              </w:rPr>
              <w:t>(14)</w:t>
            </w:r>
          </w:p>
        </w:tc>
        <w:tc>
          <w:tcPr>
            <w:tcW w:w="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61</w:t>
            </w:r>
          </w:p>
        </w:tc>
      </w:tr>
      <w:tr>
        <w:trPr>
          <w:trHeight w:val="143"/>
        </w:trPr>
        <w:tc>
          <w:tcPr>
            <w:tcW w:w="7380" w:type="dxa"/>
            <w:vAlign w:val="bottom"/>
          </w:tcPr>
          <w:p>
            <w:pPr>
              <w:ind w:left="20"/>
              <w:spacing w:after="0" w:line="135" w:lineRule="exact"/>
              <w:rPr>
                <w:sz w:val="20"/>
                <w:szCs w:val="20"/>
                <w:color w:val="auto"/>
              </w:rPr>
            </w:pPr>
            <w:r>
              <w:rPr>
                <w:rFonts w:ascii="Arial" w:cs="Arial" w:eastAsia="Arial" w:hAnsi="Arial"/>
                <w:sz w:val="12"/>
                <w:szCs w:val="12"/>
                <w:color w:val="auto"/>
              </w:rPr>
              <w:t>Earnings (loss) from continuing operations before equity in earnings (loss) of unconsolidated affiliates</w:t>
            </w:r>
          </w:p>
        </w:tc>
        <w:tc>
          <w:tcPr>
            <w:tcW w:w="580" w:type="dxa"/>
            <w:vAlign w:val="bottom"/>
          </w:tcPr>
          <w:p>
            <w:pPr>
              <w:spacing w:after="0"/>
              <w:rPr>
                <w:sz w:val="12"/>
                <w:szCs w:val="12"/>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ind w:left="480"/>
              <w:spacing w:after="0"/>
              <w:rPr>
                <w:sz w:val="20"/>
                <w:szCs w:val="20"/>
                <w:color w:val="auto"/>
              </w:rPr>
            </w:pPr>
            <w:r>
              <w:rPr>
                <w:rFonts w:ascii="Arial" w:cs="Arial" w:eastAsia="Arial" w:hAnsi="Arial"/>
                <w:sz w:val="12"/>
                <w:szCs w:val="12"/>
                <w:color w:val="auto"/>
                <w:w w:val="93"/>
              </w:rPr>
              <w:t>(44)</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254</w:t>
            </w:r>
          </w:p>
        </w:tc>
      </w:tr>
      <w:tr>
        <w:trPr>
          <w:trHeight w:val="154"/>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(loss)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w:t>
            </w:r>
          </w:p>
        </w:tc>
      </w:tr>
      <w:tr>
        <w:trPr>
          <w:trHeight w:val="147"/>
        </w:trPr>
        <w:tc>
          <w:tcPr>
            <w:tcW w:w="7380" w:type="dxa"/>
            <w:vAlign w:val="bottom"/>
          </w:tcPr>
          <w:p>
            <w:pPr>
              <w:ind w:left="20"/>
              <w:spacing w:after="0"/>
              <w:rPr>
                <w:sz w:val="20"/>
                <w:szCs w:val="20"/>
                <w:color w:val="auto"/>
              </w:rPr>
            </w:pPr>
            <w:r>
              <w:rPr>
                <w:rFonts w:ascii="Arial" w:cs="Arial" w:eastAsia="Arial" w:hAnsi="Arial"/>
                <w:sz w:val="12"/>
                <w:szCs w:val="12"/>
                <w:color w:val="auto"/>
              </w:rPr>
              <w:t>Net earnings (loss)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367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w w:val="93"/>
              </w:rPr>
              <w:t>(44)</w:t>
            </w:r>
          </w:p>
        </w:tc>
        <w:tc>
          <w:tcPr>
            <w:tcW w:w="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256</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73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Assets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6"/>
              </w:rPr>
              <w:t>8,875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38,311</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48,001</w:t>
            </w:r>
          </w:p>
        </w:tc>
      </w:tr>
      <w:tr>
        <w:trPr>
          <w:trHeight w:val="150"/>
        </w:trPr>
        <w:tc>
          <w:tcPr>
            <w:tcW w:w="7380" w:type="dxa"/>
            <w:vAlign w:val="bottom"/>
          </w:tcPr>
          <w:p>
            <w:pPr>
              <w:ind w:left="20"/>
              <w:spacing w:after="0"/>
              <w:rPr>
                <w:sz w:val="20"/>
                <w:szCs w:val="20"/>
                <w:color w:val="auto"/>
              </w:rPr>
            </w:pPr>
            <w:r>
              <w:rPr>
                <w:rFonts w:ascii="Arial" w:cs="Arial" w:eastAsia="Arial" w:hAnsi="Arial"/>
                <w:sz w:val="12"/>
                <w:szCs w:val="12"/>
                <w:color w:val="auto"/>
              </w:rPr>
              <w:t>Goodwill</w:t>
            </w:r>
          </w:p>
        </w:tc>
        <w:tc>
          <w:tcPr>
            <w:tcW w:w="5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2,462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1,725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265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b w:val="1"/>
                <w:bCs w:val="1"/>
                <w:color w:val="auto"/>
              </w:rPr>
              <w:t>4,452</w:t>
            </w:r>
          </w:p>
        </w:tc>
      </w:tr>
    </w:tbl>
    <w:p>
      <w:pPr>
        <w:spacing w:after="0" w:line="3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activities in our segments include the following:</w:t>
      </w:r>
    </w:p>
    <w:p>
      <w:pPr>
        <w:spacing w:after="0" w:line="80" w:lineRule="exact"/>
        <w:rPr>
          <w:sz w:val="20"/>
          <w:szCs w:val="20"/>
          <w:color w:val="auto"/>
        </w:rPr>
      </w:pPr>
    </w:p>
    <w:p>
      <w:pPr>
        <w:jc w:val="both"/>
        <w:ind w:left="540" w:hanging="334"/>
        <w:spacing w:after="0" w:line="281" w:lineRule="auto"/>
        <w:tabs>
          <w:tab w:leader="none" w:pos="53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Title. </w:t>
      </w:r>
      <w:r>
        <w:rPr>
          <w:rFonts w:ascii="Arial" w:cs="Arial" w:eastAsia="Arial" w:hAnsi="Arial"/>
          <w:sz w:val="14"/>
          <w:szCs w:val="14"/>
          <w:color w:val="auto"/>
        </w:rPr>
        <w:t>This segment consists of the operations of our title insurance underwriters and related businesses. This segment provides core title insurance and escrow and other title-related</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3" w:lineRule="exact"/>
        <w:rPr>
          <w:rFonts w:ascii="Arial" w:cs="Arial" w:eastAsia="Arial" w:hAnsi="Arial"/>
          <w:sz w:val="14"/>
          <w:szCs w:val="14"/>
          <w:color w:val="auto"/>
        </w:rPr>
      </w:pPr>
    </w:p>
    <w:p>
      <w:pPr>
        <w:ind w:left="540" w:hanging="334"/>
        <w:spacing w:after="0" w:line="264" w:lineRule="auto"/>
        <w:tabs>
          <w:tab w:leader="none" w:pos="536"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F&amp;G</w:t>
      </w:r>
      <w:r>
        <w:rPr>
          <w:rFonts w:ascii="Arial" w:cs="Arial" w:eastAsia="Arial" w:hAnsi="Arial"/>
          <w:sz w:val="15"/>
          <w:szCs w:val="15"/>
          <w:color w:val="auto"/>
        </w:rPr>
        <w:t>. This segment consists of operations of our annuities and life insurance related businesses. This segment issues a broad portfolio of deferred annuities (fixed index and fixed rate</w:t>
      </w:r>
      <w:r>
        <w:rPr>
          <w:rFonts w:ascii="Arial" w:cs="Arial" w:eastAsia="Arial" w:hAnsi="Arial"/>
          <w:sz w:val="15"/>
          <w:szCs w:val="15"/>
          <w:i w:val="1"/>
          <w:iCs w:val="1"/>
          <w:color w:val="auto"/>
        </w:rPr>
        <w:t xml:space="preserve"> </w:t>
      </w:r>
      <w:r>
        <w:rPr>
          <w:rFonts w:ascii="Arial" w:cs="Arial" w:eastAsia="Arial" w:hAnsi="Arial"/>
          <w:sz w:val="15"/>
          <w:szCs w:val="15"/>
          <w:color w:val="auto"/>
        </w:rPr>
        <w:t>annuities), immediate annuities and indexed universal life insurance.</w:t>
      </w:r>
    </w:p>
    <w:p>
      <w:pPr>
        <w:spacing w:after="0" w:line="103" w:lineRule="exact"/>
        <w:rPr>
          <w:rFonts w:ascii="Arial" w:cs="Arial" w:eastAsia="Arial" w:hAnsi="Arial"/>
          <w:sz w:val="15"/>
          <w:szCs w:val="15"/>
          <w:color w:val="auto"/>
        </w:rPr>
      </w:pPr>
    </w:p>
    <w:p>
      <w:pPr>
        <w:ind w:left="540" w:hanging="334"/>
        <w:spacing w:after="0" w:line="341" w:lineRule="auto"/>
        <w:tabs>
          <w:tab w:leader="none" w:pos="536"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This segment consists of the operations of the parent holding company, our real estate technology subsidiaries and our remaining real estate brokerage</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businesses. This segment also includes certain other unallocated corporate overhead expenses and eliminations of revenues and expenses between it and our Title segment.</w:t>
      </w: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I — Supplemental Cash Flow Information</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supplemental cash flow information is provided with respect to certain cash payment and non-cash investing and financing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2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40" w:type="dxa"/>
            <w:vAlign w:val="bottom"/>
            <w:gridSpan w:val="4"/>
          </w:tcPr>
          <w:p>
            <w:pPr>
              <w:jc w:val="right"/>
              <w:ind w:right="192"/>
              <w:spacing w:after="0"/>
              <w:rPr>
                <w:sz w:val="20"/>
                <w:szCs w:val="20"/>
                <w:color w:val="auto"/>
              </w:rPr>
            </w:pPr>
            <w:r>
              <w:rPr>
                <w:rFonts w:ascii="Arial" w:cs="Arial" w:eastAsia="Arial" w:hAnsi="Arial"/>
                <w:sz w:val="12"/>
                <w:szCs w:val="12"/>
                <w:b w:val="1"/>
                <w:bCs w:val="1"/>
                <w:color w:val="auto"/>
              </w:rPr>
              <w:t>Six months ended June 30,</w:t>
            </w:r>
          </w:p>
        </w:tc>
        <w:tc>
          <w:tcPr>
            <w:tcW w:w="400" w:type="dxa"/>
            <w:vAlign w:val="bottom"/>
          </w:tcPr>
          <w:p>
            <w:pPr>
              <w:spacing w:after="0"/>
              <w:rPr>
                <w:sz w:val="13"/>
                <w:szCs w:val="13"/>
                <w:color w:val="auto"/>
              </w:rPr>
            </w:pPr>
          </w:p>
        </w:tc>
      </w:tr>
      <w:tr>
        <w:trPr>
          <w:trHeight w:val="155"/>
        </w:trPr>
        <w:tc>
          <w:tcPr>
            <w:tcW w:w="5260" w:type="dxa"/>
            <w:vAlign w:val="bottom"/>
          </w:tcPr>
          <w:p>
            <w:pPr>
              <w:spacing w:after="0"/>
              <w:rPr>
                <w:sz w:val="13"/>
                <w:szCs w:val="13"/>
                <w:color w:val="auto"/>
              </w:rPr>
            </w:pPr>
          </w:p>
        </w:tc>
        <w:tc>
          <w:tcPr>
            <w:tcW w:w="4240" w:type="dxa"/>
            <w:vAlign w:val="bottom"/>
            <w:gridSpan w:val="2"/>
          </w:tcPr>
          <w:p>
            <w:pPr>
              <w:jc w:val="right"/>
              <w:ind w:right="61"/>
              <w:spacing w:after="0"/>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3"/>
                <w:szCs w:val="13"/>
                <w:color w:val="auto"/>
              </w:rPr>
            </w:pPr>
          </w:p>
        </w:tc>
      </w:tr>
      <w:tr>
        <w:trPr>
          <w:trHeight w:val="187"/>
        </w:trPr>
        <w:tc>
          <w:tcPr>
            <w:tcW w:w="5260" w:type="dxa"/>
            <w:vAlign w:val="bottom"/>
          </w:tcPr>
          <w:p>
            <w:pPr>
              <w:ind w:left="20"/>
              <w:spacing w:after="0"/>
              <w:rPr>
                <w:sz w:val="20"/>
                <w:szCs w:val="20"/>
                <w:color w:val="auto"/>
              </w:rPr>
            </w:pPr>
            <w:r>
              <w:rPr>
                <w:rFonts w:ascii="Arial" w:cs="Arial" w:eastAsia="Arial" w:hAnsi="Arial"/>
                <w:sz w:val="15"/>
                <w:szCs w:val="15"/>
                <w:color w:val="auto"/>
              </w:rPr>
              <w:t>Cash paid for:</w:t>
            </w:r>
          </w:p>
        </w:tc>
        <w:tc>
          <w:tcPr>
            <w:tcW w:w="33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r>
      <w:tr>
        <w:trPr>
          <w:trHeight w:val="187"/>
        </w:trPr>
        <w:tc>
          <w:tcPr>
            <w:tcW w:w="5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w:t>
            </w:r>
          </w:p>
        </w:tc>
        <w:tc>
          <w:tcPr>
            <w:tcW w:w="4240" w:type="dxa"/>
            <w:vAlign w:val="bottom"/>
            <w:gridSpan w:val="2"/>
            <w:shd w:val="clear" w:color="auto" w:fill="CCEEFF"/>
          </w:tcPr>
          <w:p>
            <w:pPr>
              <w:jc w:val="right"/>
              <w:ind w:right="721"/>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2"/>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87"/>
        </w:trPr>
        <w:tc>
          <w:tcPr>
            <w:tcW w:w="5260" w:type="dxa"/>
            <w:vAlign w:val="bottom"/>
          </w:tcPr>
          <w:p>
            <w:pPr>
              <w:ind w:left="120"/>
              <w:spacing w:after="0"/>
              <w:rPr>
                <w:sz w:val="20"/>
                <w:szCs w:val="20"/>
                <w:color w:val="auto"/>
              </w:rPr>
            </w:pPr>
            <w:r>
              <w:rPr>
                <w:rFonts w:ascii="Arial" w:cs="Arial" w:eastAsia="Arial" w:hAnsi="Arial"/>
                <w:sz w:val="15"/>
                <w:szCs w:val="15"/>
                <w:color w:val="auto"/>
              </w:rPr>
              <w:t>Income taxes</w:t>
            </w:r>
          </w:p>
        </w:tc>
        <w:tc>
          <w:tcPr>
            <w:tcW w:w="3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7"/>
        </w:trPr>
        <w:tc>
          <w:tcPr>
            <w:tcW w:w="5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sales inducements</w:t>
            </w:r>
          </w:p>
        </w:tc>
        <w:tc>
          <w:tcPr>
            <w:tcW w:w="3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187"/>
        </w:trPr>
        <w:tc>
          <w:tcPr>
            <w:tcW w:w="526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3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7"/>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Equity financing associated with the acquisition of F&amp;G</w:t>
            </w:r>
          </w:p>
        </w:tc>
        <w:tc>
          <w:tcPr>
            <w:tcW w:w="4240" w:type="dxa"/>
            <w:vAlign w:val="bottom"/>
            <w:gridSpan w:val="2"/>
            <w:shd w:val="clear" w:color="auto" w:fill="CCEEFF"/>
          </w:tcPr>
          <w:p>
            <w:pPr>
              <w:jc w:val="right"/>
              <w:ind w:right="721"/>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712"/>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w:t>
            </w:r>
          </w:p>
        </w:tc>
      </w:tr>
      <w:tr>
        <w:trPr>
          <w:trHeight w:val="187"/>
        </w:trPr>
        <w:tc>
          <w:tcPr>
            <w:tcW w:w="5260" w:type="dxa"/>
            <w:vAlign w:val="bottom"/>
          </w:tcPr>
          <w:p>
            <w:pPr>
              <w:ind w:left="180"/>
              <w:spacing w:after="0"/>
              <w:rPr>
                <w:sz w:val="20"/>
                <w:szCs w:val="20"/>
                <w:color w:val="auto"/>
              </w:rPr>
            </w:pPr>
            <w:r>
              <w:rPr>
                <w:rFonts w:ascii="Arial" w:cs="Arial" w:eastAsia="Arial" w:hAnsi="Arial"/>
                <w:sz w:val="15"/>
                <w:szCs w:val="15"/>
                <w:color w:val="auto"/>
                <w:w w:val="93"/>
              </w:rPr>
              <w:t>Change in proceeds of sales of investments available for sale receivable in period</w:t>
            </w:r>
          </w:p>
        </w:tc>
        <w:tc>
          <w:tcPr>
            <w:tcW w:w="3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87"/>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Change in purchases of investments available for sale payable in period</w:t>
            </w:r>
          </w:p>
        </w:tc>
        <w:tc>
          <w:tcPr>
            <w:tcW w:w="3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r>
      <w:tr>
        <w:trPr>
          <w:trHeight w:val="187"/>
        </w:trPr>
        <w:tc>
          <w:tcPr>
            <w:tcW w:w="5260" w:type="dxa"/>
            <w:vAlign w:val="bottom"/>
          </w:tcPr>
          <w:p>
            <w:pPr>
              <w:ind w:left="180"/>
              <w:spacing w:after="0"/>
              <w:rPr>
                <w:sz w:val="20"/>
                <w:szCs w:val="20"/>
                <w:color w:val="auto"/>
              </w:rPr>
            </w:pPr>
            <w:r>
              <w:rPr>
                <w:rFonts w:ascii="Arial" w:cs="Arial" w:eastAsia="Arial" w:hAnsi="Arial"/>
                <w:sz w:val="15"/>
                <w:szCs w:val="15"/>
                <w:color w:val="auto"/>
              </w:rPr>
              <w:t>Lease liabilities recognized in exchange for lease right-of-use assets</w:t>
            </w:r>
          </w:p>
        </w:tc>
        <w:tc>
          <w:tcPr>
            <w:tcW w:w="3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7"/>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Remeasurement of lease liabilities</w:t>
            </w:r>
          </w:p>
        </w:tc>
        <w:tc>
          <w:tcPr>
            <w:tcW w:w="3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813"/>
        </w:trPr>
        <w:tc>
          <w:tcPr>
            <w:tcW w:w="5260" w:type="dxa"/>
            <w:vAlign w:val="bottom"/>
          </w:tcPr>
          <w:p>
            <w:pPr>
              <w:spacing w:after="0"/>
              <w:rPr>
                <w:sz w:val="24"/>
                <w:szCs w:val="24"/>
                <w:color w:val="auto"/>
              </w:rPr>
            </w:pPr>
          </w:p>
        </w:tc>
        <w:tc>
          <w:tcPr>
            <w:tcW w:w="3380" w:type="dxa"/>
            <w:vAlign w:val="bottom"/>
          </w:tcPr>
          <w:p>
            <w:pPr>
              <w:jc w:val="right"/>
              <w:ind w:right="2850"/>
              <w:spacing w:after="0"/>
              <w:rPr>
                <w:sz w:val="20"/>
                <w:szCs w:val="20"/>
                <w:color w:val="auto"/>
              </w:rPr>
            </w:pPr>
            <w:r>
              <w:rPr>
                <w:rFonts w:ascii="Arial" w:cs="Arial" w:eastAsia="Arial" w:hAnsi="Arial"/>
                <w:sz w:val="15"/>
                <w:szCs w:val="15"/>
                <w:color w:val="auto"/>
              </w:rPr>
              <w:t>47</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90"/>
        </w:trPr>
        <w:tc>
          <w:tcPr>
            <w:tcW w:w="526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J — Revenue Recognition</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revenue consists of:</w:t>
      </w: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99517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95170" cy="698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Revenue from insurance contracts: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Direct title insurance premiums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Agency title insurance premiums</w:t>
      </w:r>
    </w:p>
    <w:p>
      <w:pPr>
        <w:spacing w:after="0" w:line="26" w:lineRule="exact"/>
        <w:rPr>
          <w:sz w:val="20"/>
          <w:szCs w:val="20"/>
          <w:color w:val="auto"/>
        </w:rPr>
      </w:pPr>
    </w:p>
    <w:p>
      <w:pPr>
        <w:ind w:left="120" w:right="260"/>
        <w:spacing w:after="0" w:line="238" w:lineRule="auto"/>
        <w:rPr>
          <w:sz w:val="20"/>
          <w:szCs w:val="20"/>
          <w:color w:val="auto"/>
        </w:rPr>
      </w:pPr>
      <w:r>
        <w:rPr>
          <w:rFonts w:ascii="Arial" w:cs="Arial" w:eastAsia="Arial" w:hAnsi="Arial"/>
          <w:sz w:val="13"/>
          <w:szCs w:val="13"/>
          <w:color w:val="auto"/>
        </w:rPr>
        <w:t>Life insurance premiums, insurance and investment product fees, and other</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Home warranty</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revenue from insurance contracts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Revenue from contracts with customers: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Escrow fees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title-related fees and income</w:t>
      </w:r>
    </w:p>
    <w:p>
      <w:pPr>
        <w:spacing w:after="0" w:line="26" w:lineRule="exact"/>
        <w:rPr>
          <w:sz w:val="20"/>
          <w:szCs w:val="20"/>
          <w:color w:val="auto"/>
        </w:rPr>
      </w:pPr>
    </w:p>
    <w:p>
      <w:pPr>
        <w:ind w:left="120"/>
        <w:spacing w:after="0" w:line="238" w:lineRule="auto"/>
        <w:rPr>
          <w:sz w:val="20"/>
          <w:szCs w:val="20"/>
          <w:color w:val="auto"/>
        </w:rPr>
      </w:pPr>
      <w:r>
        <w:rPr>
          <w:rFonts w:ascii="Arial" w:cs="Arial" w:eastAsia="Arial" w:hAnsi="Arial"/>
          <w:sz w:val="13"/>
          <w:szCs w:val="13"/>
          <w:color w:val="auto"/>
        </w:rPr>
        <w:t>ServiceLink, excluding title premiums, escrow fees, and subservicing fees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Real estate technology</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Real estate brokerage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revenue from contracts with customers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revenue: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Loan subservicing revenue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Interest and investment income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Recognized gains and losses, net</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6"/>
          </w:tcPr>
          <w:p>
            <w:pPr>
              <w:ind w:left="80"/>
              <w:spacing w:after="0"/>
              <w:rPr>
                <w:sz w:val="20"/>
                <w:szCs w:val="20"/>
                <w:color w:val="auto"/>
              </w:rPr>
            </w:pPr>
            <w:r>
              <w:rPr>
                <w:rFonts w:ascii="Arial" w:cs="Arial" w:eastAsia="Arial" w:hAnsi="Arial"/>
                <w:sz w:val="12"/>
                <w:szCs w:val="12"/>
                <w:b w:val="1"/>
                <w:bCs w:val="1"/>
                <w:color w:val="auto"/>
                <w:w w:val="93"/>
              </w:rPr>
              <w:t>Three months ended June 30,</w:t>
            </w:r>
          </w:p>
        </w:tc>
        <w:tc>
          <w:tcPr>
            <w:tcW w:w="120" w:type="dxa"/>
            <w:vAlign w:val="bottom"/>
          </w:tcPr>
          <w:p>
            <w:pPr>
              <w:spacing w:after="0"/>
              <w:rPr>
                <w:sz w:val="13"/>
                <w:szCs w:val="13"/>
                <w:color w:val="auto"/>
              </w:rPr>
            </w:pPr>
          </w:p>
        </w:tc>
        <w:tc>
          <w:tcPr>
            <w:tcW w:w="1480" w:type="dxa"/>
            <w:vAlign w:val="bottom"/>
            <w:gridSpan w:val="4"/>
          </w:tcPr>
          <w:p>
            <w:pPr>
              <w:jc w:val="right"/>
              <w:ind w:right="75"/>
              <w:spacing w:after="0"/>
              <w:rPr>
                <w:sz w:val="20"/>
                <w:szCs w:val="20"/>
                <w:color w:val="auto"/>
              </w:rPr>
            </w:pPr>
            <w:r>
              <w:rPr>
                <w:rFonts w:ascii="Arial" w:cs="Arial" w:eastAsia="Arial" w:hAnsi="Arial"/>
                <w:sz w:val="12"/>
                <w:szCs w:val="12"/>
                <w:b w:val="1"/>
                <w:bCs w:val="1"/>
                <w:color w:val="auto"/>
                <w:w w:val="85"/>
              </w:rPr>
              <w:t>Six months ended June 30,</w:t>
            </w:r>
          </w:p>
        </w:tc>
      </w:tr>
      <w:tr>
        <w:trPr>
          <w:trHeight w:val="143"/>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2020</w:t>
            </w:r>
          </w:p>
        </w:tc>
      </w:tr>
      <w:tr>
        <w:trPr>
          <w:trHeight w:val="155"/>
        </w:trPr>
        <w:tc>
          <w:tcPr>
            <w:tcW w:w="2840" w:type="dxa"/>
            <w:vAlign w:val="bottom"/>
            <w:gridSpan w:val="2"/>
          </w:tcPr>
          <w:p>
            <w:pPr>
              <w:ind w:left="560"/>
              <w:spacing w:after="0"/>
              <w:rPr>
                <w:sz w:val="20"/>
                <w:szCs w:val="20"/>
                <w:color w:val="auto"/>
              </w:rPr>
            </w:pPr>
            <w:r>
              <w:rPr>
                <w:rFonts w:ascii="Arial" w:cs="Arial" w:eastAsia="Arial" w:hAnsi="Arial"/>
                <w:sz w:val="12"/>
                <w:szCs w:val="12"/>
                <w:b w:val="1"/>
                <w:bCs w:val="1"/>
                <w:color w:val="auto"/>
              </w:rPr>
              <w:t>Income Statement Classification</w:t>
            </w:r>
          </w:p>
        </w:tc>
        <w:tc>
          <w:tcPr>
            <w:tcW w:w="1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Segment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7"/>
              </w:rPr>
              <w:t>Total Revenue</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2"/>
        </w:trPr>
        <w:tc>
          <w:tcPr>
            <w:tcW w:w="2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2"/>
                <w:szCs w:val="12"/>
                <w:color w:val="auto"/>
                <w:w w:val="95"/>
              </w:rPr>
              <w:t>(in millions)</w:t>
            </w: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180"/>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Direct title insurance premiums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575</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1,650</w:t>
            </w:r>
          </w:p>
        </w:tc>
        <w:tc>
          <w:tcPr>
            <w:tcW w:w="8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1,121</w:t>
            </w:r>
          </w:p>
        </w:tc>
      </w:tr>
      <w:tr>
        <w:trPr>
          <w:trHeight w:val="176"/>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Agency title insurance premiums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1,516</w:t>
            </w:r>
          </w:p>
        </w:tc>
      </w:tr>
      <w:tr>
        <w:trPr>
          <w:trHeight w:val="308"/>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rPr>
              <w:t>F&amp;G</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9"/>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r>
      <w:tr>
        <w:trPr>
          <w:trHeight w:val="164"/>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2,746</w:t>
            </w:r>
          </w:p>
        </w:tc>
      </w:tr>
      <w:tr>
        <w:trPr>
          <w:trHeight w:val="352"/>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480</w:t>
            </w:r>
          </w:p>
        </w:tc>
      </w:tr>
      <w:tr>
        <w:trPr>
          <w:trHeight w:val="176"/>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327</w:t>
            </w:r>
          </w:p>
        </w:tc>
      </w:tr>
      <w:tr>
        <w:trPr>
          <w:trHeight w:val="308"/>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176"/>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Corporate and other</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76"/>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Corporate and other</w:t>
            </w:r>
          </w:p>
        </w:tc>
        <w:tc>
          <w:tcPr>
            <w:tcW w:w="1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9"/>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Corporate and other</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1,062</w:t>
            </w:r>
          </w:p>
        </w:tc>
      </w:tr>
      <w:tr>
        <w:trPr>
          <w:trHeight w:val="352"/>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Escrow, title-related and other fees</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Title</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177</w:t>
            </w:r>
          </w:p>
        </w:tc>
      </w:tr>
      <w:tr>
        <w:trPr>
          <w:trHeight w:val="176"/>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Interest and investment income</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Various</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w:t>
            </w:r>
          </w:p>
        </w:tc>
      </w:tr>
      <w:tr>
        <w:trPr>
          <w:trHeight w:val="179"/>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Recognized gains and losses, net</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Various</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w:t>
            </w:r>
          </w:p>
        </w:tc>
      </w:tr>
      <w:tr>
        <w:trPr>
          <w:trHeight w:val="170"/>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Total revenues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2,420</w:t>
            </w:r>
          </w:p>
        </w:tc>
        <w:tc>
          <w:tcPr>
            <w:tcW w:w="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4,032</w:t>
            </w: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-2225040</wp:posOffset>
            </wp:positionV>
            <wp:extent cx="7157720"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1117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-2001520</wp:posOffset>
            </wp:positionV>
            <wp:extent cx="7157720" cy="195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19558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-1694815</wp:posOffset>
            </wp:positionV>
            <wp:extent cx="7157720" cy="1187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11874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-1464310</wp:posOffset>
            </wp:positionV>
            <wp:extent cx="715772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1117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-1241425</wp:posOffset>
            </wp:positionV>
            <wp:extent cx="7157720" cy="195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19558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-934085</wp:posOffset>
            </wp:positionV>
            <wp:extent cx="7157720"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1117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-711200</wp:posOffset>
            </wp:positionV>
            <wp:extent cx="7157720" cy="118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11874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-480695</wp:posOffset>
            </wp:positionV>
            <wp:extent cx="7157720"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1117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-257810</wp:posOffset>
            </wp:positionV>
            <wp:extent cx="715772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11176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3100" w:space="140"/>
            <w:col w:w="8040"/>
          </w:cols>
          <w:pgMar w:left="300" w:top="129" w:right="319" w:bottom="1440" w:gutter="0" w:footer="0" w:header="0"/>
        </w:sectPr>
      </w:pPr>
    </w:p>
    <w:p>
      <w:pPr>
        <w:jc w:val="both"/>
        <w:ind w:firstLine="264"/>
        <w:spacing w:after="0" w:line="251" w:lineRule="auto"/>
        <w:rPr>
          <w:sz w:val="20"/>
          <w:szCs w:val="20"/>
          <w:color w:val="auto"/>
        </w:rPr>
      </w:pPr>
      <w:r>
        <w:rPr>
          <w:rFonts w:ascii="Arial" w:cs="Arial" w:eastAsia="Arial" w:hAnsi="Arial"/>
          <w:sz w:val="15"/>
          <w:szCs w:val="15"/>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8"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8"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58" w:lineRule="exact"/>
        <w:rPr>
          <w:sz w:val="20"/>
          <w:szCs w:val="20"/>
          <w:color w:val="auto"/>
        </w:rPr>
      </w:pPr>
    </w:p>
    <w:p>
      <w:pPr>
        <w:jc w:val="both"/>
        <w:ind w:firstLine="264"/>
        <w:spacing w:after="0" w:line="281" w:lineRule="auto"/>
        <w:rPr>
          <w:sz w:val="20"/>
          <w:szCs w:val="20"/>
          <w:color w:val="auto"/>
        </w:rPr>
      </w:pPr>
      <w:r>
        <w:rPr>
          <w:rFonts w:ascii="Arial" w:cs="Arial" w:eastAsia="Arial" w:hAnsi="Arial"/>
          <w:sz w:val="14"/>
          <w:szCs w:val="14"/>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50" w:name="page51"/>
    <w:bookmarkEnd w:id="5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264"/>
        <w:spacing w:after="0" w:line="284" w:lineRule="auto"/>
        <w:rPr>
          <w:sz w:val="20"/>
          <w:szCs w:val="20"/>
          <w:color w:val="auto"/>
        </w:rPr>
      </w:pPr>
      <w:r>
        <w:rPr>
          <w:rFonts w:ascii="Arial" w:cs="Arial" w:eastAsia="Arial" w:hAnsi="Arial"/>
          <w:sz w:val="13"/>
          <w:szCs w:val="13"/>
          <w:color w:val="auto"/>
        </w:rPr>
        <w:t>Life insurance premiums in our F&amp;G segment reflect premiums for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28"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38"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49"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49"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Interest and investment income consists primarily of interest recognized on fixed maturity security holdings, limited partnership returns and dividends recognized on equity and preferred security holdings, net of investment expense.</w:t>
      </w:r>
    </w:p>
    <w:p>
      <w:pPr>
        <w:spacing w:after="0" w:line="38"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 Balances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provides information about trade receivables and deferred revenue:</w:t>
      </w:r>
    </w:p>
    <w:p>
      <w:pPr>
        <w:spacing w:after="0" w:line="95" w:lineRule="exact"/>
        <w:rPr>
          <w:sz w:val="20"/>
          <w:szCs w:val="20"/>
          <w:color w:val="auto"/>
        </w:rPr>
      </w:pPr>
    </w:p>
    <w:tbl>
      <w:tblPr>
        <w:tblLayout w:type="fixed"/>
        <w:tblInd w:w="100" w:type="dxa"/>
        <w:tblCellMar>
          <w:top w:w="0" w:type="dxa"/>
          <w:left w:w="0" w:type="dxa"/>
          <w:bottom w:w="0" w:type="dxa"/>
          <w:right w:w="0" w:type="dxa"/>
        </w:tblCellMar>
      </w:tblPr>
      <w:tr>
        <w:trPr>
          <w:trHeight w:val="155"/>
        </w:trPr>
        <w:tc>
          <w:tcPr>
            <w:tcW w:w="6940" w:type="dxa"/>
            <w:vAlign w:val="bottom"/>
          </w:tcPr>
          <w:p>
            <w:pPr>
              <w:spacing w:after="0"/>
              <w:rPr>
                <w:sz w:val="13"/>
                <w:szCs w:val="13"/>
                <w:color w:val="auto"/>
              </w:rPr>
            </w:pP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June 30, 2021</w:t>
            </w: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w w:val="94"/>
              </w:rPr>
              <w:t>December 31, 2020</w:t>
            </w:r>
          </w:p>
        </w:tc>
      </w:tr>
      <w:tr>
        <w:trPr>
          <w:trHeight w:val="146"/>
        </w:trPr>
        <w:tc>
          <w:tcPr>
            <w:tcW w:w="6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rPr>
              <w:t>(In millions)</w:t>
            </w:r>
          </w:p>
        </w:tc>
        <w:tc>
          <w:tcPr>
            <w:tcW w:w="1660" w:type="dxa"/>
            <w:vAlign w:val="bottom"/>
          </w:tcPr>
          <w:p>
            <w:pPr>
              <w:spacing w:after="0"/>
              <w:rPr>
                <w:sz w:val="12"/>
                <w:szCs w:val="12"/>
                <w:color w:val="auto"/>
              </w:rPr>
            </w:pPr>
          </w:p>
        </w:tc>
      </w:tr>
      <w:tr>
        <w:trPr>
          <w:trHeight w:val="190"/>
        </w:trPr>
        <w:tc>
          <w:tcPr>
            <w:tcW w:w="6940" w:type="dxa"/>
            <w:vAlign w:val="bottom"/>
          </w:tcPr>
          <w:p>
            <w:pPr>
              <w:ind w:left="20"/>
              <w:spacing w:after="0"/>
              <w:rPr>
                <w:sz w:val="20"/>
                <w:szCs w:val="20"/>
                <w:color w:val="auto"/>
              </w:rPr>
            </w:pPr>
            <w:r>
              <w:rPr>
                <w:rFonts w:ascii="Arial" w:cs="Arial" w:eastAsia="Arial" w:hAnsi="Arial"/>
                <w:sz w:val="15"/>
                <w:szCs w:val="15"/>
                <w:color w:val="auto"/>
              </w:rPr>
              <w:t>Trade receivables</w:t>
            </w:r>
          </w:p>
        </w:tc>
        <w:tc>
          <w:tcPr>
            <w:tcW w:w="1440" w:type="dxa"/>
            <w:vAlign w:val="bottom"/>
          </w:tcPr>
          <w:p>
            <w:pPr>
              <w:jc w:val="right"/>
              <w:ind w:right="1294"/>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32"/>
              <w:spacing w:after="0"/>
              <w:rPr>
                <w:sz w:val="20"/>
                <w:szCs w:val="20"/>
                <w:color w:val="auto"/>
              </w:rPr>
            </w:pPr>
            <w:r>
              <w:rPr>
                <w:rFonts w:ascii="Arial" w:cs="Arial" w:eastAsia="Arial" w:hAnsi="Arial"/>
                <w:sz w:val="15"/>
                <w:szCs w:val="15"/>
                <w:color w:val="auto"/>
              </w:rPr>
              <w:t>462</w:t>
            </w:r>
          </w:p>
        </w:tc>
        <w:tc>
          <w:tcPr>
            <w:tcW w:w="58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404</w:t>
            </w:r>
          </w:p>
        </w:tc>
      </w:tr>
      <w:tr>
        <w:trPr>
          <w:trHeight w:val="18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revenue (contract liabilities)</w:t>
            </w:r>
          </w:p>
        </w:tc>
        <w:tc>
          <w:tcPr>
            <w:tcW w:w="14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119</w:t>
            </w:r>
          </w:p>
        </w:tc>
        <w:tc>
          <w:tcPr>
            <w:tcW w:w="5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r>
    </w:tbl>
    <w:p>
      <w:pPr>
        <w:spacing w:after="0" w:line="77" w:lineRule="exact"/>
        <w:rPr>
          <w:sz w:val="20"/>
          <w:szCs w:val="20"/>
          <w:color w:val="auto"/>
        </w:rPr>
      </w:pPr>
    </w:p>
    <w:p>
      <w:pPr>
        <w:jc w:val="both"/>
        <w:ind w:firstLine="264"/>
        <w:spacing w:after="0" w:line="311" w:lineRule="auto"/>
        <w:rPr>
          <w:sz w:val="20"/>
          <w:szCs w:val="20"/>
          <w:color w:val="auto"/>
        </w:rPr>
      </w:pPr>
      <w:r>
        <w:rPr>
          <w:rFonts w:ascii="Arial" w:cs="Arial" w:eastAsia="Arial" w:hAnsi="Arial"/>
          <w:sz w:val="13"/>
          <w:szCs w:val="13"/>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and six months ended June 30, 2021, we recognized $47 million and $76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K — Value of Business Acquired, Deferred Acquisition Costs and Deferred Sales Inducements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summary of the changes in the carrying amounts of our VOBA, DAC and DSI intangible assets are as follows (in millions):</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67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VOBA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DAC</w:t>
            </w:r>
          </w:p>
        </w:tc>
        <w:tc>
          <w:tcPr>
            <w:tcW w:w="26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DSI</w:t>
            </w:r>
          </w:p>
        </w:tc>
        <w:tc>
          <w:tcPr>
            <w:tcW w:w="260" w:type="dxa"/>
            <w:vAlign w:val="bottom"/>
          </w:tcPr>
          <w:p>
            <w:pPr>
              <w:spacing w:after="0"/>
              <w:rPr>
                <w:sz w:val="13"/>
                <w:szCs w:val="13"/>
                <w:color w:val="auto"/>
              </w:rPr>
            </w:pPr>
          </w:p>
        </w:tc>
        <w:tc>
          <w:tcPr>
            <w:tcW w:w="880" w:type="dxa"/>
            <w:vAlign w:val="bottom"/>
          </w:tcPr>
          <w:p>
            <w:pPr>
              <w:jc w:val="right"/>
              <w:ind w:right="381"/>
              <w:spacing w:after="0"/>
              <w:rPr>
                <w:sz w:val="20"/>
                <w:szCs w:val="20"/>
                <w:color w:val="auto"/>
              </w:rPr>
            </w:pPr>
            <w:r>
              <w:rPr>
                <w:rFonts w:ascii="Arial" w:cs="Arial" w:eastAsia="Arial" w:hAnsi="Arial"/>
                <w:sz w:val="12"/>
                <w:szCs w:val="12"/>
                <w:b w:val="1"/>
                <w:bCs w:val="1"/>
                <w:color w:val="auto"/>
              </w:rPr>
              <w:t>Total</w:t>
            </w:r>
          </w:p>
        </w:tc>
      </w:tr>
      <w:tr>
        <w:trPr>
          <w:trHeight w:val="150"/>
        </w:trPr>
        <w:tc>
          <w:tcPr>
            <w:tcW w:w="6700" w:type="dxa"/>
            <w:vAlign w:val="bottom"/>
            <w:tcBorders>
              <w:top w:val="single" w:sz="8" w:color="CCEEFF"/>
              <w:left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70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1,466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1,724</w:t>
            </w:r>
          </w:p>
        </w:tc>
      </w:tr>
      <w:tr>
        <w:trPr>
          <w:trHeight w:val="151"/>
        </w:trPr>
        <w:tc>
          <w:tcPr>
            <w:tcW w:w="6700" w:type="dxa"/>
            <w:vAlign w:val="bottom"/>
          </w:tcPr>
          <w:p>
            <w:pPr>
              <w:ind w:left="20"/>
              <w:spacing w:after="0"/>
              <w:rPr>
                <w:sz w:val="20"/>
                <w:szCs w:val="20"/>
                <w:color w:val="auto"/>
              </w:rPr>
            </w:pPr>
            <w:r>
              <w:rPr>
                <w:rFonts w:ascii="Arial" w:cs="Arial" w:eastAsia="Arial" w:hAnsi="Arial"/>
                <w:sz w:val="12"/>
                <w:szCs w:val="12"/>
                <w:color w:val="auto"/>
              </w:rPr>
              <w:t>Deferrals</w:t>
            </w:r>
          </w:p>
        </w:tc>
        <w:tc>
          <w:tcPr>
            <w:tcW w:w="70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322</w:t>
            </w:r>
          </w:p>
        </w:tc>
      </w:tr>
      <w:tr>
        <w:trPr>
          <w:trHeight w:val="157"/>
        </w:trPr>
        <w:tc>
          <w:tcPr>
            <w:tcW w:w="67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Amortization</w:t>
            </w: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r>
      <w:tr>
        <w:trPr>
          <w:trHeight w:val="151"/>
        </w:trPr>
        <w:tc>
          <w:tcPr>
            <w:tcW w:w="6700" w:type="dxa"/>
            <w:vAlign w:val="bottom"/>
          </w:tcPr>
          <w:p>
            <w:pPr>
              <w:ind w:left="20"/>
              <w:spacing w:after="0"/>
              <w:rPr>
                <w:sz w:val="20"/>
                <w:szCs w:val="20"/>
                <w:color w:val="auto"/>
              </w:rPr>
            </w:pPr>
            <w:r>
              <w:rPr>
                <w:rFonts w:ascii="Arial" w:cs="Arial" w:eastAsia="Arial" w:hAnsi="Arial"/>
                <w:sz w:val="12"/>
                <w:szCs w:val="12"/>
                <w:color w:val="auto"/>
              </w:rPr>
              <w:t>Interest</w:t>
            </w:r>
          </w:p>
        </w:tc>
        <w:tc>
          <w:tcPr>
            <w:tcW w:w="70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20</w:t>
            </w:r>
          </w:p>
        </w:tc>
      </w:tr>
      <w:tr>
        <w:trPr>
          <w:trHeight w:val="157"/>
        </w:trPr>
        <w:tc>
          <w:tcPr>
            <w:tcW w:w="67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Unlocking</w:t>
            </w: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r>
      <w:tr>
        <w:trPr>
          <w:trHeight w:val="151"/>
        </w:trPr>
        <w:tc>
          <w:tcPr>
            <w:tcW w:w="6700" w:type="dxa"/>
            <w:vAlign w:val="bottom"/>
          </w:tcPr>
          <w:p>
            <w:pPr>
              <w:ind w:left="20"/>
              <w:spacing w:after="0"/>
              <w:rPr>
                <w:sz w:val="20"/>
                <w:szCs w:val="20"/>
                <w:color w:val="auto"/>
              </w:rPr>
            </w:pPr>
            <w:r>
              <w:rPr>
                <w:rFonts w:ascii="Arial" w:cs="Arial" w:eastAsia="Arial" w:hAnsi="Arial"/>
                <w:sz w:val="12"/>
                <w:szCs w:val="12"/>
                <w:color w:val="auto"/>
              </w:rPr>
              <w:t>Adjustment for net unrealized investment (gains) losses</w:t>
            </w: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76"/>
        </w:trPr>
        <w:tc>
          <w:tcPr>
            <w:tcW w:w="67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Purchase price allocation adjustments</w:t>
            </w:r>
          </w:p>
        </w:tc>
        <w:tc>
          <w:tcPr>
            <w:tcW w:w="7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r>
      <w:tr>
        <w:trPr>
          <w:trHeight w:val="148"/>
        </w:trPr>
        <w:tc>
          <w:tcPr>
            <w:tcW w:w="670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700" w:type="dxa"/>
            <w:vAlign w:val="bottom"/>
            <w:tcBorders>
              <w:bottom w:val="single" w:sz="8" w:color="auto"/>
            </w:tcBorders>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6"/>
              </w:rPr>
              <w:t>1,339</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462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1,804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8"/>
        </w:trPr>
        <w:tc>
          <w:tcPr>
            <w:tcW w:w="6700" w:type="dxa"/>
            <w:vAlign w:val="bottom"/>
            <w:tcBorders>
              <w:lef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7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VOBA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b w:val="1"/>
                <w:bCs w:val="1"/>
                <w:color w:val="auto"/>
              </w:rPr>
              <w:t>DAC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DSI</w:t>
            </w:r>
          </w:p>
        </w:tc>
        <w:tc>
          <w:tcPr>
            <w:tcW w:w="260" w:type="dxa"/>
            <w:vAlign w:val="bottom"/>
          </w:tcPr>
          <w:p>
            <w:pPr>
              <w:spacing w:after="0"/>
              <w:rPr>
                <w:sz w:val="13"/>
                <w:szCs w:val="13"/>
                <w:color w:val="auto"/>
              </w:rPr>
            </w:pPr>
          </w:p>
        </w:tc>
        <w:tc>
          <w:tcPr>
            <w:tcW w:w="880" w:type="dxa"/>
            <w:vAlign w:val="bottom"/>
          </w:tcPr>
          <w:p>
            <w:pPr>
              <w:jc w:val="right"/>
              <w:ind w:right="381"/>
              <w:spacing w:after="0"/>
              <w:rPr>
                <w:sz w:val="20"/>
                <w:szCs w:val="20"/>
                <w:color w:val="auto"/>
              </w:rPr>
            </w:pPr>
            <w:r>
              <w:rPr>
                <w:rFonts w:ascii="Arial" w:cs="Arial" w:eastAsia="Arial" w:hAnsi="Arial"/>
                <w:sz w:val="12"/>
                <w:szCs w:val="12"/>
                <w:b w:val="1"/>
                <w:bCs w:val="1"/>
                <w:color w:val="auto"/>
              </w:rPr>
              <w:t>Total</w:t>
            </w:r>
          </w:p>
        </w:tc>
      </w:tr>
      <w:tr>
        <w:trPr>
          <w:trHeight w:val="147"/>
        </w:trPr>
        <w:tc>
          <w:tcPr>
            <w:tcW w:w="670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b w:val="1"/>
                <w:bCs w:val="1"/>
                <w:color w:val="auto"/>
              </w:rPr>
              <w:t>Balance at December 31, 2019</w:t>
            </w:r>
          </w:p>
        </w:tc>
        <w:tc>
          <w:tcPr>
            <w:tcW w:w="70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1"/>
        </w:trPr>
        <w:tc>
          <w:tcPr>
            <w:tcW w:w="6700" w:type="dxa"/>
            <w:vAlign w:val="bottom"/>
          </w:tcPr>
          <w:p>
            <w:pPr>
              <w:ind w:left="20"/>
              <w:spacing w:after="0"/>
              <w:rPr>
                <w:sz w:val="20"/>
                <w:szCs w:val="20"/>
                <w:color w:val="auto"/>
              </w:rPr>
            </w:pPr>
            <w:r>
              <w:rPr>
                <w:rFonts w:ascii="Arial" w:cs="Arial" w:eastAsia="Arial" w:hAnsi="Arial"/>
                <w:sz w:val="12"/>
                <w:szCs w:val="12"/>
                <w:color w:val="auto"/>
              </w:rPr>
              <w:t>F&amp;G acquisition</w:t>
            </w:r>
          </w:p>
        </w:tc>
        <w:tc>
          <w:tcPr>
            <w:tcW w:w="70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w w:val="86"/>
              </w:rPr>
              <w:t>1,890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1,890</w:t>
            </w:r>
          </w:p>
        </w:tc>
      </w:tr>
      <w:tr>
        <w:trPr>
          <w:trHeight w:val="157"/>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Deferrals</w:t>
            </w:r>
          </w:p>
        </w:tc>
        <w:tc>
          <w:tcPr>
            <w:tcW w:w="7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w:t>
            </w:r>
          </w:p>
        </w:tc>
      </w:tr>
      <w:tr>
        <w:trPr>
          <w:trHeight w:val="151"/>
        </w:trPr>
        <w:tc>
          <w:tcPr>
            <w:tcW w:w="6700" w:type="dxa"/>
            <w:vAlign w:val="bottom"/>
          </w:tcPr>
          <w:p>
            <w:pPr>
              <w:ind w:left="20"/>
              <w:spacing w:after="0"/>
              <w:rPr>
                <w:sz w:val="20"/>
                <w:szCs w:val="20"/>
                <w:color w:val="auto"/>
              </w:rPr>
            </w:pPr>
            <w:r>
              <w:rPr>
                <w:rFonts w:ascii="Arial" w:cs="Arial" w:eastAsia="Arial" w:hAnsi="Arial"/>
                <w:sz w:val="12"/>
                <w:szCs w:val="12"/>
                <w:color w:val="auto"/>
              </w:rPr>
              <w:t>Amortization</w:t>
            </w: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57"/>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w:t>
            </w: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r>
      <w:tr>
        <w:trPr>
          <w:trHeight w:val="151"/>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Adjustment for net unrealized investment (gains) losses</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(101)</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5"/>
              </w:rPr>
              <w:t>(8)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r>
      <w:tr>
        <w:trPr>
          <w:trHeight w:val="17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2020</w:t>
            </w:r>
          </w:p>
        </w:tc>
        <w:tc>
          <w:tcPr>
            <w:tcW w:w="70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6"/>
              </w:rPr>
              <w:t>1,789</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both"/>
        <w:ind w:firstLine="330"/>
        <w:spacing w:after="0" w:line="269" w:lineRule="auto"/>
        <w:rPr>
          <w:sz w:val="20"/>
          <w:szCs w:val="20"/>
          <w:color w:val="auto"/>
        </w:rPr>
      </w:pPr>
      <w:r>
        <w:rPr>
          <w:rFonts w:ascii="Arial" w:cs="Arial" w:eastAsia="Arial" w:hAnsi="Arial"/>
          <w:sz w:val="14"/>
          <w:szCs w:val="14"/>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Earnings. As of June 30, 2021 and June 30, 2020, the VOBA balances included cumulative adjustments for net unrealized investment gains of $298 million and $101 million, respectively, the DAC balances included cumulative adjustments for net unrealized investment gains of $53 million and $8 million, respectively, and the DSI balance included net unrealized investment gains of $10 million and $2 million, respectively.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 the inforce liabilities as of June 30, 2021, the estimated amortization expense for VOBA in future fiscal periods is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ind w:right="161"/>
              <w:spacing w:after="0"/>
              <w:rPr>
                <w:sz w:val="20"/>
                <w:szCs w:val="20"/>
                <w:color w:val="auto"/>
              </w:rPr>
            </w:pPr>
            <w:r>
              <w:rPr>
                <w:rFonts w:ascii="Arial" w:cs="Arial" w:eastAsia="Arial" w:hAnsi="Arial"/>
                <w:sz w:val="12"/>
                <w:szCs w:val="12"/>
                <w:b w:val="1"/>
                <w:bCs w:val="1"/>
                <w:color w:val="auto"/>
                <w:w w:val="93"/>
              </w:rPr>
              <w:t>Estimated Amortization</w:t>
            </w:r>
          </w:p>
        </w:tc>
      </w:tr>
      <w:tr>
        <w:trPr>
          <w:trHeight w:val="150"/>
        </w:trPr>
        <w:tc>
          <w:tcPr>
            <w:tcW w:w="9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61"/>
              <w:spacing w:after="0"/>
              <w:rPr>
                <w:sz w:val="20"/>
                <w:szCs w:val="20"/>
                <w:color w:val="auto"/>
              </w:rPr>
            </w:pPr>
            <w:r>
              <w:rPr>
                <w:rFonts w:ascii="Arial" w:cs="Arial" w:eastAsia="Arial" w:hAnsi="Arial"/>
                <w:sz w:val="12"/>
                <w:szCs w:val="12"/>
                <w:b w:val="1"/>
                <w:bCs w:val="1"/>
                <w:color w:val="auto"/>
              </w:rPr>
              <w:t>Expense</w:t>
            </w:r>
          </w:p>
        </w:tc>
      </w:tr>
      <w:tr>
        <w:trPr>
          <w:trHeight w:val="134"/>
        </w:trPr>
        <w:tc>
          <w:tcPr>
            <w:tcW w:w="9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Fiscal Year</w:t>
            </w: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7"/>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w:t>
            </w:r>
          </w:p>
        </w:tc>
      </w:tr>
      <w:tr>
        <w:trPr>
          <w:trHeight w:val="151"/>
        </w:trPr>
        <w:tc>
          <w:tcPr>
            <w:tcW w:w="9640" w:type="dxa"/>
            <w:vAlign w:val="bottom"/>
          </w:tcPr>
          <w:p>
            <w:pPr>
              <w:ind w:left="20"/>
              <w:spacing w:after="0"/>
              <w:rPr>
                <w:sz w:val="20"/>
                <w:szCs w:val="20"/>
                <w:color w:val="auto"/>
              </w:rPr>
            </w:pPr>
            <w:r>
              <w:rPr>
                <w:rFonts w:ascii="Arial" w:cs="Arial" w:eastAsia="Arial" w:hAnsi="Arial"/>
                <w:sz w:val="12"/>
                <w:szCs w:val="12"/>
                <w:color w:val="auto"/>
              </w:rPr>
              <w:t>2022</w:t>
            </w:r>
          </w:p>
        </w:tc>
        <w:tc>
          <w:tcPr>
            <w:tcW w:w="140" w:type="dxa"/>
            <w:vAlign w:val="bottom"/>
          </w:tcPr>
          <w:p>
            <w:pPr>
              <w:spacing w:after="0"/>
              <w:rPr>
                <w:sz w:val="13"/>
                <w:szCs w:val="13"/>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166</w:t>
            </w:r>
          </w:p>
        </w:tc>
      </w:tr>
      <w:tr>
        <w:trPr>
          <w:trHeight w:val="157"/>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187</w:t>
            </w:r>
          </w:p>
        </w:tc>
      </w:tr>
      <w:tr>
        <w:trPr>
          <w:trHeight w:val="151"/>
        </w:trPr>
        <w:tc>
          <w:tcPr>
            <w:tcW w:w="9640" w:type="dxa"/>
            <w:vAlign w:val="bottom"/>
          </w:tcPr>
          <w:p>
            <w:pPr>
              <w:ind w:left="20"/>
              <w:spacing w:after="0"/>
              <w:rPr>
                <w:sz w:val="20"/>
                <w:szCs w:val="20"/>
                <w:color w:val="auto"/>
              </w:rPr>
            </w:pPr>
            <w:r>
              <w:rPr>
                <w:rFonts w:ascii="Arial" w:cs="Arial" w:eastAsia="Arial" w:hAnsi="Arial"/>
                <w:sz w:val="12"/>
                <w:szCs w:val="12"/>
                <w:color w:val="auto"/>
              </w:rPr>
              <w:t>2024</w:t>
            </w:r>
          </w:p>
        </w:tc>
        <w:tc>
          <w:tcPr>
            <w:tcW w:w="140" w:type="dxa"/>
            <w:vAlign w:val="bottom"/>
          </w:tcPr>
          <w:p>
            <w:pPr>
              <w:spacing w:after="0"/>
              <w:rPr>
                <w:sz w:val="13"/>
                <w:szCs w:val="13"/>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178</w:t>
            </w:r>
          </w:p>
        </w:tc>
      </w:tr>
      <w:tr>
        <w:trPr>
          <w:trHeight w:val="157"/>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2025</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w:t>
            </w:r>
          </w:p>
        </w:tc>
      </w:tr>
      <w:tr>
        <w:trPr>
          <w:trHeight w:val="148"/>
        </w:trPr>
        <w:tc>
          <w:tcPr>
            <w:tcW w:w="964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140" w:type="dxa"/>
            <w:vAlign w:val="bottom"/>
          </w:tcPr>
          <w:p>
            <w:pPr>
              <w:spacing w:after="0"/>
              <w:rPr>
                <w:sz w:val="12"/>
                <w:szCs w:val="12"/>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906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L — F&amp;G Reinsurance</w:t>
      </w:r>
    </w:p>
    <w:p>
      <w:pPr>
        <w:spacing w:after="0" w:line="18" w:lineRule="exact"/>
        <w:rPr>
          <w:sz w:val="20"/>
          <w:szCs w:val="20"/>
          <w:color w:val="auto"/>
        </w:rPr>
      </w:pPr>
    </w:p>
    <w:p>
      <w:pPr>
        <w:jc w:val="both"/>
        <w:ind w:firstLine="264"/>
        <w:spacing w:after="0" w:line="295" w:lineRule="auto"/>
        <w:rPr>
          <w:sz w:val="20"/>
          <w:szCs w:val="20"/>
          <w:color w:val="auto"/>
        </w:rPr>
      </w:pPr>
      <w:r>
        <w:rPr>
          <w:rFonts w:ascii="Arial" w:cs="Arial" w:eastAsia="Arial" w:hAnsi="Arial"/>
          <w:sz w:val="13"/>
          <w:szCs w:val="13"/>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F&amp;G follows reinsurance accounting when there is adequate risk transfer. If the underlying policy being reinsured is an investment contract or there is inadequate risk transfer, deposit accounting is followed.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effect of reinsurance on net premiums earned and net benefits incurred (benefits paid and reserve changes) for the three and six months ended June 30, 2021 and the one month ended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June 30, 2020 (following our June 1, 2020 acquisition of F&amp;G) were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8"/>
              </w:rPr>
              <w:t>Three months ended</w:t>
            </w:r>
          </w:p>
        </w:tc>
        <w:tc>
          <w:tcPr>
            <w:tcW w:w="120" w:type="dxa"/>
            <w:vAlign w:val="bottom"/>
          </w:tcPr>
          <w:p>
            <w:pPr>
              <w:spacing w:after="0"/>
              <w:rPr>
                <w:sz w:val="13"/>
                <w:szCs w:val="13"/>
                <w:color w:val="auto"/>
              </w:rPr>
            </w:pPr>
          </w:p>
        </w:tc>
        <w:tc>
          <w:tcPr>
            <w:tcW w:w="2120" w:type="dxa"/>
            <w:vAlign w:val="bottom"/>
            <w:gridSpan w:val="5"/>
          </w:tcPr>
          <w:p>
            <w:pPr>
              <w:ind w:left="520"/>
              <w:spacing w:after="0"/>
              <w:rPr>
                <w:sz w:val="20"/>
                <w:szCs w:val="20"/>
                <w:color w:val="auto"/>
              </w:rPr>
            </w:pPr>
            <w:r>
              <w:rPr>
                <w:rFonts w:ascii="Arial" w:cs="Arial" w:eastAsia="Arial" w:hAnsi="Arial"/>
                <w:sz w:val="12"/>
                <w:szCs w:val="12"/>
                <w:b w:val="1"/>
                <w:bCs w:val="1"/>
                <w:color w:val="auto"/>
              </w:rPr>
              <w:t>One month ended</w:t>
            </w:r>
          </w:p>
        </w:tc>
        <w:tc>
          <w:tcPr>
            <w:tcW w:w="120" w:type="dxa"/>
            <w:vAlign w:val="bottom"/>
          </w:tcPr>
          <w:p>
            <w:pPr>
              <w:spacing w:after="0"/>
              <w:rPr>
                <w:sz w:val="13"/>
                <w:szCs w:val="13"/>
                <w:color w:val="auto"/>
              </w:rPr>
            </w:pPr>
          </w:p>
        </w:tc>
        <w:tc>
          <w:tcPr>
            <w:tcW w:w="2060" w:type="dxa"/>
            <w:vAlign w:val="bottom"/>
            <w:gridSpan w:val="4"/>
          </w:tcPr>
          <w:p>
            <w:pPr>
              <w:jc w:val="right"/>
              <w:ind w:right="583"/>
              <w:spacing w:after="0"/>
              <w:rPr>
                <w:sz w:val="20"/>
                <w:szCs w:val="20"/>
                <w:color w:val="auto"/>
              </w:rPr>
            </w:pPr>
            <w:r>
              <w:rPr>
                <w:rFonts w:ascii="Arial" w:cs="Arial" w:eastAsia="Arial" w:hAnsi="Arial"/>
                <w:sz w:val="12"/>
                <w:szCs w:val="12"/>
                <w:b w:val="1"/>
                <w:bCs w:val="1"/>
                <w:color w:val="auto"/>
              </w:rPr>
              <w:t>Six months ended</w:t>
            </w:r>
          </w:p>
        </w:tc>
      </w:tr>
      <w:tr>
        <w:trPr>
          <w:trHeight w:val="148"/>
        </w:trPr>
        <w:tc>
          <w:tcPr>
            <w:tcW w:w="4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4"/>
          </w:tcPr>
          <w:p>
            <w:pPr>
              <w:jc w:val="center"/>
              <w:ind w:right="63"/>
              <w:spacing w:after="0"/>
              <w:rPr>
                <w:sz w:val="20"/>
                <w:szCs w:val="20"/>
                <w:color w:val="auto"/>
              </w:rPr>
            </w:pPr>
            <w:r>
              <w:rPr>
                <w:rFonts w:ascii="Arial" w:cs="Arial" w:eastAsia="Arial" w:hAnsi="Arial"/>
                <w:sz w:val="12"/>
                <w:szCs w:val="12"/>
                <w:b w:val="1"/>
                <w:bCs w:val="1"/>
                <w:color w:val="auto"/>
                <w:w w:val="87"/>
              </w:rPr>
              <w:t>June 30, 2021</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4"/>
          </w:tcPr>
          <w:p>
            <w:pPr>
              <w:jc w:val="right"/>
              <w:ind w:right="683"/>
              <w:spacing w:after="0"/>
              <w:rPr>
                <w:sz w:val="20"/>
                <w:szCs w:val="20"/>
                <w:color w:val="auto"/>
              </w:rPr>
            </w:pPr>
            <w:r>
              <w:rPr>
                <w:rFonts w:ascii="Arial" w:cs="Arial" w:eastAsia="Arial" w:hAnsi="Arial"/>
                <w:sz w:val="12"/>
                <w:szCs w:val="12"/>
                <w:b w:val="1"/>
                <w:bCs w:val="1"/>
                <w:color w:val="auto"/>
              </w:rPr>
              <w:t>June 30, 2020</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4"/>
          </w:tcPr>
          <w:p>
            <w:pPr>
              <w:jc w:val="right"/>
              <w:ind w:right="683"/>
              <w:spacing w:after="0"/>
              <w:rPr>
                <w:sz w:val="20"/>
                <w:szCs w:val="20"/>
                <w:color w:val="auto"/>
              </w:rPr>
            </w:pPr>
            <w:r>
              <w:rPr>
                <w:rFonts w:ascii="Arial" w:cs="Arial" w:eastAsia="Arial" w:hAnsi="Arial"/>
                <w:sz w:val="12"/>
                <w:szCs w:val="12"/>
                <w:b w:val="1"/>
                <w:bCs w:val="1"/>
                <w:color w:val="auto"/>
              </w:rPr>
              <w:t>June 30, 2021</w:t>
            </w:r>
          </w:p>
        </w:tc>
      </w:tr>
      <w:tr>
        <w:trPr>
          <w:trHeight w:val="103"/>
        </w:trPr>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240"/>
              <w:spacing w:after="0" w:line="103" w:lineRule="exact"/>
              <w:rPr>
                <w:sz w:val="20"/>
                <w:szCs w:val="20"/>
                <w:color w:val="auto"/>
              </w:rPr>
            </w:pPr>
            <w:r>
              <w:rPr>
                <w:rFonts w:ascii="Arial" w:cs="Arial" w:eastAsia="Arial" w:hAnsi="Arial"/>
                <w:sz w:val="11"/>
                <w:szCs w:val="11"/>
                <w:b w:val="1"/>
                <w:bCs w:val="1"/>
                <w:color w:val="auto"/>
                <w:w w:val="97"/>
              </w:rPr>
              <w:t>Net Premiums</w:t>
            </w:r>
          </w:p>
        </w:tc>
        <w:tc>
          <w:tcPr>
            <w:tcW w:w="120" w:type="dxa"/>
            <w:vAlign w:val="bottom"/>
          </w:tcPr>
          <w:p>
            <w:pPr>
              <w:spacing w:after="0"/>
              <w:rPr>
                <w:sz w:val="8"/>
                <w:szCs w:val="8"/>
                <w:color w:val="auto"/>
              </w:rPr>
            </w:pPr>
          </w:p>
        </w:tc>
        <w:tc>
          <w:tcPr>
            <w:tcW w:w="880" w:type="dxa"/>
            <w:vAlign w:val="bottom"/>
          </w:tcPr>
          <w:p>
            <w:pPr>
              <w:jc w:val="center"/>
              <w:ind w:right="83"/>
              <w:spacing w:after="0" w:line="103" w:lineRule="exact"/>
              <w:rPr>
                <w:sz w:val="20"/>
                <w:szCs w:val="20"/>
                <w:color w:val="auto"/>
              </w:rPr>
            </w:pPr>
            <w:r>
              <w:rPr>
                <w:rFonts w:ascii="Arial" w:cs="Arial" w:eastAsia="Arial" w:hAnsi="Arial"/>
                <w:sz w:val="11"/>
                <w:szCs w:val="11"/>
                <w:b w:val="1"/>
                <w:bCs w:val="1"/>
                <w:color w:val="auto"/>
                <w:w w:val="96"/>
              </w:rPr>
              <w:t>Net Benefits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7"/>
              </w:rPr>
              <w:t>Net Premiums</w:t>
            </w:r>
          </w:p>
        </w:tc>
        <w:tc>
          <w:tcPr>
            <w:tcW w:w="140" w:type="dxa"/>
            <w:vAlign w:val="bottom"/>
          </w:tcPr>
          <w:p>
            <w:pPr>
              <w:spacing w:after="0"/>
              <w:rPr>
                <w:sz w:val="8"/>
                <w:szCs w:val="8"/>
                <w:color w:val="auto"/>
              </w:rPr>
            </w:pPr>
          </w:p>
        </w:tc>
        <w:tc>
          <w:tcPr>
            <w:tcW w:w="900" w:type="dxa"/>
            <w:vAlign w:val="bottom"/>
          </w:tcPr>
          <w:p>
            <w:pPr>
              <w:jc w:val="center"/>
              <w:ind w:right="83"/>
              <w:spacing w:after="0" w:line="103" w:lineRule="exact"/>
              <w:rPr>
                <w:sz w:val="20"/>
                <w:szCs w:val="20"/>
                <w:color w:val="auto"/>
              </w:rPr>
            </w:pPr>
            <w:r>
              <w:rPr>
                <w:rFonts w:ascii="Arial" w:cs="Arial" w:eastAsia="Arial" w:hAnsi="Arial"/>
                <w:sz w:val="11"/>
                <w:szCs w:val="11"/>
                <w:b w:val="1"/>
                <w:bCs w:val="1"/>
                <w:color w:val="auto"/>
                <w:w w:val="93"/>
              </w:rPr>
              <w:t>Net Benefits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20"/>
              <w:spacing w:after="0" w:line="103" w:lineRule="exact"/>
              <w:rPr>
                <w:sz w:val="20"/>
                <w:szCs w:val="20"/>
                <w:color w:val="auto"/>
              </w:rPr>
            </w:pPr>
            <w:r>
              <w:rPr>
                <w:rFonts w:ascii="Arial" w:cs="Arial" w:eastAsia="Arial" w:hAnsi="Arial"/>
                <w:sz w:val="11"/>
                <w:szCs w:val="11"/>
                <w:b w:val="1"/>
                <w:bCs w:val="1"/>
                <w:color w:val="auto"/>
                <w:w w:val="97"/>
              </w:rPr>
              <w:t>Net Premiums</w:t>
            </w:r>
          </w:p>
        </w:tc>
        <w:tc>
          <w:tcPr>
            <w:tcW w:w="160" w:type="dxa"/>
            <w:vAlign w:val="bottom"/>
          </w:tcPr>
          <w:p>
            <w:pPr>
              <w:spacing w:after="0"/>
              <w:rPr>
                <w:sz w:val="8"/>
                <w:szCs w:val="8"/>
                <w:color w:val="auto"/>
              </w:rPr>
            </w:pPr>
          </w:p>
        </w:tc>
        <w:tc>
          <w:tcPr>
            <w:tcW w:w="880" w:type="dxa"/>
            <w:vAlign w:val="bottom"/>
          </w:tcPr>
          <w:p>
            <w:pPr>
              <w:jc w:val="right"/>
              <w:ind w:right="163"/>
              <w:spacing w:after="0" w:line="103" w:lineRule="exact"/>
              <w:rPr>
                <w:sz w:val="20"/>
                <w:szCs w:val="20"/>
                <w:color w:val="auto"/>
              </w:rPr>
            </w:pPr>
            <w:r>
              <w:rPr>
                <w:rFonts w:ascii="Arial" w:cs="Arial" w:eastAsia="Arial" w:hAnsi="Arial"/>
                <w:sz w:val="11"/>
                <w:szCs w:val="11"/>
                <w:b w:val="1"/>
                <w:bCs w:val="1"/>
                <w:color w:val="auto"/>
                <w:w w:val="99"/>
              </w:rPr>
              <w:t>Net Benefits</w:t>
            </w:r>
          </w:p>
        </w:tc>
      </w:tr>
      <w:tr>
        <w:trPr>
          <w:trHeight w:val="152"/>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Earned</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Incurred</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Earned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Incurred</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Earned</w:t>
            </w:r>
          </w:p>
        </w:tc>
        <w:tc>
          <w:tcPr>
            <w:tcW w:w="160" w:type="dxa"/>
            <w:vAlign w:val="bottom"/>
          </w:tcPr>
          <w:p>
            <w:pPr>
              <w:spacing w:after="0"/>
              <w:rPr>
                <w:sz w:val="13"/>
                <w:szCs w:val="13"/>
                <w:color w:val="auto"/>
              </w:rPr>
            </w:pPr>
          </w:p>
        </w:tc>
        <w:tc>
          <w:tcPr>
            <w:tcW w:w="880" w:type="dxa"/>
            <w:vAlign w:val="bottom"/>
          </w:tcPr>
          <w:p>
            <w:pPr>
              <w:jc w:val="right"/>
              <w:ind w:right="243"/>
              <w:spacing w:after="0"/>
              <w:rPr>
                <w:sz w:val="20"/>
                <w:szCs w:val="20"/>
                <w:color w:val="auto"/>
              </w:rPr>
            </w:pPr>
            <w:r>
              <w:rPr>
                <w:rFonts w:ascii="Arial" w:cs="Arial" w:eastAsia="Arial" w:hAnsi="Arial"/>
                <w:sz w:val="12"/>
                <w:szCs w:val="12"/>
                <w:b w:val="1"/>
                <w:bCs w:val="1"/>
                <w:color w:val="auto"/>
              </w:rPr>
              <w:t>Incurred</w:t>
            </w:r>
          </w:p>
        </w:tc>
      </w:tr>
      <w:tr>
        <w:trPr>
          <w:trHeight w:val="147"/>
        </w:trPr>
        <w:tc>
          <w:tcPr>
            <w:tcW w:w="462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color w:val="auto"/>
              </w:rPr>
              <w:t>Direct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shd w:val="clear" w:color="auto" w:fill="CCEEFF"/>
          </w:tcPr>
          <w:p>
            <w:pPr>
              <w:jc w:val="center"/>
              <w:ind w:left="523"/>
              <w:spacing w:after="0"/>
              <w:rPr>
                <w:sz w:val="20"/>
                <w:szCs w:val="20"/>
                <w:color w:val="auto"/>
              </w:rPr>
            </w:pPr>
            <w:r>
              <w:rPr>
                <w:rFonts w:ascii="Arial" w:cs="Arial" w:eastAsia="Arial" w:hAnsi="Arial"/>
                <w:sz w:val="12"/>
                <w:szCs w:val="12"/>
                <w:color w:val="auto"/>
                <w:w w:val="89"/>
              </w:rPr>
              <w:t>891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center"/>
              <w:ind w:left="622"/>
              <w:spacing w:after="0"/>
              <w:rPr>
                <w:sz w:val="20"/>
                <w:szCs w:val="20"/>
                <w:color w:val="auto"/>
              </w:rPr>
            </w:pPr>
            <w:r>
              <w:rPr>
                <w:rFonts w:ascii="Arial" w:cs="Arial" w:eastAsia="Arial" w:hAnsi="Arial"/>
                <w:sz w:val="12"/>
                <w:szCs w:val="12"/>
                <w:color w:val="auto"/>
                <w:w w:val="89"/>
              </w:rPr>
              <w:t>87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1,185</w:t>
            </w:r>
          </w:p>
        </w:tc>
      </w:tr>
      <w:tr>
        <w:trPr>
          <w:trHeight w:val="151"/>
        </w:trPr>
        <w:tc>
          <w:tcPr>
            <w:tcW w:w="4620" w:type="dxa"/>
            <w:vAlign w:val="bottom"/>
          </w:tcPr>
          <w:p>
            <w:pPr>
              <w:ind w:left="20"/>
              <w:spacing w:after="0"/>
              <w:rPr>
                <w:sz w:val="20"/>
                <w:szCs w:val="20"/>
                <w:color w:val="auto"/>
              </w:rPr>
            </w:pPr>
            <w:r>
              <w:rPr>
                <w:rFonts w:ascii="Arial" w:cs="Arial" w:eastAsia="Arial" w:hAnsi="Arial"/>
                <w:sz w:val="12"/>
                <w:szCs w:val="12"/>
                <w:color w:val="auto"/>
              </w:rPr>
              <w:t>Ceded</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left="523"/>
              <w:spacing w:after="0"/>
              <w:rPr>
                <w:sz w:val="20"/>
                <w:szCs w:val="20"/>
                <w:color w:val="auto"/>
              </w:rPr>
            </w:pPr>
            <w:r>
              <w:rPr>
                <w:rFonts w:ascii="Arial" w:cs="Arial" w:eastAsia="Arial" w:hAnsi="Arial"/>
                <w:sz w:val="12"/>
                <w:szCs w:val="12"/>
                <w:color w:val="auto"/>
                <w:w w:val="92"/>
              </w:rPr>
              <w:t>(316)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20" w:type="dxa"/>
            <w:vAlign w:val="bottom"/>
          </w:tcPr>
          <w:p>
            <w:pPr>
              <w:jc w:val="center"/>
              <w:ind w:left="622"/>
              <w:spacing w:after="0"/>
              <w:rPr>
                <w:sz w:val="20"/>
                <w:szCs w:val="20"/>
                <w:color w:val="auto"/>
              </w:rPr>
            </w:pPr>
            <w:r>
              <w:rPr>
                <w:rFonts w:ascii="Arial" w:cs="Arial" w:eastAsia="Arial" w:hAnsi="Arial"/>
                <w:sz w:val="12"/>
                <w:szCs w:val="12"/>
                <w:color w:val="auto"/>
                <w:w w:val="93"/>
              </w:rPr>
              <w:t>(71)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(636)</w:t>
            </w:r>
          </w:p>
        </w:tc>
      </w:tr>
      <w:tr>
        <w:trPr>
          <w:trHeight w:val="173"/>
        </w:trPr>
        <w:tc>
          <w:tcPr>
            <w:tcW w:w="4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shd w:val="clear" w:color="auto" w:fill="CCEEFF"/>
          </w:tcPr>
          <w:p>
            <w:pPr>
              <w:jc w:val="center"/>
              <w:ind w:left="523"/>
              <w:spacing w:after="0"/>
              <w:rPr>
                <w:sz w:val="20"/>
                <w:szCs w:val="20"/>
                <w:color w:val="auto"/>
              </w:rPr>
            </w:pPr>
            <w:r>
              <w:rPr>
                <w:rFonts w:ascii="Arial" w:cs="Arial" w:eastAsia="Arial" w:hAnsi="Arial"/>
                <w:sz w:val="12"/>
                <w:szCs w:val="12"/>
                <w:color w:val="auto"/>
                <w:w w:val="89"/>
              </w:rPr>
              <w:t>575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center"/>
              <w:ind w:left="622"/>
              <w:spacing w:after="0"/>
              <w:rPr>
                <w:sz w:val="20"/>
                <w:szCs w:val="20"/>
                <w:color w:val="auto"/>
              </w:rPr>
            </w:pPr>
            <w:r>
              <w:rPr>
                <w:rFonts w:ascii="Arial" w:cs="Arial" w:eastAsia="Arial" w:hAnsi="Arial"/>
                <w:sz w:val="12"/>
                <w:szCs w:val="12"/>
                <w:color w:val="auto"/>
                <w:w w:val="89"/>
              </w:rPr>
              <w:t>16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Amounts payable or recoverable for reinsurance on paid and unpaid claims are not subject to periodic or maximum limits. F&amp;G did not write off any significant reinsurance balances during the six months ended June 30, 2021 and one month ended June 30, 2020. F&amp;G did not commute any ceded reinsurance treaties during the six months ended June 30, 2021 or one month ended June 30, 2020.</w:t>
      </w:r>
    </w:p>
    <w:p>
      <w:pPr>
        <w:spacing w:after="0" w:line="24" w:lineRule="exact"/>
        <w:rPr>
          <w:sz w:val="20"/>
          <w:szCs w:val="20"/>
          <w:color w:val="auto"/>
        </w:rPr>
      </w:pPr>
    </w:p>
    <w:p>
      <w:pPr>
        <w:jc w:val="both"/>
        <w:ind w:firstLine="330"/>
        <w:spacing w:after="0" w:line="299" w:lineRule="auto"/>
        <w:rPr>
          <w:sz w:val="20"/>
          <w:szCs w:val="20"/>
          <w:color w:val="auto"/>
        </w:rPr>
      </w:pPr>
      <w:r>
        <w:rPr>
          <w:rFonts w:ascii="Arial" w:cs="Arial" w:eastAsia="Arial" w:hAnsi="Arial"/>
          <w:sz w:val="13"/>
          <w:szCs w:val="13"/>
          <w:color w:val="auto"/>
        </w:rPr>
        <w:t>Following the adoption of ASC 326, 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During the three and six months ended June 30, 2021, the expected credit loss reserve decreased from $21 million to $20 million. As of the June 1, 2020 acquisition of F&amp;G, due to purchase accounting adjustments, our expected credit loss reserve was valued at $0. During the one month ended June 30, 2020, the expected credit loss reserve was increased to $21 million.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 policies issued by F&amp;G have been reinsured with any foreign company, which is controlled, either directly or indirectly, by a party not primarily engaged in the business of insurance.</w:t>
      </w:r>
    </w:p>
    <w:p>
      <w:pPr>
        <w:spacing w:after="0" w:line="70"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F&amp;G has not entered into any reinsurance agreements in which the reinsurer may unilaterally cancel any reinsurance for reasons other than non-payment of premiums or other similar credit issues.</w:t>
      </w:r>
    </w:p>
    <w:p>
      <w:pPr>
        <w:spacing w:after="0" w:line="16" w:lineRule="exact"/>
        <w:rPr>
          <w:sz w:val="20"/>
          <w:szCs w:val="20"/>
          <w:color w:val="auto"/>
        </w:rPr>
      </w:pPr>
    </w:p>
    <w:p>
      <w:pPr>
        <w:jc w:val="both"/>
        <w:ind w:firstLine="330"/>
        <w:spacing w:after="0" w:line="249" w:lineRule="auto"/>
        <w:rPr>
          <w:sz w:val="20"/>
          <w:szCs w:val="20"/>
          <w:color w:val="auto"/>
        </w:rPr>
      </w:pPr>
      <w:r>
        <w:rPr>
          <w:rFonts w:ascii="Arial" w:cs="Arial" w:eastAsia="Arial" w:hAnsi="Arial"/>
          <w:sz w:val="15"/>
          <w:szCs w:val="15"/>
          <w:color w:val="auto"/>
        </w:rPr>
        <w:t>Effective May 1, 2020, FGL Insurance entered into an indemnity reinsurance agreement with Canada Life Assurance Company United States Branch, a third party reinsurer, to reinsure FIA policies with guaranteed minimum withdrawal benefits ("GMWB"). In accordance with the terms of this agreement, FGL Insurance cedes a quota share percentage of the net retention of guarantee payments in excess of account value for GMWB. Effective January 1, 2021, FGL Insurance amended this agreement to include the GMWB rider for its SecureIncome 7 product. The effects of this agreement are not accounted for as reinsurance as it does not satisfy the risk transfer requirements for GAAP, since it is not “reasonably possible” that the reinsurer may realize significant loss from assuming the insurance risk.</w:t>
      </w:r>
    </w:p>
    <w:p>
      <w:pPr>
        <w:spacing w:after="0" w:line="28" w:lineRule="exact"/>
        <w:rPr>
          <w:sz w:val="20"/>
          <w:szCs w:val="20"/>
          <w:color w:val="auto"/>
        </w:rPr>
      </w:pPr>
    </w:p>
    <w:p>
      <w:pPr>
        <w:jc w:val="both"/>
        <w:ind w:firstLine="330"/>
        <w:spacing w:after="0" w:line="317" w:lineRule="auto"/>
        <w:rPr>
          <w:sz w:val="20"/>
          <w:szCs w:val="20"/>
          <w:color w:val="auto"/>
        </w:rPr>
      </w:pPr>
      <w:r>
        <w:rPr>
          <w:rFonts w:ascii="Arial" w:cs="Arial" w:eastAsia="Arial" w:hAnsi="Arial"/>
          <w:sz w:val="13"/>
          <w:szCs w:val="13"/>
          <w:color w:val="auto"/>
        </w:rPr>
        <w:t>On January 15, 2021, FGL Insurance executed a Funds Withheld Coinsurance Agreement with ASPIDA Life Re Ltd ("Aspida Re"), a Bermuda reinsurer. In accordance with the terms of this agreement, F&amp;G cedes to the reinsurer, on a fifty percent (50%) funds withheld coinsurance basis, certain multiyear guaranteed annuity business written effective January 1, 2021.</w:t>
      </w:r>
    </w:p>
    <w:p>
      <w:pPr>
        <w:spacing w:after="0" w:line="1" w:lineRule="exact"/>
        <w:rPr>
          <w:sz w:val="20"/>
          <w:szCs w:val="20"/>
          <w:color w:val="auto"/>
        </w:rPr>
      </w:pPr>
    </w:p>
    <w:p>
      <w:pPr>
        <w:jc w:val="both"/>
        <w:ind w:firstLine="330"/>
        <w:spacing w:after="0" w:line="311" w:lineRule="auto"/>
        <w:rPr>
          <w:sz w:val="20"/>
          <w:szCs w:val="20"/>
          <w:color w:val="auto"/>
        </w:rPr>
      </w:pPr>
      <w:r>
        <w:rPr>
          <w:rFonts w:ascii="Arial" w:cs="Arial" w:eastAsia="Arial" w:hAnsi="Arial"/>
          <w:sz w:val="13"/>
          <w:szCs w:val="13"/>
          <w:color w:val="auto"/>
        </w:rPr>
        <w:t>On May 31, 2021, two Novation Agreements were executed by and among Freestone Re Ltd., an exempted company incorporated in the Cayman Islands with limited liability (the “New Reinsurer”), Front Street Re (Cayman) Ltd., an exempted company incorporated in the Cayman Islands with limited liability (the “Original Reinsurer”) and FGL Insurance. The effective dates of the agreements are April 1, 2021. As these agreements are intercompany both before and after the novation, they are eliminated in consolidation for GAAP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Concentration of Reinsurance Risk</w:t>
      </w:r>
    </w:p>
    <w:p>
      <w:pPr>
        <w:spacing w:after="0" w:line="69" w:lineRule="exact"/>
        <w:rPr>
          <w:sz w:val="20"/>
          <w:szCs w:val="20"/>
          <w:color w:val="auto"/>
        </w:rPr>
      </w:pPr>
    </w:p>
    <w:p>
      <w:pPr>
        <w:jc w:val="both"/>
        <w:ind w:firstLine="330"/>
        <w:spacing w:after="0" w:line="292" w:lineRule="auto"/>
        <w:rPr>
          <w:sz w:val="20"/>
          <w:szCs w:val="20"/>
          <w:color w:val="auto"/>
        </w:rPr>
      </w:pPr>
      <w:r>
        <w:rPr>
          <w:rFonts w:ascii="Arial" w:cs="Arial" w:eastAsia="Arial" w:hAnsi="Arial"/>
          <w:sz w:val="13"/>
          <w:szCs w:val="13"/>
          <w:color w:val="auto"/>
        </w:rPr>
        <w:t>F&amp;G has a significant concentration of reinsurance risk with third party reinsurers, Wilton Reassurance Company (“Wilton Re”), Kubera and Aspida Re that could have a material impact on the Company’s financial position in the event that any of these reinsurers fail to perform their obligations under the various reinsurance treaties. Wilton Re is a wholly-owned subsidiary of Canada Pension Plan Investment Board ("CPPIB"). CPPIB has an AAA issuer credit rating from Standard &amp; Poor's Ratings Services ("S&amp;P") as of June 30, 2021. Kubera is not rated, however, management has attempted to mitigate the risk of non-performance through the funds withheld arrangement. As of June 30, 2021, Aspida Re has a A- issuer credit rating from AM Best and a BBB from Fitch. As of June 30, 2021, the net amount recoverable from Wilton Re, Kubera, and Aspida Re was $1,378 million, $794 million, and $488 million, respectively. The Company monitors both the financial condition of individual reinsurers and risk concentration arising from similar activities and economic characteristics of reinsurers to attempt to reduce the risk of default by such reinsurers. The Company believes that all amounts due from Wilton Re, Kubera and Aspida Re for periodic treaty settlements are collectible as of June 30, 2021.</w:t>
      </w:r>
    </w:p>
    <w:p>
      <w:pPr>
        <w:spacing w:after="0" w:line="23" w:lineRule="exact"/>
        <w:rPr>
          <w:sz w:val="20"/>
          <w:szCs w:val="20"/>
          <w:color w:val="auto"/>
        </w:rPr>
      </w:pPr>
    </w:p>
    <w:p>
      <w:pPr>
        <w:jc w:val="both"/>
        <w:ind w:firstLine="330"/>
        <w:spacing w:after="0" w:line="311" w:lineRule="auto"/>
        <w:rPr>
          <w:sz w:val="20"/>
          <w:szCs w:val="20"/>
          <w:color w:val="auto"/>
        </w:rPr>
      </w:pPr>
      <w:r>
        <w:rPr>
          <w:rFonts w:ascii="Arial" w:cs="Arial" w:eastAsia="Arial" w:hAnsi="Arial"/>
          <w:sz w:val="13"/>
          <w:szCs w:val="13"/>
          <w:color w:val="auto"/>
        </w:rPr>
        <w:t>On March 6, 2019, Scottish Re (U.S.), Inc. (“SRUS”), a Delaware domestic life and health reinsurer of FGL Insurance, was ordered into receivership for purposes of rehabilitation. As of June 30, 2021, the net amount recoverable from SRUS was $28 million. The financial exposure related to these ceded reserves are substantially mitigated via a reinsurance agreement whereby Wilton Re assumes treaty non-performance including credit risk for this business. Wilton Re is currently meeting all conditions related to these assumed obligations.</w:t>
      </w:r>
    </w:p>
    <w:p>
      <w:pPr>
        <w:spacing w:after="0" w:line="12" w:lineRule="exact"/>
        <w:rPr>
          <w:sz w:val="20"/>
          <w:szCs w:val="20"/>
          <w:color w:val="auto"/>
        </w:rPr>
      </w:pPr>
    </w:p>
    <w:p>
      <w:pPr>
        <w:jc w:val="both"/>
        <w:ind w:firstLine="330"/>
        <w:spacing w:after="0" w:line="247" w:lineRule="auto"/>
        <w:rPr>
          <w:sz w:val="20"/>
          <w:szCs w:val="20"/>
          <w:color w:val="auto"/>
        </w:rPr>
      </w:pPr>
      <w:r>
        <w:rPr>
          <w:rFonts w:ascii="Arial" w:cs="Arial" w:eastAsia="Arial" w:hAnsi="Arial"/>
          <w:sz w:val="15"/>
          <w:szCs w:val="15"/>
          <w:color w:val="auto"/>
        </w:rPr>
        <w:t>On July 9, 2019, Pavonia Life Insurance Company of Michigan (“Pavonia”), a Michigan domiciled life, accident, and health insurance company, was placed into rehabilitation. While the court order indicated that Pavonia had a stable financial condition and lack of non-insurance affiliated investments, the Director of the Michigan Department of Insurance and Financial Services (“MDIFS") has concerns relating to Pavonia's parent company. To insulate Pavonia from its parent until a pending acquisition transaction could be consummated, MDIFS placed Pavonia under supervision and rehabilitation. As of June 30, 2021, the net amount recoverable from Pavonia was $76 million. On July 15, 2021, Aspida Holdings Ltd. (“Aspida”) acquired Global Bankers Insurance Group, LLC, the parent company of Pavonia, and is now known as Aspida Financial Services, LLC (“Aspida Financial”). Following the acquisition, Pavonia is no longer in rehabilitation. The financial exposure related to these ceded reserves is also substantially mitigated via a reinsurance agreement whereby Wilton Re assumes treaty non-performance including credit risk for this business.</w:t>
      </w:r>
    </w:p>
    <w:p>
      <w:pPr>
        <w:spacing w:after="0" w:line="54"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There have been no other material changes in the reinsurance and the intercompany reinsurance agreements described in our Annual Report on Form 10-K for the year ended December 31, 2020.</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M — F&amp;G Insurance Subsidiary Financial Information and Regulatory Matters</w:t>
      </w:r>
    </w:p>
    <w:p>
      <w:pPr>
        <w:spacing w:after="0" w:line="73" w:lineRule="exact"/>
        <w:rPr>
          <w:sz w:val="20"/>
          <w:szCs w:val="20"/>
          <w:color w:val="auto"/>
        </w:rPr>
      </w:pPr>
    </w:p>
    <w:p>
      <w:pPr>
        <w:jc w:val="both"/>
        <w:ind w:firstLine="330"/>
        <w:spacing w:after="0" w:line="268" w:lineRule="auto"/>
        <w:rPr>
          <w:sz w:val="20"/>
          <w:szCs w:val="20"/>
          <w:color w:val="auto"/>
        </w:rPr>
      </w:pPr>
      <w:r>
        <w:rPr>
          <w:rFonts w:ascii="Arial" w:cs="Arial" w:eastAsia="Arial" w:hAnsi="Arial"/>
          <w:sz w:val="14"/>
          <w:szCs w:val="14"/>
          <w:color w:val="auto"/>
        </w:rPr>
        <w:t>Our U.S. insurance subsidiaries, FGL Insurance, Fidelity &amp; Guaranty Life Insurance Company of New York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F&amp;G Cayman Re, Freestone Re (Cayman) and F&amp;G Life Re (Bermuda) file financial statements with their respective regulators that are based on U.S. GAAP.</w:t>
      </w:r>
    </w:p>
    <w:p>
      <w:pPr>
        <w:spacing w:after="0" w:line="69"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4"/>
          <w:szCs w:val="14"/>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$106 million and $144 million decrease to statutory capital and surplus at June 30, 2021 and December 31, 2020,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20" w:lineRule="exact"/>
        <w:rPr>
          <w:sz w:val="20"/>
          <w:szCs w:val="20"/>
          <w:color w:val="auto"/>
        </w:rPr>
      </w:pPr>
    </w:p>
    <w:p>
      <w:pPr>
        <w:jc w:val="both"/>
        <w:ind w:firstLine="363"/>
        <w:spacing w:after="0" w:line="264" w:lineRule="auto"/>
        <w:rPr>
          <w:sz w:val="20"/>
          <w:szCs w:val="20"/>
          <w:color w:val="auto"/>
        </w:rPr>
      </w:pPr>
      <w:r>
        <w:rPr>
          <w:rFonts w:ascii="Arial" w:cs="Arial" w:eastAsia="Arial" w:hAnsi="Arial"/>
          <w:sz w:val="15"/>
          <w:szCs w:val="15"/>
          <w:color w:val="auto"/>
        </w:rPr>
        <w:t>FGL Insurance’s statutory carrying value of Raven Re reflects the effect of permitted practices Raven Re received to treat the available amount of a letter of credit as an admitted asset which increased Raven Re’s statutory capital and surplus by $85 million at June 30, 2021 and December 31, 2020.</w:t>
      </w:r>
    </w:p>
    <w:p>
      <w:pPr>
        <w:spacing w:after="0" w:line="38" w:lineRule="exact"/>
        <w:rPr>
          <w:sz w:val="20"/>
          <w:szCs w:val="20"/>
          <w:color w:val="auto"/>
        </w:rPr>
      </w:pPr>
    </w:p>
    <w:p>
      <w:pPr>
        <w:jc w:val="both"/>
        <w:ind w:firstLine="363"/>
        <w:spacing w:after="0" w:line="271" w:lineRule="auto"/>
        <w:rPr>
          <w:sz w:val="20"/>
          <w:szCs w:val="20"/>
          <w:color w:val="auto"/>
        </w:rPr>
      </w:pPr>
      <w:r>
        <w:rPr>
          <w:rFonts w:ascii="Arial" w:cs="Arial" w:eastAsia="Arial" w:hAnsi="Arial"/>
          <w:sz w:val="14"/>
          <w:szCs w:val="14"/>
          <w:color w:val="auto"/>
        </w:rPr>
        <w:t>Raven Re is also permitted to follow Iowa prescribed statutory accounting practice for its reserves on reinsurance assumed from FGL Insurance which increased Raven Re’s statutory capital and surplus by $5 million at June 30, 2021 and December 31, 2020. Without such permitted statutory accounting practices Raven Re’s statutory capital and surplus (deficit) would be $5 million as of June 30, 2021 and would be $(6) million as of December 31, 2020, and its risk-based capital would fall below the 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was $95 million and $84 million at June 30, 2021 and December 31, 2020, respectively.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June 30, 2021, FGL NY Insurance did not follow any prescribed or permitted statutory accounting practices that differ from the NAIC's statutory accounting practices.</w:t>
      </w:r>
    </w:p>
    <w:p>
      <w:pPr>
        <w:spacing w:after="0" w:line="8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2"/>
        </w:trPr>
        <w:tc>
          <w:tcPr>
            <w:tcW w:w="10020" w:type="dxa"/>
            <w:vAlign w:val="bottom"/>
            <w:gridSpan w:val="2"/>
          </w:tcPr>
          <w:p>
            <w:pPr>
              <w:spacing w:after="0"/>
              <w:rPr>
                <w:rFonts w:ascii="Arial" w:cs="Arial" w:eastAsia="Arial" w:hAnsi="Arial"/>
                <w:sz w:val="15"/>
                <w:szCs w:val="15"/>
                <w:color w:val="0000FF"/>
              </w:rPr>
            </w:pPr>
            <w:hyperlink w:anchor="page2">
              <w:r>
                <w:rPr>
                  <w:rFonts w:ascii="Arial" w:cs="Arial" w:eastAsia="Arial" w:hAnsi="Arial"/>
                  <w:sz w:val="15"/>
                  <w:szCs w:val="15"/>
                  <w:color w:val="0000FF"/>
                </w:rPr>
                <w:t>Table of Contents</w:t>
              </w:r>
            </w:hyperlink>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936"/>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Note N — Acquisitions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4"/>
        </w:trPr>
        <w:tc>
          <w:tcPr>
            <w:tcW w:w="10020" w:type="dxa"/>
            <w:vAlign w:val="bottom"/>
            <w:gridSpan w:val="2"/>
          </w:tcPr>
          <w:p>
            <w:pPr>
              <w:ind w:left="280"/>
              <w:spacing w:after="0"/>
              <w:rPr>
                <w:sz w:val="20"/>
                <w:szCs w:val="20"/>
                <w:color w:val="auto"/>
              </w:rPr>
            </w:pPr>
            <w:r>
              <w:rPr>
                <w:rFonts w:ascii="Arial" w:cs="Arial" w:eastAsia="Arial" w:hAnsi="Arial"/>
                <w:sz w:val="15"/>
                <w:szCs w:val="15"/>
                <w:i w:val="1"/>
                <w:iCs w:val="1"/>
                <w:color w:val="auto"/>
              </w:rPr>
              <w:t>F&amp;G</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3"/>
        </w:trPr>
        <w:tc>
          <w:tcPr>
            <w:tcW w:w="10020" w:type="dxa"/>
            <w:vAlign w:val="bottom"/>
            <w:gridSpan w:val="2"/>
          </w:tcPr>
          <w:p>
            <w:pPr>
              <w:ind w:left="280"/>
              <w:spacing w:after="0"/>
              <w:rPr>
                <w:sz w:val="20"/>
                <w:szCs w:val="20"/>
                <w:color w:val="auto"/>
              </w:rPr>
            </w:pPr>
            <w:r>
              <w:rPr>
                <w:rFonts w:ascii="Arial" w:cs="Arial" w:eastAsia="Arial" w:hAnsi="Arial"/>
                <w:sz w:val="15"/>
                <w:szCs w:val="15"/>
                <w:color w:val="auto"/>
              </w:rPr>
              <w:t>On June 1, 2020, we acquired 100% of the outstanding equity of F&amp;G for approximately $2.7 billion.</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52"/>
        </w:trPr>
        <w:tc>
          <w:tcPr>
            <w:tcW w:w="10020" w:type="dxa"/>
            <w:vAlign w:val="bottom"/>
            <w:gridSpan w:val="2"/>
          </w:tcPr>
          <w:p>
            <w:pPr>
              <w:spacing w:after="0"/>
              <w:rPr>
                <w:sz w:val="20"/>
                <w:szCs w:val="20"/>
                <w:color w:val="auto"/>
              </w:rPr>
            </w:pPr>
            <w:r>
              <w:rPr>
                <w:rFonts w:ascii="Arial" w:cs="Arial" w:eastAsia="Arial" w:hAnsi="Arial"/>
                <w:sz w:val="15"/>
                <w:szCs w:val="15"/>
                <w:color w:val="auto"/>
              </w:rPr>
              <w:t>The purchase price is as follows (in millions):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9"/>
        </w:trPr>
        <w:tc>
          <w:tcPr>
            <w:tcW w:w="100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7"/>
        </w:trPr>
        <w:tc>
          <w:tcPr>
            <w:tcW w:w="10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paid for outstanding F&amp;G shares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w:t>
            </w:r>
          </w:p>
        </w:tc>
      </w:tr>
      <w:tr>
        <w:trPr>
          <w:trHeight w:val="187"/>
        </w:trPr>
        <w:tc>
          <w:tcPr>
            <w:tcW w:w="100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Cash Acquired</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w:t>
            </w:r>
          </w:p>
        </w:tc>
      </w:tr>
      <w:tr>
        <w:trPr>
          <w:trHeight w:val="178"/>
        </w:trPr>
        <w:tc>
          <w:tcPr>
            <w:tcW w:w="10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paid for F&amp;G</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w:t>
            </w:r>
          </w:p>
        </w:tc>
      </w:tr>
      <w:tr>
        <w:trPr>
          <w:trHeight w:val="187"/>
        </w:trPr>
        <w:tc>
          <w:tcPr>
            <w:tcW w:w="10020" w:type="dxa"/>
            <w:vAlign w:val="bottom"/>
            <w:gridSpan w:val="2"/>
          </w:tcPr>
          <w:p>
            <w:pPr>
              <w:ind w:left="20"/>
              <w:spacing w:after="0"/>
              <w:rPr>
                <w:sz w:val="20"/>
                <w:szCs w:val="20"/>
                <w:color w:val="auto"/>
              </w:rPr>
            </w:pPr>
            <w:r>
              <w:rPr>
                <w:rFonts w:ascii="Arial" w:cs="Arial" w:eastAsia="Arial" w:hAnsi="Arial"/>
                <w:sz w:val="15"/>
                <w:szCs w:val="15"/>
                <w:color w:val="auto"/>
              </w:rPr>
              <w:t>Value of FNF share consideration</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806</w:t>
            </w:r>
          </w:p>
        </w:tc>
      </w:tr>
      <w:tr>
        <w:trPr>
          <w:trHeight w:val="187"/>
        </w:trPr>
        <w:tc>
          <w:tcPr>
            <w:tcW w:w="10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Value of outstanding converted equity awards attributed to services already rendered</w:t>
            </w: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78"/>
        </w:trPr>
        <w:tc>
          <w:tcPr>
            <w:tcW w:w="10020" w:type="dxa"/>
            <w:vAlign w:val="bottom"/>
            <w:gridSpan w:val="2"/>
          </w:tcPr>
          <w:p>
            <w:pPr>
              <w:ind w:left="20"/>
              <w:spacing w:after="0"/>
              <w:rPr>
                <w:sz w:val="20"/>
                <w:szCs w:val="20"/>
                <w:color w:val="auto"/>
              </w:rPr>
            </w:pPr>
            <w:r>
              <w:rPr>
                <w:rFonts w:ascii="Arial" w:cs="Arial" w:eastAsia="Arial" w:hAnsi="Arial"/>
                <w:sz w:val="15"/>
                <w:szCs w:val="15"/>
                <w:color w:val="auto"/>
              </w:rPr>
              <w:t>Total net consideration paid</w:t>
            </w: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1,910</w:t>
            </w:r>
          </w:p>
        </w:tc>
      </w:tr>
      <w:tr>
        <w:trPr>
          <w:trHeight w:val="20"/>
        </w:trPr>
        <w:tc>
          <w:tcPr>
            <w:tcW w:w="10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color w:val="auto"/>
        </w:rPr>
        <w:t>The acquisition was accounted for as a business combination under FASB Accounting Standards Codification Topic 805, Business Combinations ("Topic 805").The purchase price has been allocated to F&amp;G's assets acquired and liabilities assumed based on our estimates of their fair values as of June 1, 2020. Goodwill has been recorded based on the amount that the purchase price exceeds the fair value of the net assets acquired. Goodwill consists primarily of intangible assets that do not qualify for separate recognition. The goodwill recorded is not expected to be deductible for tax purposes, except for $16 million related to a prior F&amp;G transaction.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10"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2"/>
        </w:trPr>
        <w:tc>
          <w:tcPr>
            <w:tcW w:w="10040" w:type="dxa"/>
            <w:vAlign w:val="bottom"/>
            <w:gridSpan w:val="3"/>
          </w:tcPr>
          <w:p>
            <w:pPr>
              <w:spacing w:after="0"/>
              <w:rPr>
                <w:rFonts w:ascii="Arial" w:cs="Arial" w:eastAsia="Arial" w:hAnsi="Arial"/>
                <w:sz w:val="15"/>
                <w:szCs w:val="15"/>
                <w:color w:val="0000FF"/>
              </w:rPr>
            </w:pPr>
            <w:hyperlink w:anchor="page2">
              <w:r>
                <w:rPr>
                  <w:rFonts w:ascii="Arial" w:cs="Arial" w:eastAsia="Arial" w:hAnsi="Arial"/>
                  <w:sz w:val="15"/>
                  <w:szCs w:val="15"/>
                  <w:color w:val="0000FF"/>
                </w:rPr>
                <w:t>Table of Contents</w:t>
              </w:r>
            </w:hyperlink>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38"/>
        </w:trPr>
        <w:tc>
          <w:tcPr>
            <w:tcW w:w="2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5"/>
                <w:szCs w:val="15"/>
                <w:color w:val="auto"/>
              </w:rPr>
              <w:t>The final purchase price allocation is as follows (dollars in millions):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b w:val="1"/>
                <w:bCs w:val="1"/>
                <w:color w:val="auto"/>
              </w:rPr>
              <w:t>Fair Value</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Fixed maturity securities</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22,3</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Preferred securities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Equity securities</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Derivative instruments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Mortgage loans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Investments in unconsolidated affiliates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Other long-term investments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Short-term investments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Trade and notes receivable</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Reinsurance recoverable</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Goodwill</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Prepaid expenses and other assets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Lease assets</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Other intangible assets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Deferred tax asset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Assets of discontinued operations</w:t>
            </w: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78"/>
        </w:trPr>
        <w:tc>
          <w:tcPr>
            <w:tcW w:w="280" w:type="dxa"/>
            <w:vAlign w:val="bottom"/>
          </w:tcPr>
          <w:p>
            <w:pPr>
              <w:spacing w:after="0"/>
              <w:rPr>
                <w:sz w:val="15"/>
                <w:szCs w:val="15"/>
                <w:color w:val="auto"/>
              </w:rPr>
            </w:pPr>
          </w:p>
        </w:tc>
        <w:tc>
          <w:tcPr>
            <w:tcW w:w="9760" w:type="dxa"/>
            <w:vAlign w:val="bottom"/>
            <w:gridSpan w:val="2"/>
          </w:tcPr>
          <w:p>
            <w:pPr>
              <w:ind w:left="540"/>
              <w:spacing w:after="0"/>
              <w:rPr>
                <w:sz w:val="20"/>
                <w:szCs w:val="20"/>
                <w:color w:val="auto"/>
              </w:rPr>
            </w:pPr>
            <w:r>
              <w:rPr>
                <w:rFonts w:ascii="Arial" w:cs="Arial" w:eastAsia="Arial" w:hAnsi="Arial"/>
                <w:sz w:val="15"/>
                <w:szCs w:val="15"/>
                <w:color w:val="auto"/>
              </w:rPr>
              <w:t>Total assets acquired</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36,8</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Contractholder funds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26,4</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Future policy benefits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Accounts payable and accrued liabilities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Notes payable</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187"/>
        </w:trPr>
        <w:tc>
          <w:tcPr>
            <w:tcW w:w="280" w:type="dxa"/>
            <w:vAlign w:val="bottom"/>
          </w:tcPr>
          <w:p>
            <w:pPr>
              <w:spacing w:after="0"/>
              <w:rPr>
                <w:sz w:val="16"/>
                <w:szCs w:val="16"/>
                <w:color w:val="auto"/>
              </w:rPr>
            </w:pPr>
          </w:p>
        </w:tc>
        <w:tc>
          <w:tcPr>
            <w:tcW w:w="9760" w:type="dxa"/>
            <w:vAlign w:val="bottom"/>
            <w:gridSpan w:val="2"/>
          </w:tcPr>
          <w:p>
            <w:pPr>
              <w:ind w:left="260"/>
              <w:spacing w:after="0"/>
              <w:rPr>
                <w:sz w:val="20"/>
                <w:szCs w:val="20"/>
                <w:color w:val="auto"/>
              </w:rPr>
            </w:pPr>
            <w:r>
              <w:rPr>
                <w:rFonts w:ascii="Arial" w:cs="Arial" w:eastAsia="Arial" w:hAnsi="Arial"/>
                <w:sz w:val="15"/>
                <w:szCs w:val="15"/>
                <w:color w:val="auto"/>
              </w:rPr>
              <w:t>Funds withheld for reinsurance liabilities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7"/>
        </w:trPr>
        <w:tc>
          <w:tcPr>
            <w:tcW w:w="280" w:type="dxa"/>
            <w:vAlign w:val="bottom"/>
          </w:tcPr>
          <w:p>
            <w:pPr>
              <w:spacing w:after="0"/>
              <w:rPr>
                <w:sz w:val="16"/>
                <w:szCs w:val="16"/>
                <w:color w:val="auto"/>
              </w:rPr>
            </w:pPr>
          </w:p>
        </w:tc>
        <w:tc>
          <w:tcPr>
            <w:tcW w:w="97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Lease liabilities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9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color w:val="auto"/>
              </w:rPr>
              <w:t>Liabilities of discontinued operations</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178"/>
        </w:trPr>
        <w:tc>
          <w:tcPr>
            <w:tcW w:w="280" w:type="dxa"/>
            <w:vAlign w:val="bottom"/>
          </w:tcPr>
          <w:p>
            <w:pPr>
              <w:spacing w:after="0"/>
              <w:rPr>
                <w:sz w:val="15"/>
                <w:szCs w:val="15"/>
                <w:color w:val="auto"/>
              </w:rPr>
            </w:pPr>
          </w:p>
        </w:tc>
        <w:tc>
          <w:tcPr>
            <w:tcW w:w="97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Total liabilities assumed</w:t>
            </w:r>
          </w:p>
        </w:tc>
        <w:tc>
          <w:tcPr>
            <w:tcW w:w="4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w:t>
            </w:r>
          </w:p>
        </w:tc>
      </w:tr>
      <w:tr>
        <w:trPr>
          <w:trHeight w:val="178"/>
        </w:trPr>
        <w:tc>
          <w:tcPr>
            <w:tcW w:w="280" w:type="dxa"/>
            <w:vAlign w:val="bottom"/>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90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9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Net assets acquired</w:t>
            </w:r>
          </w:p>
        </w:tc>
        <w:tc>
          <w:tcPr>
            <w:tcW w:w="4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0"/>
        </w:trPr>
        <w:tc>
          <w:tcPr>
            <w:tcW w:w="28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gross carrying value and weighted average estimated useful lives of Other intangible assets acquired in the F&amp;G acquisition consist of the following (dollars in millions):</w:t>
      </w:r>
    </w:p>
    <w:p>
      <w:pPr>
        <w:spacing w:after="0" w:line="10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6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ind w:left="378"/>
              <w:spacing w:after="0"/>
              <w:rPr>
                <w:sz w:val="20"/>
                <w:szCs w:val="20"/>
                <w:color w:val="auto"/>
              </w:rPr>
            </w:pPr>
            <w:r>
              <w:rPr>
                <w:rFonts w:ascii="Arial" w:cs="Arial" w:eastAsia="Arial" w:hAnsi="Arial"/>
                <w:sz w:val="12"/>
                <w:szCs w:val="12"/>
                <w:b w:val="1"/>
                <w:bCs w:val="1"/>
                <w:color w:val="auto"/>
                <w:w w:val="85"/>
              </w:rPr>
              <w:t>Weighted Average</w:t>
            </w:r>
          </w:p>
        </w:tc>
        <w:tc>
          <w:tcPr>
            <w:tcW w:w="0" w:type="dxa"/>
            <w:vAlign w:val="bottom"/>
          </w:tcPr>
          <w:p>
            <w:pPr>
              <w:spacing w:after="0"/>
              <w:rPr>
                <w:sz w:val="1"/>
                <w:szCs w:val="1"/>
                <w:color w:val="auto"/>
              </w:rPr>
            </w:pPr>
          </w:p>
        </w:tc>
      </w:tr>
      <w:tr>
        <w:trPr>
          <w:trHeight w:val="110"/>
        </w:trPr>
        <w:tc>
          <w:tcPr>
            <w:tcW w:w="6600" w:type="dxa"/>
            <w:vAlign w:val="bottom"/>
          </w:tcPr>
          <w:p>
            <w:pPr>
              <w:spacing w:after="0"/>
              <w:rPr>
                <w:sz w:val="9"/>
                <w:szCs w:val="9"/>
                <w:color w:val="auto"/>
              </w:rPr>
            </w:pPr>
          </w:p>
        </w:tc>
        <w:tc>
          <w:tcPr>
            <w:tcW w:w="1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Gross Carrying Value</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jc w:val="center"/>
              <w:ind w:left="118"/>
              <w:spacing w:after="0" w:line="110" w:lineRule="exact"/>
              <w:rPr>
                <w:sz w:val="20"/>
                <w:szCs w:val="20"/>
                <w:color w:val="auto"/>
              </w:rPr>
            </w:pPr>
            <w:r>
              <w:rPr>
                <w:rFonts w:ascii="Arial" w:cs="Arial" w:eastAsia="Arial" w:hAnsi="Arial"/>
                <w:sz w:val="12"/>
                <w:szCs w:val="12"/>
                <w:b w:val="1"/>
                <w:bCs w:val="1"/>
                <w:color w:val="auto"/>
                <w:w w:val="88"/>
              </w:rPr>
              <w:t>Estimated Useful Life</w:t>
            </w:r>
          </w:p>
        </w:tc>
        <w:tc>
          <w:tcPr>
            <w:tcW w:w="0" w:type="dxa"/>
            <w:vAlign w:val="bottom"/>
          </w:tcPr>
          <w:p>
            <w:pPr>
              <w:spacing w:after="0"/>
              <w:rPr>
                <w:sz w:val="1"/>
                <w:szCs w:val="1"/>
                <w:color w:val="auto"/>
              </w:rPr>
            </w:pPr>
          </w:p>
        </w:tc>
      </w:tr>
      <w:tr>
        <w:trPr>
          <w:trHeight w:val="150"/>
        </w:trPr>
        <w:tc>
          <w:tcPr>
            <w:tcW w:w="6600" w:type="dxa"/>
            <w:vAlign w:val="bottom"/>
          </w:tcPr>
          <w:p>
            <w:pPr>
              <w:spacing w:after="0"/>
              <w:rPr>
                <w:sz w:val="13"/>
                <w:szCs w:val="13"/>
                <w:color w:val="auto"/>
              </w:rPr>
            </w:pPr>
          </w:p>
        </w:tc>
        <w:tc>
          <w:tcPr>
            <w:tcW w:w="194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bottom w:val="single" w:sz="8" w:color="auto"/>
            </w:tcBorders>
          </w:tcPr>
          <w:p>
            <w:pPr>
              <w:jc w:val="center"/>
              <w:ind w:left="118"/>
              <w:spacing w:after="0"/>
              <w:rPr>
                <w:sz w:val="20"/>
                <w:szCs w:val="20"/>
                <w:color w:val="auto"/>
              </w:rPr>
            </w:pPr>
            <w:r>
              <w:rPr>
                <w:rFonts w:ascii="Arial" w:cs="Arial" w:eastAsia="Arial" w:hAnsi="Arial"/>
                <w:sz w:val="12"/>
                <w:szCs w:val="12"/>
                <w:b w:val="1"/>
                <w:bCs w:val="1"/>
                <w:color w:val="auto"/>
                <w:w w:val="89"/>
              </w:rPr>
              <w:t>(in years)</w:t>
            </w:r>
          </w:p>
        </w:tc>
        <w:tc>
          <w:tcPr>
            <w:tcW w:w="0" w:type="dxa"/>
            <w:vAlign w:val="bottom"/>
          </w:tcPr>
          <w:p>
            <w:pPr>
              <w:spacing w:after="0"/>
              <w:rPr>
                <w:sz w:val="1"/>
                <w:szCs w:val="1"/>
                <w:color w:val="auto"/>
              </w:rPr>
            </w:pPr>
          </w:p>
        </w:tc>
      </w:tr>
      <w:tr>
        <w:trPr>
          <w:trHeight w:val="170"/>
        </w:trPr>
        <w:tc>
          <w:tcPr>
            <w:tcW w:w="6600" w:type="dxa"/>
            <w:vAlign w:val="bottom"/>
          </w:tcPr>
          <w:p>
            <w:pPr>
              <w:ind w:left="260"/>
              <w:spacing w:after="0" w:line="170" w:lineRule="exact"/>
              <w:rPr>
                <w:sz w:val="20"/>
                <w:szCs w:val="20"/>
                <w:color w:val="auto"/>
              </w:rPr>
            </w:pPr>
            <w:r>
              <w:rPr>
                <w:rFonts w:ascii="Arial" w:cs="Arial" w:eastAsia="Arial" w:hAnsi="Arial"/>
                <w:sz w:val="15"/>
                <w:szCs w:val="15"/>
                <w:color w:val="auto"/>
              </w:rPr>
              <w:t>Other intangible assets:</w:t>
            </w: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6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Value of business acquired</w:t>
            </w:r>
          </w:p>
        </w:tc>
        <w:tc>
          <w:tcPr>
            <w:tcW w:w="1940" w:type="dxa"/>
            <w:vAlign w:val="bottom"/>
            <w:shd w:val="clear" w:color="auto" w:fill="CCEEFF"/>
          </w:tcPr>
          <w:p>
            <w:pPr>
              <w:jc w:val="right"/>
              <w:ind w:right="153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1,908</w:t>
            </w:r>
          </w:p>
        </w:tc>
        <w:tc>
          <w:tcPr>
            <w:tcW w:w="120" w:type="dxa"/>
            <w:vAlign w:val="bottom"/>
            <w:shd w:val="clear" w:color="auto" w:fill="CCEEFF"/>
          </w:tcPr>
          <w:p>
            <w:pPr>
              <w:spacing w:after="0"/>
              <w:rPr>
                <w:sz w:val="16"/>
                <w:szCs w:val="16"/>
                <w:color w:val="auto"/>
              </w:rPr>
            </w:pPr>
          </w:p>
        </w:tc>
        <w:tc>
          <w:tcPr>
            <w:tcW w:w="1980" w:type="dxa"/>
            <w:vAlign w:val="bottom"/>
            <w:shd w:val="clear" w:color="auto" w:fill="CCEEFF"/>
          </w:tcPr>
          <w:p>
            <w:pPr>
              <w:jc w:val="center"/>
              <w:ind w:left="378"/>
              <w:spacing w:after="0"/>
              <w:rPr>
                <w:sz w:val="20"/>
                <w:szCs w:val="20"/>
                <w:color w:val="auto"/>
              </w:rPr>
            </w:pPr>
            <w:r>
              <w:rPr>
                <w:rFonts w:ascii="Arial" w:cs="Arial" w:eastAsia="Arial" w:hAnsi="Arial"/>
                <w:sz w:val="15"/>
                <w:szCs w:val="15"/>
                <w:color w:val="auto"/>
                <w:w w:val="90"/>
              </w:rPr>
              <w:t>Various</w:t>
            </w:r>
          </w:p>
        </w:tc>
        <w:tc>
          <w:tcPr>
            <w:tcW w:w="0" w:type="dxa"/>
            <w:vAlign w:val="bottom"/>
          </w:tcPr>
          <w:p>
            <w:pPr>
              <w:spacing w:after="0"/>
              <w:rPr>
                <w:sz w:val="1"/>
                <w:szCs w:val="1"/>
                <w:color w:val="auto"/>
              </w:rPr>
            </w:pPr>
          </w:p>
        </w:tc>
      </w:tr>
      <w:tr>
        <w:trPr>
          <w:trHeight w:val="187"/>
        </w:trPr>
        <w:tc>
          <w:tcPr>
            <w:tcW w:w="6600" w:type="dxa"/>
            <w:vAlign w:val="bottom"/>
          </w:tcPr>
          <w:p>
            <w:pPr>
              <w:ind w:left="540"/>
              <w:spacing w:after="0"/>
              <w:rPr>
                <w:sz w:val="20"/>
                <w:szCs w:val="20"/>
                <w:color w:val="auto"/>
              </w:rPr>
            </w:pPr>
            <w:r>
              <w:rPr>
                <w:rFonts w:ascii="Arial" w:cs="Arial" w:eastAsia="Arial" w:hAnsi="Arial"/>
                <w:sz w:val="15"/>
                <w:szCs w:val="15"/>
                <w:color w:val="auto"/>
              </w:rPr>
              <w:t>Value of distribution network acquired</w:t>
            </w:r>
          </w:p>
        </w:tc>
        <w:tc>
          <w:tcPr>
            <w:tcW w:w="1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140</w:t>
            </w:r>
          </w:p>
        </w:tc>
        <w:tc>
          <w:tcPr>
            <w:tcW w:w="2100" w:type="dxa"/>
            <w:vAlign w:val="bottom"/>
            <w:gridSpan w:val="2"/>
          </w:tcPr>
          <w:p>
            <w:pPr>
              <w:jc w:val="center"/>
              <w:ind w:left="487"/>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87"/>
        </w:trPr>
        <w:tc>
          <w:tcPr>
            <w:tcW w:w="66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Trademarks and licenses</w:t>
            </w:r>
          </w:p>
        </w:tc>
        <w:tc>
          <w:tcPr>
            <w:tcW w:w="1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100" w:type="dxa"/>
            <w:vAlign w:val="bottom"/>
            <w:gridSpan w:val="2"/>
            <w:shd w:val="clear" w:color="auto" w:fill="CCEEFF"/>
          </w:tcPr>
          <w:p>
            <w:pPr>
              <w:jc w:val="center"/>
              <w:ind w:left="487"/>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87"/>
        </w:trPr>
        <w:tc>
          <w:tcPr>
            <w:tcW w:w="6600" w:type="dxa"/>
            <w:vAlign w:val="bottom"/>
            <w:tcBorders>
              <w:bottom w:val="single" w:sz="8" w:color="CCEEFF"/>
            </w:tcBorders>
          </w:tcPr>
          <w:p>
            <w:pPr>
              <w:ind w:left="540"/>
              <w:spacing w:after="0"/>
              <w:rPr>
                <w:sz w:val="20"/>
                <w:szCs w:val="20"/>
                <w:color w:val="auto"/>
              </w:rPr>
            </w:pPr>
            <w:r>
              <w:rPr>
                <w:rFonts w:ascii="Arial" w:cs="Arial" w:eastAsia="Arial" w:hAnsi="Arial"/>
                <w:sz w:val="15"/>
                <w:szCs w:val="15"/>
                <w:color w:val="auto"/>
              </w:rPr>
              <w:t>Software</w:t>
            </w:r>
          </w:p>
        </w:tc>
        <w:tc>
          <w:tcPr>
            <w:tcW w:w="1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2100" w:type="dxa"/>
            <w:vAlign w:val="bottom"/>
            <w:tcBorders>
              <w:bottom w:val="single" w:sz="8" w:color="CCEEFF"/>
            </w:tcBorders>
            <w:gridSpan w:val="2"/>
          </w:tcPr>
          <w:p>
            <w:pPr>
              <w:jc w:val="center"/>
              <w:ind w:left="507"/>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Other intangible assets</w:t>
            </w:r>
          </w:p>
        </w:tc>
        <w:tc>
          <w:tcPr>
            <w:tcW w:w="19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2,107</w:t>
            </w:r>
          </w:p>
        </w:tc>
        <w:tc>
          <w:tcPr>
            <w:tcW w:w="1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80"/>
        <w:spacing w:after="0" w:line="249" w:lineRule="auto"/>
        <w:rPr>
          <w:sz w:val="20"/>
          <w:szCs w:val="20"/>
          <w:color w:val="auto"/>
        </w:rPr>
      </w:pPr>
      <w:r>
        <w:rPr>
          <w:rFonts w:ascii="Arial" w:cs="Arial" w:eastAsia="Arial" w:hAnsi="Arial"/>
          <w:sz w:val="15"/>
          <w:szCs w:val="15"/>
          <w:color w:val="auto"/>
        </w:rPr>
        <w:t>During the three and six months ended June 30, 2021, we adjusted the provisional amounts as of June 1, 2020 that were recognized at the acquisition date to reflect new information obtained about facts and circumstances that existed as of the acquisition date that, if known, would have affected the measurement of the amounts recognized as of the acquisition date. Such adjustments resulted in an increase in Other intangible assets of approximately $61 million, a decrease in Reinsurance recoverable of approximately $289 million, a decrease in Future policy benefits of $227 million, an increase in Goodwill of $5 million, and various other, individually immaterial items. There was no material impact on earnings as a result of the measurement period adjustments recorded.</w:t>
      </w: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10" w:right="239" w:bottom="1440" w:gutter="0" w:footer="0" w:header="0"/>
        </w:sectPr>
      </w:pPr>
    </w:p>
    <w:bookmarkStart w:id="57" w:name="page58"/>
    <w:bookmarkEnd w:id="5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8" w:lineRule="exact"/>
        <w:rPr>
          <w:sz w:val="20"/>
          <w:szCs w:val="20"/>
          <w:color w:val="auto"/>
        </w:rPr>
      </w:pPr>
    </w:p>
    <w:p>
      <w:pPr>
        <w:jc w:val="both"/>
        <w:ind w:firstLine="264"/>
        <w:spacing w:after="0" w:line="286" w:lineRule="auto"/>
        <w:rPr>
          <w:sz w:val="20"/>
          <w:szCs w:val="20"/>
          <w:color w:val="auto"/>
        </w:rPr>
      </w:pPr>
      <w:r>
        <w:rPr>
          <w:rFonts w:ascii="Arial" w:cs="Arial" w:eastAsia="Arial" w:hAnsi="Arial"/>
          <w:sz w:val="13"/>
          <w:szCs w:val="13"/>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ability of FNF to successfully integrate F&amp;G's operations and employees; the potential impact of the F&amp;G acquisition on relationships, including with employees, suppliers, customers and competitors; changes in general economic, business and political and COVID-19 conditions, including changes in the financial markets; weakness or adverse changes in the level of real estate activity, which may be caused by, among other things, high or increasing interest rates, a limited supply of mortgage funding,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2020 and other filings with the SEC.</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discussion should be read in conjunction with our Annual Report.</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5" w:lineRule="exact"/>
        <w:rPr>
          <w:sz w:val="20"/>
          <w:szCs w:val="20"/>
          <w:color w:val="auto"/>
        </w:rPr>
      </w:pPr>
    </w:p>
    <w:p>
      <w:pPr>
        <w:jc w:val="both"/>
        <w:ind w:firstLine="264"/>
        <w:spacing w:after="0" w:line="300" w:lineRule="auto"/>
        <w:rPr>
          <w:sz w:val="20"/>
          <w:szCs w:val="20"/>
          <w:color w:val="auto"/>
        </w:rPr>
      </w:pPr>
      <w:r>
        <w:rPr>
          <w:rFonts w:ascii="Arial" w:cs="Arial" w:eastAsia="Arial" w:hAnsi="Arial"/>
          <w:sz w:val="14"/>
          <w:szCs w:val="14"/>
          <w:color w:val="auto"/>
        </w:rPr>
        <w:t xml:space="preserve">For a description of our business, including descriptions of segments and recent business developments, see the discussion in Note A </w:t>
      </w:r>
      <w:r>
        <w:rPr>
          <w:rFonts w:ascii="Arial" w:cs="Arial" w:eastAsia="Arial" w:hAnsi="Arial"/>
          <w:sz w:val="14"/>
          <w:szCs w:val="14"/>
          <w:i w:val="1"/>
          <w:iCs w:val="1"/>
          <w:color w:val="auto"/>
        </w:rPr>
        <w:t>Basis of Financial Statements</w:t>
      </w:r>
      <w:r>
        <w:rPr>
          <w:rFonts w:ascii="Arial" w:cs="Arial" w:eastAsia="Arial" w:hAnsi="Arial"/>
          <w:sz w:val="14"/>
          <w:szCs w:val="14"/>
          <w:color w:val="auto"/>
        </w:rPr>
        <w:t xml:space="preserve"> in the accompanying unaudited Condensed Consolidated Financial Statements included in Item 1 of Part I of this Report, which is incorporated by reference into this Part I, Item 2.</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Trends and Conditions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Title</w:t>
      </w:r>
    </w:p>
    <w:p>
      <w:pPr>
        <w:spacing w:after="0" w:line="91"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Our Title segment revenue is closely related to the level of real estate activity which includes sales, mortgage financing and mortgage refinancing. Declines in the level of real estate activity or the average price of real estate sales will adversely affect our title insurance revenues.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have found that residential real estate activity is generally dependent on the following factors:</w:t>
      </w:r>
    </w:p>
    <w:p>
      <w:pPr>
        <w:spacing w:after="0" w:line="80" w:lineRule="exact"/>
        <w:rPr>
          <w:sz w:val="20"/>
          <w:szCs w:val="20"/>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mortgage interest rates;</w:t>
      </w:r>
    </w:p>
    <w:p>
      <w:pPr>
        <w:spacing w:after="0" w:line="14" w:lineRule="exact"/>
        <w:rPr>
          <w:rFonts w:ascii="Arial" w:cs="Arial" w:eastAsia="Arial" w:hAnsi="Arial"/>
          <w:sz w:val="15"/>
          <w:szCs w:val="15"/>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mortgage funding supply;</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housing inventory and home prices;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supply and demand for commercial real estate; and</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strength of the United States economy, including employment levels.</w:t>
      </w:r>
    </w:p>
    <w:p>
      <w:pPr>
        <w:spacing w:after="0" w:line="80"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While we cannot predict the severity and duration of the negative impacts related to the outbreak of COVID-19, the most recent forecast of the Mortgage Bankers Association ("MBA"), as of July 21, 2021, estimates (actual for fiscal year 2020) the size of the U.S. residential mortgage originations market as shown in the following table for 2020 - 2023 in its "Mortgage Finance Forecast" (in trillions):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2020</w:t>
            </w:r>
          </w:p>
        </w:tc>
      </w:tr>
      <w:tr>
        <w:trPr>
          <w:trHeight w:val="183"/>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transactions</w:t>
            </w:r>
          </w:p>
        </w:tc>
        <w:tc>
          <w:tcPr>
            <w:tcW w:w="640" w:type="dxa"/>
            <w:vAlign w:val="bottom"/>
            <w:shd w:val="clear" w:color="auto" w:fill="CCEEFF"/>
          </w:tcPr>
          <w:p>
            <w:pPr>
              <w:jc w:val="right"/>
              <w:ind w:right="470"/>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18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Refinance transactions</w:t>
            </w:r>
          </w:p>
        </w:tc>
        <w:tc>
          <w:tcPr>
            <w:tcW w:w="640" w:type="dxa"/>
            <w:vAlign w:val="bottom"/>
            <w:tcBorders>
              <w:bottom w:val="single" w:sz="8" w:color="auto"/>
            </w:tcBorders>
          </w:tcPr>
          <w:p>
            <w:pPr>
              <w:jc w:val="right"/>
              <w:ind w:right="470"/>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0.6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r>
      <w:tr>
        <w:trPr>
          <w:trHeight w:val="20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U.S. mortgage originations forecast</w:t>
            </w:r>
          </w:p>
        </w:tc>
        <w:tc>
          <w:tcPr>
            <w:tcW w:w="6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As of July 21, 2021, the MBA expects residential purchase transactions to steadily increase in 2021 and beyond from 2020 levels. Additionally the MBA expects residential refinance transactions to decrease in 2021 and beyond as interest rates are expected to rise while the supply of refinance candidates decreases. The MBA expects overall mortgage originations to decrease in 2021 and beyond as a result of record refinance originations in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color w:val="auto"/>
        </w:rPr>
        <w:t>In recent years, total originations have been reflective of a strong residential real estate market driven by increasing home prices and low mortgage interest rates. Mortgage rates rose consistently between 2016 and the beginning of 2019. Concerns over a slowing global economy and the impact of a prolonged trade war resulted in interest rate cuts in the second half of the 2019, which significantly increased refinance transactions and slightly increased purchase transactions when compared to 2018. In the beginning of 2020, refinance and purchase transactions remained strong until the outbreak of COVID-19.</w:t>
      </w:r>
    </w:p>
    <w:p>
      <w:pPr>
        <w:spacing w:after="0" w:line="58" w:lineRule="exact"/>
        <w:rPr>
          <w:sz w:val="20"/>
          <w:szCs w:val="20"/>
          <w:color w:val="auto"/>
        </w:rPr>
      </w:pPr>
    </w:p>
    <w:p>
      <w:pPr>
        <w:jc w:val="both"/>
        <w:ind w:firstLine="264"/>
        <w:spacing w:after="0" w:line="269" w:lineRule="auto"/>
        <w:rPr>
          <w:sz w:val="20"/>
          <w:szCs w:val="20"/>
          <w:color w:val="auto"/>
        </w:rPr>
      </w:pPr>
      <w:r>
        <w:rPr>
          <w:rFonts w:ascii="Arial" w:cs="Arial" w:eastAsia="Arial" w:hAnsi="Arial"/>
          <w:sz w:val="14"/>
          <w:szCs w:val="14"/>
          <w:color w:val="auto"/>
        </w:rPr>
        <w:t>On March 11, 2020, the World Health Organization declared that the novel coronavirus or COVID-19 “can be characterized as a pandemic,” which is defined as a worldwide spread of a new disease for which most people do not have immunity. On March 15, 2020, the Federal Reserve took emergency action and reduced its benchmark interest rate by a full percentage point to nearly zero. Following this emergency action, average interest rates for a 30-year fixed rate mortgages fell throughout the remainder of the year, bottoming out at 2.65% on January 7, 2021. The outbreak of COVID-19 resulted in significant uncertainty in the economic outlook in the second quarter of 2020, and as a result real estate activity decreased significantly as consumers moved to the sidelines to assess the ongoing impact of COVID-19. However, real estate activity began to rebound in June 2020, with increases in purchase activity and a surge in refinance transactions as a result of historically low interest rates.</w:t>
      </w:r>
    </w:p>
    <w:p>
      <w:pPr>
        <w:spacing w:after="0" w:line="38"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color w:val="auto"/>
        </w:rPr>
        <w:t>Strong purchase and refinance activity continued into the first half of 2021. However, the slight widening of credit spreads has resulted in recent increases to mortgage interest rates, which combined with historically low housing inventory and historically high housing prices have resulted in month-over-month decreases in existing-home sales in February through May of 2021, before unexpectedly increasing 1.4% in June of 2021. Mortgage interest rates averaged 3.2% in the second quarter of 2021. Despite the recent increase in interest rates and fluctuation in existing-home sales, the market is still outperforming pre-pandemic levels.</w:t>
      </w:r>
    </w:p>
    <w:p>
      <w:pPr>
        <w:spacing w:after="0" w:line="58" w:lineRule="exact"/>
        <w:rPr>
          <w:sz w:val="20"/>
          <w:szCs w:val="20"/>
          <w:color w:val="auto"/>
        </w:rPr>
      </w:pPr>
    </w:p>
    <w:p>
      <w:pPr>
        <w:jc w:val="both"/>
        <w:ind w:firstLine="264"/>
        <w:spacing w:after="0" w:line="248" w:lineRule="auto"/>
        <w:rPr>
          <w:sz w:val="20"/>
          <w:szCs w:val="20"/>
          <w:color w:val="auto"/>
        </w:rPr>
      </w:pPr>
      <w:r>
        <w:rPr>
          <w:rFonts w:ascii="Arial" w:cs="Arial" w:eastAsia="Arial" w:hAnsi="Arial"/>
          <w:sz w:val="15"/>
          <w:szCs w:val="15"/>
          <w:color w:val="auto"/>
        </w:rPr>
        <w:t>Other economic indicators used to measure the health of the U.S. economy, including the unemployment rate and consumer confidence, indicated that the United States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subsequently rose to a record 14.8% in April 2020 before declining to a still-elevated level of 6.7% in December 2020. In 2021, the unemployment rate has continued to fall to 5.9% in June 2021. Additionally, the Conference Board's monthly Consumer Confidence Index remained at high levels through February 2020 before falling as a result of the COVID-19 outbreak. Consumer confidence has since rebounded, and as of June 2021, is at its highest level since the onset of the pandemic.</w:t>
      </w:r>
    </w:p>
    <w:p>
      <w:pPr>
        <w:spacing w:after="0" w:line="62" w:lineRule="exact"/>
        <w:rPr>
          <w:sz w:val="20"/>
          <w:szCs w:val="20"/>
          <w:color w:val="auto"/>
        </w:rPr>
      </w:pPr>
    </w:p>
    <w:p>
      <w:pPr>
        <w:jc w:val="both"/>
        <w:ind w:firstLine="264"/>
        <w:spacing w:after="0" w:line="289" w:lineRule="auto"/>
        <w:rPr>
          <w:sz w:val="20"/>
          <w:szCs w:val="20"/>
          <w:color w:val="auto"/>
        </w:rPr>
      </w:pPr>
      <w:r>
        <w:rPr>
          <w:rFonts w:ascii="Arial" w:cs="Arial" w:eastAsia="Arial" w:hAnsi="Arial"/>
          <w:sz w:val="13"/>
          <w:szCs w:val="13"/>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have experienced strong demand in commercial real estate markets and from 2015 through 2019, we experienced historically high volumes and fee-per-file in our commercial business. In 2020, we experienced decreases in commercial volumes and commercial fee-per-file as a result of the outbreak of COVID-19. In the second half of 2020 and the first quarter of 2021, commercial volumes have continued to recover, but at a slower rate than residential volumes. While COVID-19 will likely have an impact on the timing and volume of commercial real estate transactions in the short term as the logistics of transactions evolve and some buyers move to the sidelines until the pandemic is resolved, we believe that refinance activity will likely remain elevated in response to the pandemic related Federal rate cuts.</w:t>
      </w:r>
    </w:p>
    <w:p>
      <w:pPr>
        <w:spacing w:after="0" w:line="17" w:lineRule="exact"/>
        <w:rPr>
          <w:sz w:val="20"/>
          <w:szCs w:val="20"/>
          <w:color w:val="auto"/>
        </w:rPr>
      </w:pPr>
    </w:p>
    <w:p>
      <w:pPr>
        <w:jc w:val="both"/>
        <w:ind w:right="20" w:firstLine="264"/>
        <w:spacing w:after="0" w:line="236" w:lineRule="auto"/>
        <w:rPr>
          <w:sz w:val="20"/>
          <w:szCs w:val="20"/>
          <w:color w:val="auto"/>
        </w:rPr>
      </w:pPr>
      <w:r>
        <w:rPr>
          <w:rFonts w:ascii="Arial" w:cs="Arial" w:eastAsia="Arial" w:hAnsi="Arial"/>
          <w:sz w:val="15"/>
          <w:szCs w:val="15"/>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56"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i w:val="1"/>
          <w:iCs w:val="1"/>
          <w:color w:val="auto"/>
        </w:rPr>
        <w:t xml:space="preserve">Seasonality. </w:t>
      </w:r>
      <w:r>
        <w:rPr>
          <w:rFonts w:ascii="Arial" w:cs="Arial" w:eastAsia="Arial" w:hAnsi="Arial"/>
          <w:sz w:val="15"/>
          <w:szCs w:val="15"/>
          <w:color w:val="auto"/>
        </w:rPr>
        <w:t>Historically, real estate transactions have produced seasonal revenue fluctuations in the real estate industry. The first calendar quarter is typically the weakest quarter in terms</w:t>
      </w:r>
      <w:r>
        <w:rPr>
          <w:rFonts w:ascii="Arial" w:cs="Arial" w:eastAsia="Arial" w:hAnsi="Arial"/>
          <w:sz w:val="15"/>
          <w:szCs w:val="15"/>
          <w:i w:val="1"/>
          <w:iCs w:val="1"/>
          <w:color w:val="auto"/>
        </w:rPr>
        <w:t xml:space="preserve"> </w:t>
      </w:r>
      <w:r>
        <w:rPr>
          <w:rFonts w:ascii="Arial" w:cs="Arial" w:eastAsia="Arial" w:hAnsi="Arial"/>
          <w:sz w:val="15"/>
          <w:szCs w:val="15"/>
          <w:color w:val="auto"/>
        </w:rPr>
        <w:t>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refinance transactions as a result of changes in interest rates. Due to COVID-19, seasonality deviated from historical patterns in 2020 and we may continue to see deviations in 2021.</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F&amp;G</w:t>
      </w:r>
    </w:p>
    <w:p>
      <w:pPr>
        <w:spacing w:after="0" w:line="91" w:lineRule="exact"/>
        <w:rPr>
          <w:sz w:val="20"/>
          <w:szCs w:val="20"/>
          <w:color w:val="auto"/>
        </w:rPr>
      </w:pPr>
    </w:p>
    <w:p>
      <w:pPr>
        <w:jc w:val="both"/>
        <w:ind w:right="20" w:firstLine="363"/>
        <w:spacing w:after="0" w:line="300" w:lineRule="auto"/>
        <w:rPr>
          <w:sz w:val="20"/>
          <w:szCs w:val="20"/>
          <w:color w:val="auto"/>
        </w:rPr>
      </w:pPr>
      <w:r>
        <w:rPr>
          <w:rFonts w:ascii="Arial" w:cs="Arial" w:eastAsia="Arial" w:hAnsi="Arial"/>
          <w:sz w:val="14"/>
          <w:szCs w:val="14"/>
          <w:color w:val="auto"/>
        </w:rPr>
        <w:t>We acquired F&amp;G on June 1, 2020. 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COVID-19 Pandemic</w:t>
      </w:r>
    </w:p>
    <w:p>
      <w:pPr>
        <w:spacing w:after="0" w:line="4" w:lineRule="exact"/>
        <w:rPr>
          <w:sz w:val="20"/>
          <w:szCs w:val="20"/>
          <w:color w:val="auto"/>
        </w:rPr>
      </w:pPr>
    </w:p>
    <w:p>
      <w:pPr>
        <w:jc w:val="both"/>
        <w:ind w:firstLine="363"/>
        <w:spacing w:after="0" w:line="252" w:lineRule="auto"/>
        <w:rPr>
          <w:sz w:val="20"/>
          <w:szCs w:val="20"/>
          <w:color w:val="auto"/>
        </w:rPr>
      </w:pPr>
      <w:r>
        <w:rPr>
          <w:rFonts w:ascii="Arial" w:cs="Arial" w:eastAsia="Arial" w:hAnsi="Arial"/>
          <w:sz w:val="13"/>
          <w:szCs w:val="13"/>
          <w:color w:val="auto"/>
        </w:rPr>
        <w:t>While continuously evolving, the COVID-19 pandemic has caused significant economic and financial turmoil in the U.S. and around the world. These conditions may continue in the near term. At this time, it is not possible to estimate the longer term-effects the COVID-19 pandemic could have on our F&amp;G segment or our consolidated financial statements. F&amp;G has seen increased life claims, which have been offset by COVID-19 impacts on our SPIA products. However, prolonged COVID-19 deaths may cause additional volatility in the future. Increased economic uncertainty and increased unemployment resulting from the economic impacts of the spread of COVID-19 may result in F&amp;G policyholders seeking sources of liquidity and withdrawing at rates greater than was previously expected. If policyholder lapse and surrender rates significantly exceed expectations, it could have an adverse effect on our F&amp;G segment's financial condition, results of operations, liquidity and cash flows. Such events or conditions could also have an adverse effect on its sales of new policies. F&amp;G is monitoring the impact of COVID-19 on its investment portfolio and the potential for ratings changes caused by the sudden slowdown of economic activity. The extent to which the COVID-19 pandemic impacts our F&amp;G segment's results of operations, financial condition, liquidity or prospects will depend on future developments which cannot be predicted.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Market Conditions</w:t>
      </w:r>
    </w:p>
    <w:p>
      <w:pPr>
        <w:spacing w:after="0" w:line="69" w:lineRule="exact"/>
        <w:rPr>
          <w:sz w:val="20"/>
          <w:szCs w:val="20"/>
          <w:color w:val="auto"/>
        </w:rPr>
      </w:pPr>
    </w:p>
    <w:p>
      <w:pPr>
        <w:jc w:val="both"/>
        <w:ind w:firstLine="363"/>
        <w:spacing w:after="0" w:line="251" w:lineRule="auto"/>
        <w:rPr>
          <w:sz w:val="20"/>
          <w:szCs w:val="20"/>
          <w:color w:val="auto"/>
        </w:rPr>
      </w:pPr>
      <w:r>
        <w:rPr>
          <w:rFonts w:ascii="Arial" w:cs="Arial" w:eastAsia="Arial" w:hAnsi="Arial"/>
          <w:sz w:val="15"/>
          <w:szCs w:val="15"/>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our Annual Report on Form 10-K for the year ended December 31, 2020 for further discussion of risk factors that could affect market conditions.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Interest Rate Environment</w:t>
      </w:r>
    </w:p>
    <w:p>
      <w:pPr>
        <w:spacing w:after="0" w:line="69" w:lineRule="exact"/>
        <w:rPr>
          <w:sz w:val="20"/>
          <w:szCs w:val="20"/>
          <w:color w:val="auto"/>
        </w:rPr>
      </w:pPr>
    </w:p>
    <w:p>
      <w:pPr>
        <w:jc w:val="both"/>
        <w:ind w:firstLine="363"/>
        <w:spacing w:after="0" w:line="248" w:lineRule="auto"/>
        <w:rPr>
          <w:sz w:val="20"/>
          <w:szCs w:val="20"/>
          <w:color w:val="auto"/>
        </w:rPr>
      </w:pPr>
      <w:r>
        <w:rPr>
          <w:rFonts w:ascii="Arial" w:cs="Arial" w:eastAsia="Arial" w:hAnsi="Arial"/>
          <w:sz w:val="15"/>
          <w:szCs w:val="15"/>
          <w:color w:val="auto"/>
        </w:rPr>
        <w:t>Some of our products include guaranteed minimum crediting rates, most notably our fixed rate annuities. As of June 30, 2021, the Company's reserves, net of reinsurance, and average crediting rate on our fixed rate annuities were $5.0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See Item 7A of Part II of our Annual Report on Form 10-K for the year ended December 31, 2020 for a more detailed discussion of interest rate risk.</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Aging of the U.S. Population</w:t>
      </w:r>
    </w:p>
    <w:p>
      <w:pPr>
        <w:spacing w:after="0" w:line="69"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5"/>
          <w:szCs w:val="15"/>
          <w:color w:val="auto"/>
        </w:rPr>
        <w:t>We believe that the aging of the U.S. population will increase the demand for our products. As the “baby boomer” generation prepares for retirement, we believe that demand for retirement savings, growth, and income products will grow. The impact of this growth may be offset to some extent by asset outflows as an increasing percentage of the population begins withdrawing assets to convert their savings into income.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Industry Factors and Trends Affecting Our Results of Operations</w:t>
      </w:r>
    </w:p>
    <w:p>
      <w:pPr>
        <w:spacing w:after="0" w:line="69" w:lineRule="exact"/>
        <w:rPr>
          <w:sz w:val="20"/>
          <w:szCs w:val="20"/>
          <w:color w:val="auto"/>
        </w:rPr>
      </w:pPr>
    </w:p>
    <w:p>
      <w:pPr>
        <w:jc w:val="both"/>
        <w:ind w:firstLine="363"/>
        <w:spacing w:after="0" w:line="264" w:lineRule="auto"/>
        <w:rPr>
          <w:sz w:val="20"/>
          <w:szCs w:val="20"/>
          <w:color w:val="auto"/>
        </w:rPr>
      </w:pPr>
      <w:r>
        <w:rPr>
          <w:rFonts w:ascii="Arial" w:cs="Arial" w:eastAsia="Arial" w:hAnsi="Arial"/>
          <w:sz w:val="15"/>
          <w:szCs w:val="15"/>
          <w:color w:val="auto"/>
        </w:rPr>
        <w:t>Demographics and macroeconomic factors are increasing the demand for our FIA and IUL products. Over 10,000 people will turn 65 each day in the United States over the next 15 years, and according to the 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Census Bureau, the proportion of the U.S. population over the age of 65 is expected to grow from 17% in 2020 to 21% in 2035.</w:t>
      </w:r>
    </w:p>
    <w:p>
      <w:pPr>
        <w:spacing w:after="0" w:line="69" w:lineRule="exact"/>
        <w:rPr>
          <w:sz w:val="20"/>
          <w:szCs w:val="20"/>
          <w:color w:val="auto"/>
        </w:rPr>
      </w:pPr>
    </w:p>
    <w:p>
      <w:pPr>
        <w:jc w:val="both"/>
        <w:ind w:firstLine="363"/>
        <w:spacing w:after="0" w:line="251" w:lineRule="auto"/>
        <w:rPr>
          <w:sz w:val="20"/>
          <w:szCs w:val="20"/>
          <w:color w:val="auto"/>
        </w:rPr>
      </w:pPr>
      <w:r>
        <w:rPr>
          <w:rFonts w:ascii="Arial" w:cs="Arial" w:eastAsia="Arial" w:hAnsi="Arial"/>
          <w:sz w:val="15"/>
          <w:szCs w:val="15"/>
          <w:color w:val="auto"/>
        </w:rPr>
        <w:t>We operate in the sector of the insurance industry that focuses on the needs of middle-income Americans. The underserved middle-income market represents a major growth opportunity for the Company. As a tool for addressing the unmet need for retirement planning, we believe that many middle-income Americans have grown to appreciate the “sleep at night protection” that annuities such as our FIA products afford. See Item 7 of Part II of our Annual Report on Form 10-K for the year ended December 31, 2020 for a more detailed discussion of industry factors and trends affecting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Consolidated Results of Operations</w:t>
      </w:r>
    </w:p>
    <w:p>
      <w:pPr>
        <w:spacing w:after="0" w:line="9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Net Earnings. </w:t>
      </w:r>
      <w:r>
        <w:rPr>
          <w:rFonts w:ascii="Arial" w:cs="Arial" w:eastAsia="Arial" w:hAnsi="Arial"/>
          <w:sz w:val="15"/>
          <w:szCs w:val="15"/>
          <w:color w:val="auto"/>
        </w:rPr>
        <w:t>The following table presents certain financial data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40" w:type="dxa"/>
            <w:vAlign w:val="bottom"/>
          </w:tcPr>
          <w:p>
            <w:pPr>
              <w:spacing w:after="0"/>
              <w:rPr>
                <w:sz w:val="13"/>
                <w:szCs w:val="13"/>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2"/>
                <w:szCs w:val="12"/>
                <w:b w:val="1"/>
                <w:bCs w:val="1"/>
                <w:color w:val="auto"/>
                <w:w w:val="91"/>
              </w:rPr>
              <w:t>Six months ended June 30,</w:t>
            </w:r>
          </w:p>
        </w:tc>
      </w:tr>
      <w:tr>
        <w:trPr>
          <w:trHeight w:val="148"/>
        </w:trPr>
        <w:tc>
          <w:tcPr>
            <w:tcW w:w="66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2020</w:t>
            </w:r>
          </w:p>
        </w:tc>
      </w:tr>
      <w:tr>
        <w:trPr>
          <w:trHeight w:val="145"/>
        </w:trPr>
        <w:tc>
          <w:tcPr>
            <w:tcW w:w="6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3"/>
          </w:tcPr>
          <w:p>
            <w:pPr>
              <w:jc w:val="right"/>
              <w:ind w:right="27"/>
              <w:spacing w:after="0"/>
              <w:rPr>
                <w:sz w:val="20"/>
                <w:szCs w:val="20"/>
                <w:color w:val="auto"/>
              </w:rPr>
            </w:pPr>
            <w:r>
              <w:rPr>
                <w:rFonts w:ascii="Arial" w:cs="Arial" w:eastAsia="Arial" w:hAnsi="Arial"/>
                <w:sz w:val="12"/>
                <w:szCs w:val="12"/>
                <w:b w:val="1"/>
                <w:bCs w:val="1"/>
                <w:color w:val="auto"/>
              </w:rPr>
              <w:t>(In millions)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Direct title insurance premiums</w:t>
            </w:r>
          </w:p>
        </w:tc>
        <w:tc>
          <w:tcPr>
            <w:tcW w:w="700" w:type="dxa"/>
            <w:vAlign w:val="bottom"/>
          </w:tcPr>
          <w:p>
            <w:pPr>
              <w:jc w:val="right"/>
              <w:ind w:right="534"/>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904</w:t>
            </w:r>
          </w:p>
        </w:tc>
        <w:tc>
          <w:tcPr>
            <w:tcW w:w="100" w:type="dxa"/>
            <w:vAlign w:val="bottom"/>
          </w:tcPr>
          <w:p>
            <w:pPr>
              <w:spacing w:after="0"/>
              <w:rPr>
                <w:sz w:val="16"/>
                <w:szCs w:val="16"/>
                <w:color w:val="auto"/>
              </w:rPr>
            </w:pPr>
          </w:p>
        </w:tc>
        <w:tc>
          <w:tcPr>
            <w:tcW w:w="700" w:type="dxa"/>
            <w:vAlign w:val="bottom"/>
          </w:tcPr>
          <w:p>
            <w:pPr>
              <w:jc w:val="right"/>
              <w:ind w:right="55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575</w:t>
            </w:r>
          </w:p>
        </w:tc>
        <w:tc>
          <w:tcPr>
            <w:tcW w:w="80" w:type="dxa"/>
            <w:vAlign w:val="bottom"/>
          </w:tcPr>
          <w:p>
            <w:pPr>
              <w:spacing w:after="0"/>
              <w:rPr>
                <w:sz w:val="16"/>
                <w:szCs w:val="16"/>
                <w:color w:val="auto"/>
              </w:rPr>
            </w:pP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1,650</w:t>
            </w:r>
          </w:p>
        </w:tc>
        <w:tc>
          <w:tcPr>
            <w:tcW w:w="8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1,121</w:t>
            </w: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Agency title insurance premiums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1,256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w:t>
            </w: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Escrow, title-related and other fees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948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747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1,348</w:t>
            </w: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and investment income</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r>
      <w:tr>
        <w:trPr>
          <w:trHeight w:val="187"/>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Recognized gains and losses, net</w:t>
            </w: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r>
      <w:tr>
        <w:trPr>
          <w:trHeight w:val="178"/>
        </w:trPr>
        <w:tc>
          <w:tcPr>
            <w:tcW w:w="66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Total revenues</w:t>
            </w:r>
          </w:p>
        </w:tc>
        <w:tc>
          <w:tcPr>
            <w:tcW w:w="7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3,854</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2,420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6,954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4,032</w:t>
            </w:r>
          </w:p>
        </w:tc>
      </w:tr>
      <w:tr>
        <w:trPr>
          <w:trHeight w:val="178"/>
        </w:trPr>
        <w:tc>
          <w:tcPr>
            <w:tcW w:w="6640" w:type="dxa"/>
            <w:vAlign w:val="bottom"/>
          </w:tcPr>
          <w:p>
            <w:pPr>
              <w:ind w:left="20"/>
              <w:spacing w:after="0"/>
              <w:rPr>
                <w:sz w:val="20"/>
                <w:szCs w:val="20"/>
                <w:color w:val="auto"/>
              </w:rPr>
            </w:pPr>
            <w:r>
              <w:rPr>
                <w:rFonts w:ascii="Arial" w:cs="Arial" w:eastAsia="Arial" w:hAnsi="Arial"/>
                <w:sz w:val="15"/>
                <w:szCs w:val="15"/>
                <w:color w:val="auto"/>
              </w:rPr>
              <w:t>Expenses:</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Benefits and other changes in policy reserves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Personnel costs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890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692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1,702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1,306</w:t>
            </w: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Agent commissions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1,158</w:t>
            </w: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Other operating expenses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446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857</w:t>
            </w: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Provision for title claim losses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w:t>
            </w: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78"/>
        </w:trPr>
        <w:tc>
          <w:tcPr>
            <w:tcW w:w="664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expenses</w:t>
            </w: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5"/>
              </w:rPr>
              <w:t>3,141</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5"/>
              </w:rPr>
              <w:t>2,019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3,717</w:t>
            </w:r>
          </w:p>
        </w:tc>
      </w:tr>
      <w:tr>
        <w:trPr>
          <w:trHeight w:val="178"/>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before income taxes and equity in earnings of unconsolidated affiliates</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w:t>
            </w:r>
          </w:p>
        </w:tc>
      </w:tr>
      <w:tr>
        <w:trPr>
          <w:trHeight w:val="187"/>
        </w:trPr>
        <w:tc>
          <w:tcPr>
            <w:tcW w:w="6640" w:type="dxa"/>
            <w:vAlign w:val="bottom"/>
          </w:tcPr>
          <w:p>
            <w:pPr>
              <w:ind w:left="20"/>
              <w:spacing w:after="0"/>
              <w:rPr>
                <w:sz w:val="20"/>
                <w:szCs w:val="20"/>
                <w:color w:val="auto"/>
              </w:rPr>
            </w:pPr>
            <w:r>
              <w:rPr>
                <w:rFonts w:ascii="Arial" w:cs="Arial" w:eastAsia="Arial" w:hAnsi="Arial"/>
                <w:sz w:val="15"/>
                <w:szCs w:val="15"/>
                <w:color w:val="auto"/>
              </w:rPr>
              <w:t>Income tax expense</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87"/>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 earnings of unconsolidated affiliates</w:t>
            </w: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78"/>
        </w:trPr>
        <w:tc>
          <w:tcPr>
            <w:tcW w:w="6640" w:type="dxa"/>
            <w:vAlign w:val="bottom"/>
          </w:tcPr>
          <w:p>
            <w:pPr>
              <w:ind w:left="20"/>
              <w:spacing w:after="0"/>
              <w:rPr>
                <w:sz w:val="20"/>
                <w:szCs w:val="20"/>
                <w:color w:val="auto"/>
              </w:rPr>
            </w:pPr>
            <w:r>
              <w:rPr>
                <w:rFonts w:ascii="Arial" w:cs="Arial" w:eastAsia="Arial" w:hAnsi="Arial"/>
                <w:sz w:val="15"/>
                <w:szCs w:val="15"/>
                <w:color w:val="auto"/>
              </w:rPr>
              <w:t>Net earnings from continuing operations</w:t>
            </w:r>
          </w:p>
        </w:tc>
        <w:tc>
          <w:tcPr>
            <w:tcW w:w="700" w:type="dxa"/>
            <w:vAlign w:val="bottom"/>
            <w:tcBorders>
              <w:bottom w:val="single" w:sz="8" w:color="auto"/>
            </w:tcBorders>
          </w:tcPr>
          <w:p>
            <w:pPr>
              <w:jc w:val="right"/>
              <w:ind w:right="534"/>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1,155</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r>
      <w:tr>
        <w:trPr>
          <w:trHeight w:val="20"/>
        </w:trPr>
        <w:tc>
          <w:tcPr>
            <w:tcW w:w="6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Revenues.</w:t>
      </w:r>
    </w:p>
    <w:p>
      <w:pPr>
        <w:spacing w:after="0" w:line="91"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Total revenues increased by $1,434 million in the three months ended June 30, 2021 and increased by $2,922 million in the six months ended June 30, 2021 compared to the corresponding periods in 2020.</w:t>
      </w:r>
    </w:p>
    <w:p>
      <w:pPr>
        <w:spacing w:after="0" w:line="60"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Net earnings increased by $238 million in the three months ended June 30, 2021 and increased by $899 million in the six months ended June 30, 2021 compared to the corresponding periods in 2020.</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Expenses.</w:t>
      </w:r>
    </w:p>
    <w:p>
      <w:pPr>
        <w:spacing w:after="0" w:line="14" w:lineRule="exact"/>
        <w:rPr>
          <w:sz w:val="20"/>
          <w:szCs w:val="20"/>
          <w:color w:val="auto"/>
        </w:rPr>
      </w:pPr>
    </w:p>
    <w:p>
      <w:pPr>
        <w:jc w:val="both"/>
        <w:ind w:firstLine="264"/>
        <w:spacing w:after="0" w:line="265" w:lineRule="auto"/>
        <w:rPr>
          <w:sz w:val="20"/>
          <w:szCs w:val="20"/>
          <w:color w:val="auto"/>
        </w:rPr>
      </w:pPr>
      <w:r>
        <w:rPr>
          <w:rFonts w:ascii="Arial" w:cs="Arial" w:eastAsia="Arial" w:hAnsi="Arial"/>
          <w:sz w:val="14"/>
          <w:szCs w:val="14"/>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Personnel costs include base salaries, commissions, benefits, stock-based compensation and bonuses paid to employees, and are one of our most significant operating expenses.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Agent commissions represent the portion of premiums retained by our third-party agents pursuant to the terms of their respective agency contracts.</w:t>
      </w:r>
    </w:p>
    <w:p>
      <w:pPr>
        <w:spacing w:after="0" w:line="91"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68"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Provision for title claim losses includes an estimate of anticipated title and title-related claims, and escrow losses.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change in expenses attributable to our reportable segments is discussed in further detail at the segment level below.</w:t>
      </w:r>
    </w:p>
    <w:p>
      <w:pPr>
        <w:spacing w:after="0" w:line="91" w:lineRule="exact"/>
        <w:rPr>
          <w:sz w:val="20"/>
          <w:szCs w:val="20"/>
          <w:color w:val="auto"/>
        </w:rPr>
      </w:pPr>
    </w:p>
    <w:p>
      <w:pPr>
        <w:jc w:val="both"/>
        <w:ind w:firstLine="264"/>
        <w:spacing w:after="0" w:line="258" w:lineRule="auto"/>
        <w:rPr>
          <w:sz w:val="20"/>
          <w:szCs w:val="20"/>
          <w:color w:val="auto"/>
        </w:rPr>
      </w:pPr>
      <w:r>
        <w:rPr>
          <w:rFonts w:ascii="Arial" w:cs="Arial" w:eastAsia="Arial" w:hAnsi="Arial"/>
          <w:sz w:val="14"/>
          <w:szCs w:val="14"/>
          <w:color w:val="auto"/>
        </w:rPr>
        <w:t>Income tax expense was $176 million and $89 million in the three-month periods ended June 30, 2021 and 2020, respectively, and $342 million and $61 million in the six-month periods ended June 30, 2021 and 2020, respectively. Income tax expense as a percentage of earnings before income taxes was 25% and 22% in the three months ended June 30, 2021 and 2020, respectively and 23% and 19% in the six-month periods ended June 30, 2021 and 2020, respectively. The increase in income tax expense as a percentage of earnings before taxes in the 2021 periods is primarily attributable to a tax benefit associated with stock compensation recognized in the 2020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Title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results from operations of our Title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40" w:type="dxa"/>
            <w:vAlign w:val="bottom"/>
          </w:tcPr>
          <w:p>
            <w:pPr>
              <w:spacing w:after="0"/>
              <w:rPr>
                <w:sz w:val="13"/>
                <w:szCs w:val="13"/>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2"/>
                <w:szCs w:val="12"/>
                <w:b w:val="1"/>
                <w:bCs w:val="1"/>
                <w:color w:val="auto"/>
                <w:w w:val="91"/>
              </w:rPr>
              <w:t>Six months ended June 30,</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3"/>
        </w:trPr>
        <w:tc>
          <w:tcPr>
            <w:tcW w:w="6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3"/>
          </w:tcPr>
          <w:p>
            <w:pPr>
              <w:jc w:val="right"/>
              <w:ind w:right="27"/>
              <w:spacing w:after="0"/>
              <w:rPr>
                <w:sz w:val="20"/>
                <w:szCs w:val="20"/>
                <w:color w:val="auto"/>
              </w:rPr>
            </w:pPr>
            <w:r>
              <w:rPr>
                <w:rFonts w:ascii="Arial" w:cs="Arial" w:eastAsia="Arial" w:hAnsi="Arial"/>
                <w:sz w:val="12"/>
                <w:szCs w:val="12"/>
                <w:b w:val="1"/>
                <w:bCs w:val="1"/>
                <w:color w:val="auto"/>
              </w:rPr>
              <w:t>(In millions)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40" w:type="dxa"/>
            <w:vAlign w:val="bottom"/>
          </w:tcPr>
          <w:p>
            <w:pPr>
              <w:ind w:left="20"/>
              <w:spacing w:after="0"/>
              <w:rPr>
                <w:sz w:val="20"/>
                <w:szCs w:val="20"/>
                <w:color w:val="auto"/>
              </w:rPr>
            </w:pPr>
            <w:r>
              <w:rPr>
                <w:rFonts w:ascii="Arial" w:cs="Arial" w:eastAsia="Arial" w:hAnsi="Arial"/>
                <w:sz w:val="15"/>
                <w:szCs w:val="15"/>
                <w:color w:val="auto"/>
              </w:rPr>
              <w:t>Revenues:</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Direct title insurance premiums</w:t>
            </w:r>
          </w:p>
        </w:tc>
        <w:tc>
          <w:tcPr>
            <w:tcW w:w="700" w:type="dxa"/>
            <w:vAlign w:val="bottom"/>
            <w:shd w:val="clear" w:color="auto" w:fill="CCEEFF"/>
          </w:tcPr>
          <w:p>
            <w:pPr>
              <w:jc w:val="right"/>
              <w:ind w:right="533"/>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5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w:t>
            </w:r>
          </w:p>
        </w:tc>
        <w:tc>
          <w:tcPr>
            <w:tcW w:w="0" w:type="dxa"/>
            <w:vAlign w:val="bottom"/>
          </w:tcPr>
          <w:p>
            <w:pPr>
              <w:spacing w:after="0"/>
              <w:rPr>
                <w:sz w:val="1"/>
                <w:szCs w:val="1"/>
                <w:color w:val="auto"/>
              </w:rPr>
            </w:pP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Agency title insurance premiums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5"/>
              </w:rPr>
              <w:t>1,256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784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1,516</w:t>
            </w: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Escrow, title-related and other fees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w:t>
            </w:r>
          </w:p>
        </w:tc>
        <w:tc>
          <w:tcPr>
            <w:tcW w:w="0" w:type="dxa"/>
            <w:vAlign w:val="bottom"/>
          </w:tcPr>
          <w:p>
            <w:pPr>
              <w:spacing w:after="0"/>
              <w:rPr>
                <w:sz w:val="1"/>
                <w:szCs w:val="1"/>
                <w:color w:val="auto"/>
              </w:rPr>
            </w:pP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Interest and investment income</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Recognized gains and losses, net</w:t>
            </w: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78"/>
        </w:trPr>
        <w:tc>
          <w:tcPr>
            <w:tcW w:w="6640" w:type="dxa"/>
            <w:vAlign w:val="bottom"/>
          </w:tcPr>
          <w:p>
            <w:pPr>
              <w:ind w:left="420"/>
              <w:spacing w:after="0"/>
              <w:rPr>
                <w:sz w:val="20"/>
                <w:szCs w:val="20"/>
                <w:color w:val="auto"/>
              </w:rPr>
            </w:pPr>
            <w:r>
              <w:rPr>
                <w:rFonts w:ascii="Arial" w:cs="Arial" w:eastAsia="Arial" w:hAnsi="Arial"/>
                <w:sz w:val="15"/>
                <w:szCs w:val="15"/>
                <w:color w:val="auto"/>
              </w:rPr>
              <w:t>Total revenues</w:t>
            </w: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5"/>
              </w:rPr>
              <w:t>2,996</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85"/>
              </w:rPr>
              <w:t>2,224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3,847</w:t>
            </w: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Expenses: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Personnel costs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826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1,266</w:t>
            </w: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Agent commissions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1,158</w:t>
            </w:r>
          </w:p>
        </w:tc>
        <w:tc>
          <w:tcPr>
            <w:tcW w:w="0" w:type="dxa"/>
            <w:vAlign w:val="bottom"/>
          </w:tcPr>
          <w:p>
            <w:pPr>
              <w:spacing w:after="0"/>
              <w:rPr>
                <w:sz w:val="1"/>
                <w:szCs w:val="1"/>
                <w:color w:val="auto"/>
              </w:rPr>
            </w:pP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Other operating expenses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374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754</w:t>
            </w: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87"/>
        </w:trPr>
        <w:tc>
          <w:tcPr>
            <w:tcW w:w="6640" w:type="dxa"/>
            <w:vAlign w:val="bottom"/>
          </w:tcPr>
          <w:p>
            <w:pPr>
              <w:ind w:left="180"/>
              <w:spacing w:after="0"/>
              <w:rPr>
                <w:sz w:val="20"/>
                <w:szCs w:val="20"/>
                <w:color w:val="auto"/>
              </w:rPr>
            </w:pPr>
            <w:r>
              <w:rPr>
                <w:rFonts w:ascii="Arial" w:cs="Arial" w:eastAsia="Arial" w:hAnsi="Arial"/>
                <w:sz w:val="15"/>
                <w:szCs w:val="15"/>
                <w:color w:val="auto"/>
              </w:rPr>
              <w:t>Provision for title claim losses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7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8"/>
        </w:trPr>
        <w:tc>
          <w:tcPr>
            <w:tcW w:w="664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expenses</w:t>
            </w:r>
          </w:p>
        </w:tc>
        <w:tc>
          <w:tcPr>
            <w:tcW w:w="7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5"/>
              </w:rPr>
              <w:t>2,352</w:t>
            </w:r>
          </w:p>
        </w:tc>
        <w:tc>
          <w:tcPr>
            <w:tcW w:w="10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5"/>
              </w:rPr>
              <w:t>1,696</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4,432</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3,372</w:t>
            </w:r>
          </w:p>
        </w:tc>
        <w:tc>
          <w:tcPr>
            <w:tcW w:w="0" w:type="dxa"/>
            <w:vAlign w:val="bottom"/>
          </w:tcPr>
          <w:p>
            <w:pPr>
              <w:spacing w:after="0"/>
              <w:rPr>
                <w:sz w:val="1"/>
                <w:szCs w:val="1"/>
                <w:color w:val="auto"/>
              </w:rPr>
            </w:pPr>
          </w:p>
        </w:tc>
      </w:tr>
      <w:tr>
        <w:trPr>
          <w:trHeight w:val="123"/>
        </w:trPr>
        <w:tc>
          <w:tcPr>
            <w:tcW w:w="66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Earnings (loss) from continuing operations, before income taxes and equity in earnings of unconsolidated</w:t>
            </w:r>
          </w:p>
        </w:tc>
        <w:tc>
          <w:tcPr>
            <w:tcW w:w="700" w:type="dxa"/>
            <w:vAlign w:val="bottom"/>
            <w:vMerge w:val="restart"/>
            <w:shd w:val="clear" w:color="auto" w:fill="CCEEFF"/>
          </w:tcPr>
          <w:p>
            <w:pPr>
              <w:jc w:val="right"/>
              <w:ind w:right="533"/>
              <w:spacing w:after="0"/>
              <w:rPr>
                <w:sz w:val="20"/>
                <w:szCs w:val="20"/>
                <w:color w:val="auto"/>
              </w:rPr>
            </w:pPr>
            <w:r>
              <w:rPr>
                <w:rFonts w:ascii="Arial" w:cs="Arial" w:eastAsia="Arial" w:hAnsi="Arial"/>
                <w:sz w:val="15"/>
                <w:szCs w:val="15"/>
                <w:color w:val="auto"/>
                <w:w w:val="95"/>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644</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550"/>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528</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1,083</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184"/>
        </w:trPr>
        <w:tc>
          <w:tcPr>
            <w:tcW w:w="6640" w:type="dxa"/>
            <w:vAlign w:val="bottom"/>
            <w:tcBorders>
              <w:bottom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affiliates</w:t>
            </w: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Orders opened by direct title operations (in thousands)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jc w:val="right"/>
              <w:spacing w:after="0" w:line="151" w:lineRule="exact"/>
              <w:rPr>
                <w:sz w:val="20"/>
                <w:szCs w:val="20"/>
                <w:color w:val="auto"/>
              </w:rPr>
            </w:pPr>
            <w:r>
              <w:rPr>
                <w:rFonts w:ascii="Arial" w:cs="Arial" w:eastAsia="Arial" w:hAnsi="Arial"/>
                <w:sz w:val="15"/>
                <w:szCs w:val="15"/>
                <w:color w:val="auto"/>
              </w:rPr>
              <w:t>695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line="151" w:lineRule="exact"/>
              <w:rPr>
                <w:sz w:val="20"/>
                <w:szCs w:val="20"/>
                <w:color w:val="auto"/>
              </w:rPr>
            </w:pPr>
            <w:r>
              <w:rPr>
                <w:rFonts w:ascii="Arial" w:cs="Arial" w:eastAsia="Arial" w:hAnsi="Arial"/>
                <w:sz w:val="15"/>
                <w:szCs w:val="15"/>
                <w:color w:val="auto"/>
              </w:rPr>
              <w:t>693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5"/>
                <w:szCs w:val="15"/>
                <w:color w:val="auto"/>
              </w:rPr>
              <w:t>1,465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Arial" w:cs="Arial" w:eastAsia="Arial" w:hAnsi="Arial"/>
                <w:sz w:val="15"/>
                <w:szCs w:val="15"/>
                <w:color w:val="auto"/>
              </w:rPr>
              <w:t>1,375</w:t>
            </w: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Orders closed by direct title operations (in thousands)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w:t>
            </w:r>
          </w:p>
        </w:tc>
        <w:tc>
          <w:tcPr>
            <w:tcW w:w="0" w:type="dxa"/>
            <w:vAlign w:val="bottom"/>
          </w:tcPr>
          <w:p>
            <w:pPr>
              <w:spacing w:after="0"/>
              <w:rPr>
                <w:sz w:val="1"/>
                <w:szCs w:val="1"/>
                <w:color w:val="auto"/>
              </w:rPr>
            </w:pPr>
          </w:p>
        </w:tc>
      </w:tr>
      <w:tr>
        <w:trPr>
          <w:trHeight w:val="187"/>
        </w:trPr>
        <w:tc>
          <w:tcPr>
            <w:tcW w:w="6640" w:type="dxa"/>
            <w:vAlign w:val="bottom"/>
          </w:tcPr>
          <w:p>
            <w:pPr>
              <w:ind w:left="20"/>
              <w:spacing w:after="0"/>
              <w:rPr>
                <w:sz w:val="20"/>
                <w:szCs w:val="20"/>
                <w:color w:val="auto"/>
              </w:rPr>
            </w:pPr>
            <w:r>
              <w:rPr>
                <w:rFonts w:ascii="Arial" w:cs="Arial" w:eastAsia="Arial" w:hAnsi="Arial"/>
                <w:sz w:val="15"/>
                <w:szCs w:val="15"/>
                <w:color w:val="auto"/>
              </w:rPr>
              <w:t>Fee per file (in dollars)</w:t>
            </w:r>
          </w:p>
        </w:tc>
        <w:tc>
          <w:tcPr>
            <w:tcW w:w="700" w:type="dxa"/>
            <w:vAlign w:val="bottom"/>
          </w:tcPr>
          <w:p>
            <w:pPr>
              <w:jc w:val="right"/>
              <w:ind w:right="533"/>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5"/>
              </w:rPr>
              <w:t>2,444</w:t>
            </w:r>
          </w:p>
        </w:tc>
        <w:tc>
          <w:tcPr>
            <w:tcW w:w="100" w:type="dxa"/>
            <w:vAlign w:val="bottom"/>
          </w:tcPr>
          <w:p>
            <w:pPr>
              <w:spacing w:after="0"/>
              <w:rPr>
                <w:sz w:val="16"/>
                <w:szCs w:val="16"/>
                <w:color w:val="auto"/>
              </w:rPr>
            </w:pPr>
          </w:p>
        </w:tc>
        <w:tc>
          <w:tcPr>
            <w:tcW w:w="700" w:type="dxa"/>
            <w:vAlign w:val="bottom"/>
          </w:tcPr>
          <w:p>
            <w:pPr>
              <w:jc w:val="right"/>
              <w:ind w:right="55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85"/>
              </w:rPr>
              <w:t>1,889</w:t>
            </w:r>
          </w:p>
        </w:tc>
        <w:tc>
          <w:tcPr>
            <w:tcW w:w="80" w:type="dxa"/>
            <w:vAlign w:val="bottom"/>
          </w:tcPr>
          <w:p>
            <w:pPr>
              <w:spacing w:after="0"/>
              <w:rPr>
                <w:sz w:val="16"/>
                <w:szCs w:val="16"/>
                <w:color w:val="auto"/>
              </w:rPr>
            </w:pP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2,188</w:t>
            </w:r>
          </w:p>
        </w:tc>
        <w:tc>
          <w:tcPr>
            <w:tcW w:w="8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2,035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Total revenues for the Title segment increased by $772 million, or 35%, in the three months ended June 30, 2021 and increased by $1,668 million, or 43%, in the six months ended June 30, 2021 from the corresponding periods in 2020.</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percentages of title insurance premiums generated by our direct and agency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240"/>
              <w:spacing w:after="0"/>
              <w:rPr>
                <w:sz w:val="20"/>
                <w:szCs w:val="20"/>
                <w:color w:val="auto"/>
              </w:rPr>
            </w:pPr>
            <w:r>
              <w:rPr>
                <w:rFonts w:ascii="Arial" w:cs="Arial" w:eastAsia="Arial" w:hAnsi="Arial"/>
                <w:sz w:val="12"/>
                <w:szCs w:val="12"/>
                <w:b w:val="1"/>
                <w:bCs w:val="1"/>
                <w:color w:val="auto"/>
                <w:w w:val="97"/>
              </w:rPr>
              <w:t>Three months ended 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43"/>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340"/>
              <w:spacing w:after="0"/>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74"/>
              <w:spacing w:after="0"/>
              <w:rPr>
                <w:sz w:val="20"/>
                <w:szCs w:val="20"/>
                <w:color w:val="auto"/>
              </w:rPr>
            </w:pPr>
            <w:r>
              <w:rPr>
                <w:rFonts w:ascii="Arial" w:cs="Arial" w:eastAsia="Arial" w:hAnsi="Arial"/>
                <w:sz w:val="12"/>
                <w:szCs w:val="12"/>
                <w:b w:val="1"/>
                <w:bCs w:val="1"/>
                <w:color w:val="auto"/>
              </w:rPr>
              <w:t>%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340"/>
              <w:spacing w:after="0"/>
              <w:rPr>
                <w:sz w:val="20"/>
                <w:szCs w:val="20"/>
                <w:color w:val="auto"/>
              </w:rPr>
            </w:pPr>
            <w:r>
              <w:rPr>
                <w:rFonts w:ascii="Arial" w:cs="Arial" w:eastAsia="Arial" w:hAnsi="Arial"/>
                <w:sz w:val="12"/>
                <w:szCs w:val="12"/>
                <w:b w:val="1"/>
                <w:bCs w:val="1"/>
                <w:color w:val="auto"/>
              </w:rPr>
              <w:t>% of</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73"/>
              <w:spacing w:after="0"/>
              <w:rPr>
                <w:sz w:val="20"/>
                <w:szCs w:val="20"/>
                <w:color w:val="auto"/>
              </w:rPr>
            </w:pPr>
            <w:r>
              <w:rPr>
                <w:rFonts w:ascii="Arial" w:cs="Arial" w:eastAsia="Arial" w:hAnsi="Arial"/>
                <w:sz w:val="12"/>
                <w:szCs w:val="12"/>
                <w:b w:val="1"/>
                <w:bCs w:val="1"/>
                <w:color w:val="auto"/>
              </w:rPr>
              <w:t>% of</w:t>
            </w:r>
          </w:p>
        </w:tc>
      </w:tr>
      <w:tr>
        <w:trPr>
          <w:trHeight w:val="155"/>
        </w:trPr>
        <w:tc>
          <w:tcPr>
            <w:tcW w:w="3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2"/>
                <w:szCs w:val="12"/>
                <w:b w:val="1"/>
                <w:bCs w:val="1"/>
                <w:color w:val="auto"/>
              </w:rPr>
              <w:t>Total</w:t>
            </w:r>
          </w:p>
        </w:tc>
      </w:tr>
      <w:tr>
        <w:trPr>
          <w:trHeight w:val="148"/>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ind w:left="500"/>
              <w:spacing w:after="0"/>
              <w:rPr>
                <w:sz w:val="20"/>
                <w:szCs w:val="20"/>
                <w:color w:val="auto"/>
              </w:rPr>
            </w:pPr>
            <w:r>
              <w:rPr>
                <w:rFonts w:ascii="Arial" w:cs="Arial" w:eastAsia="Arial" w:hAnsi="Arial"/>
                <w:sz w:val="12"/>
                <w:szCs w:val="12"/>
                <w:b w:val="1"/>
                <w:bCs w:val="1"/>
                <w:color w:val="auto"/>
              </w:rPr>
              <w:t>(Dollars in millions)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Title premiums from direct operations</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r>
      <w:tr>
        <w:trPr>
          <w:trHeight w:val="18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Title premiums from agency operations</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1,256</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color w:val="auto"/>
              </w:rPr>
              <w:t>58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2,314</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1,516</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5"/>
                <w:szCs w:val="15"/>
                <w:color w:val="auto"/>
              </w:rPr>
              <w:t>57</w:t>
            </w:r>
          </w:p>
        </w:tc>
      </w:tr>
      <w:tr>
        <w:trPr>
          <w:trHeight w:val="203"/>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title premiums</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Title premiums increased by 59% in the three months ended June 30, 2021 as compared to the corresponding period in 2020. The increase is comprised of an increase in Title premiums from direct operations of $329 million, or 57%, and an increase in Title premiums from agency operations of $472 million, or 60%.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Title premiums increased by 50% in the six months ended June 30, 2021 as compared to the corresponding period in 2020. The increase is comprised of an increase in Title premiums from direct operations of $529 million, or 47%, and an increase in Title premiums from agency operations of $798 million, or 53%.</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percentages of opened and closed title insurance orders generated by purchase and refinance transactions by our direct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40" w:type="dxa"/>
            <w:vAlign w:val="bottom"/>
          </w:tcPr>
          <w:p>
            <w:pPr>
              <w:spacing w:after="0"/>
              <w:rPr>
                <w:sz w:val="13"/>
                <w:szCs w:val="13"/>
                <w:color w:val="auto"/>
              </w:rPr>
            </w:pPr>
          </w:p>
        </w:tc>
        <w:tc>
          <w:tcPr>
            <w:tcW w:w="20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2"/>
                <w:szCs w:val="12"/>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bottom w:val="single" w:sz="8" w:color="auto"/>
            </w:tcBorders>
            <w:gridSpan w:val="3"/>
          </w:tcPr>
          <w:p>
            <w:pPr>
              <w:jc w:val="right"/>
              <w:ind w:right="509"/>
              <w:spacing w:after="0"/>
              <w:rPr>
                <w:sz w:val="20"/>
                <w:szCs w:val="20"/>
                <w:color w:val="auto"/>
              </w:rPr>
            </w:pPr>
            <w:r>
              <w:rPr>
                <w:rFonts w:ascii="Arial" w:cs="Arial" w:eastAsia="Arial" w:hAnsi="Arial"/>
                <w:sz w:val="12"/>
                <w:szCs w:val="12"/>
                <w:b w:val="1"/>
                <w:bCs w:val="1"/>
                <w:color w:val="auto"/>
              </w:rPr>
              <w:t>Six months ended June 30,</w:t>
            </w:r>
          </w:p>
        </w:tc>
      </w:tr>
      <w:tr>
        <w:trPr>
          <w:trHeight w:val="148"/>
        </w:trPr>
        <w:tc>
          <w:tcPr>
            <w:tcW w:w="62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2020</w:t>
            </w:r>
          </w:p>
        </w:tc>
      </w:tr>
      <w:tr>
        <w:trPr>
          <w:trHeight w:val="179"/>
        </w:trPr>
        <w:tc>
          <w:tcPr>
            <w:tcW w:w="7000" w:type="dxa"/>
            <w:vAlign w:val="bottom"/>
            <w:gridSpan w:val="2"/>
          </w:tcPr>
          <w:p>
            <w:pPr>
              <w:ind w:left="20"/>
              <w:spacing w:after="0"/>
              <w:rPr>
                <w:sz w:val="20"/>
                <w:szCs w:val="20"/>
                <w:color w:val="auto"/>
              </w:rPr>
            </w:pPr>
            <w:r>
              <w:rPr>
                <w:rFonts w:ascii="Arial" w:cs="Arial" w:eastAsia="Arial" w:hAnsi="Arial"/>
                <w:sz w:val="15"/>
                <w:szCs w:val="15"/>
                <w:color w:val="auto"/>
              </w:rPr>
              <w:t>Opened title insurance orders from purchase transactions (1)</w:t>
            </w:r>
          </w:p>
        </w:tc>
        <w:tc>
          <w:tcPr>
            <w:tcW w:w="440" w:type="dxa"/>
            <w:vAlign w:val="bottom"/>
          </w:tcPr>
          <w:p>
            <w:pPr>
              <w:jc w:val="right"/>
              <w:spacing w:after="0"/>
              <w:rPr>
                <w:sz w:val="20"/>
                <w:szCs w:val="20"/>
                <w:color w:val="auto"/>
              </w:rPr>
            </w:pPr>
            <w:r>
              <w:rPr>
                <w:rFonts w:ascii="Arial" w:cs="Arial" w:eastAsia="Arial" w:hAnsi="Arial"/>
                <w:sz w:val="15"/>
                <w:szCs w:val="15"/>
                <w:color w:val="auto"/>
              </w:rPr>
              <w:t>53 %</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37 %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47 %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39 %</w:t>
            </w:r>
          </w:p>
        </w:tc>
      </w:tr>
      <w:tr>
        <w:trPr>
          <w:trHeight w:val="18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Opened title insurance orders from refinance transactions (1)</w:t>
            </w:r>
          </w:p>
        </w:tc>
        <w:tc>
          <w:tcPr>
            <w:tcW w:w="44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63</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61</w:t>
            </w:r>
          </w:p>
        </w:tc>
      </w:tr>
      <w:tr>
        <w:trPr>
          <w:trHeight w:val="178"/>
        </w:trPr>
        <w:tc>
          <w:tcPr>
            <w:tcW w:w="624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100 %</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100 %</w:t>
            </w:r>
          </w:p>
        </w:tc>
        <w:tc>
          <w:tcPr>
            <w:tcW w:w="8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6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7"/>
        </w:trPr>
        <w:tc>
          <w:tcPr>
            <w:tcW w:w="7000" w:type="dxa"/>
            <w:vAlign w:val="bottom"/>
            <w:gridSpan w:val="2"/>
          </w:tcPr>
          <w:p>
            <w:pPr>
              <w:ind w:left="20"/>
              <w:spacing w:after="0"/>
              <w:rPr>
                <w:sz w:val="20"/>
                <w:szCs w:val="20"/>
                <w:color w:val="auto"/>
              </w:rPr>
            </w:pPr>
            <w:r>
              <w:rPr>
                <w:rFonts w:ascii="Arial" w:cs="Arial" w:eastAsia="Arial" w:hAnsi="Arial"/>
                <w:sz w:val="15"/>
                <w:szCs w:val="15"/>
                <w:color w:val="auto"/>
              </w:rPr>
              <w:t>Closed title insurance orders from purchase transactions (1)</w:t>
            </w:r>
          </w:p>
        </w:tc>
        <w:tc>
          <w:tcPr>
            <w:tcW w:w="440" w:type="dxa"/>
            <w:vAlign w:val="bottom"/>
          </w:tcPr>
          <w:p>
            <w:pPr>
              <w:jc w:val="right"/>
              <w:spacing w:after="0"/>
              <w:rPr>
                <w:sz w:val="20"/>
                <w:szCs w:val="20"/>
                <w:color w:val="auto"/>
              </w:rPr>
            </w:pPr>
            <w:r>
              <w:rPr>
                <w:rFonts w:ascii="Arial" w:cs="Arial" w:eastAsia="Arial" w:hAnsi="Arial"/>
                <w:sz w:val="15"/>
                <w:szCs w:val="15"/>
                <w:color w:val="auto"/>
              </w:rPr>
              <w:t>47 %</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35 %</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40 %</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40 %</w:t>
            </w:r>
          </w:p>
        </w:tc>
      </w:tr>
      <w:tr>
        <w:trPr>
          <w:trHeight w:val="18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Closed title insurance orders from refinance transactions (1)</w:t>
            </w:r>
          </w:p>
        </w:tc>
        <w:tc>
          <w:tcPr>
            <w:tcW w:w="44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60</w:t>
            </w:r>
          </w:p>
        </w:tc>
      </w:tr>
      <w:tr>
        <w:trPr>
          <w:trHeight w:val="178"/>
        </w:trPr>
        <w:tc>
          <w:tcPr>
            <w:tcW w:w="624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100 %</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100 %</w:t>
            </w:r>
          </w:p>
        </w:tc>
        <w:tc>
          <w:tcPr>
            <w:tcW w:w="8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w:t>
      </w:r>
    </w:p>
    <w:p>
      <w:pPr>
        <w:spacing w:after="0" w:line="47"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Percentages exclude consideration of an immaterial number of non-purchase and non-refinance orders.</w:t>
      </w:r>
    </w:p>
    <w:p>
      <w:pPr>
        <w:spacing w:after="0" w:line="91" w:lineRule="exact"/>
        <w:rPr>
          <w:sz w:val="20"/>
          <w:szCs w:val="20"/>
          <w:color w:val="auto"/>
        </w:rPr>
      </w:pPr>
    </w:p>
    <w:p>
      <w:pPr>
        <w:jc w:val="both"/>
        <w:ind w:firstLine="264"/>
        <w:spacing w:after="0" w:line="274" w:lineRule="auto"/>
        <w:rPr>
          <w:sz w:val="20"/>
          <w:szCs w:val="20"/>
          <w:color w:val="auto"/>
        </w:rPr>
      </w:pPr>
      <w:r>
        <w:rPr>
          <w:rFonts w:ascii="Arial" w:cs="Arial" w:eastAsia="Arial" w:hAnsi="Arial"/>
          <w:sz w:val="14"/>
          <w:szCs w:val="14"/>
          <w:color w:val="auto"/>
        </w:rPr>
        <w:t>Title premiums from direct operations increased in the three and six-month periods ended June 30, 2021 as compared to the corresponding periods in 2020. The increase in the three-month period is primarily attributable to an increase in closed order volume, driven by an increase in residential purchase volume, as well as increases in both residential and commercial fee per file, partially offset by a decrease in refinance order volume. The increase in the six-month period is primarily attributable to an increase in total closed order volume, driven by increases in both residential purchase and refinance order volume, as well as increases in both residential and commercial fee per file.</w:t>
      </w:r>
    </w:p>
    <w:p>
      <w:pPr>
        <w:spacing w:after="0" w:line="56" w:lineRule="exact"/>
        <w:rPr>
          <w:sz w:val="20"/>
          <w:szCs w:val="20"/>
          <w:color w:val="auto"/>
        </w:rPr>
      </w:pPr>
    </w:p>
    <w:p>
      <w:pPr>
        <w:jc w:val="both"/>
        <w:ind w:firstLine="264"/>
        <w:spacing w:after="0" w:line="297" w:lineRule="auto"/>
        <w:rPr>
          <w:sz w:val="20"/>
          <w:szCs w:val="20"/>
          <w:color w:val="auto"/>
        </w:rPr>
      </w:pPr>
      <w:r>
        <w:rPr>
          <w:rFonts w:ascii="Arial" w:cs="Arial" w:eastAsia="Arial" w:hAnsi="Arial"/>
          <w:sz w:val="13"/>
          <w:szCs w:val="13"/>
          <w:color w:val="auto"/>
        </w:rPr>
        <w:t>We experienced an increase in closed title insurance order volumes from purchase transactions in the three month period ended June 30, 3021 and an increase in closed title insurance order volumes from purchase and refinance transactions in the six-month period ended June 30, 2021 as compared to the corresponding periods in 2020. Total closed order volumes were 568,000 in the three months ended June 30, 2021 compared to 487,000 in the three months ended June 30, 2020 and 1,165,000 in the six months ended June 30, 2021 compared to 864,000 in the six months ended June 30, 2020. This represented an overall increase of 17% and 35% in the three and six-month periods ended June 30, 2021, respectively, from the corresponding periods in 2020. The increases in the 2021 periods are primarily due to lower average interest rates and higher consumer confidence when compared to the corresponding 2020 periods.</w:t>
      </w:r>
    </w:p>
    <w:p>
      <w:pPr>
        <w:spacing w:after="0" w:line="42"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Total opened title insurance order volumes increased in the three and six-month periods ended June 30, 2021, as compared to the corresponding periods in 2020. The increases are attributable to increased opened title orders from purchase transactions, partially offset by decreased open title orders from refinance transactions.</w:t>
      </w:r>
    </w:p>
    <w:p>
      <w:pPr>
        <w:spacing w:after="0" w:line="60" w:lineRule="exact"/>
        <w:rPr>
          <w:sz w:val="20"/>
          <w:szCs w:val="20"/>
          <w:color w:val="auto"/>
        </w:rPr>
      </w:pPr>
    </w:p>
    <w:p>
      <w:pPr>
        <w:jc w:val="both"/>
        <w:ind w:firstLine="264"/>
        <w:spacing w:after="0" w:line="302" w:lineRule="auto"/>
        <w:rPr>
          <w:sz w:val="20"/>
          <w:szCs w:val="20"/>
          <w:color w:val="auto"/>
        </w:rPr>
      </w:pPr>
      <w:r>
        <w:rPr>
          <w:rFonts w:ascii="Arial" w:cs="Arial" w:eastAsia="Arial" w:hAnsi="Arial"/>
          <w:sz w:val="13"/>
          <w:szCs w:val="13"/>
          <w:color w:val="auto"/>
        </w:rPr>
        <w:t>The average fee per file in our direct operations was $2,444 and $2,188 in the three and six-month periods ended June 30, 2021, respectively, compared to $1,889 and $2,035 in the three and six-month periods ended June 30, 2020, respectively. The increase in average fee per file reflects an increased proportion of purchase transactions relative to total closed orders and also an increased commercial market compared to the corresponding prior year periods.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264"/>
        <w:spacing w:after="0" w:line="302" w:lineRule="auto"/>
        <w:rPr>
          <w:sz w:val="20"/>
          <w:szCs w:val="20"/>
          <w:color w:val="auto"/>
        </w:rPr>
      </w:pPr>
      <w:r>
        <w:rPr>
          <w:rFonts w:ascii="Arial" w:cs="Arial" w:eastAsia="Arial" w:hAnsi="Arial"/>
          <w:sz w:val="13"/>
          <w:szCs w:val="13"/>
          <w:color w:val="auto"/>
        </w:rPr>
        <w:t>Title premiums from agency operations increased $472 million, or 60%, in the three months ended June 30, 2021 and increased $798 million, or 53%, in the six months ended June 30, 2021 from the corresponding periods in 2020. The current trends in the agency business reflect a strong residential purchase environment in many markets throughout the country and a concerted effort by management to increase remittances with existing agents as well as cultivate new relationships with potential new agents. In addition, lower mortgage rates have resulted in a surge in refinance business with agents, which is further impacted by changes in underlying real estate activity in the geographic regions in which the independent agents operate.</w:t>
      </w:r>
    </w:p>
    <w:p>
      <w:pPr>
        <w:spacing w:after="0" w:line="39" w:lineRule="exact"/>
        <w:rPr>
          <w:sz w:val="20"/>
          <w:szCs w:val="20"/>
          <w:color w:val="auto"/>
        </w:rPr>
      </w:pPr>
    </w:p>
    <w:p>
      <w:pPr>
        <w:jc w:val="both"/>
        <w:ind w:firstLine="264"/>
        <w:spacing w:after="0" w:line="297" w:lineRule="auto"/>
        <w:rPr>
          <w:sz w:val="20"/>
          <w:szCs w:val="20"/>
          <w:color w:val="auto"/>
        </w:rPr>
      </w:pPr>
      <w:r>
        <w:rPr>
          <w:rFonts w:ascii="Arial" w:cs="Arial" w:eastAsia="Arial" w:hAnsi="Arial"/>
          <w:sz w:val="13"/>
          <w:szCs w:val="13"/>
          <w:color w:val="auto"/>
        </w:rPr>
        <w:t>Escrow, title-related and other fees increased by $184 million, or 28%, in the three months ended June 30, 2021 and increased $319 million or 25% in the six months ended June 30, 2021 from the corresponding periods in 2020. Escrow fees, which are more closely related to our direct operations, increased by $114 million, or 44%, in the three months ended June 30, 2021 and $215 million, or 45%, in the six months ended June 30, 2021 as compared to the corresponding periods in 2020. The increases are primarily driven by the related increase in direct title premiums. Other fees in the Title segment, excluding escrow fees, increased by $70 million, or 18%, in the three months ended June 30, 2021 and increased by $104 million, or 13%, in the six months ended June 30, 2021 compared to the corresponding periods in 2020. The increases in Other fees was primarily driven by increases in various individually immaterial items.</w:t>
      </w:r>
    </w:p>
    <w:p>
      <w:pPr>
        <w:spacing w:after="0" w:line="42" w:lineRule="exact"/>
        <w:rPr>
          <w:sz w:val="20"/>
          <w:szCs w:val="20"/>
          <w:color w:val="auto"/>
        </w:rPr>
      </w:pPr>
    </w:p>
    <w:p>
      <w:pPr>
        <w:jc w:val="both"/>
        <w:ind w:firstLine="264"/>
        <w:spacing w:after="0" w:line="297" w:lineRule="auto"/>
        <w:rPr>
          <w:sz w:val="20"/>
          <w:szCs w:val="20"/>
          <w:color w:val="auto"/>
        </w:rPr>
      </w:pPr>
      <w:r>
        <w:rPr>
          <w:rFonts w:ascii="Arial" w:cs="Arial" w:eastAsia="Arial" w:hAnsi="Arial"/>
          <w:sz w:val="13"/>
          <w:szCs w:val="13"/>
          <w:color w:val="auto"/>
        </w:rPr>
        <w:t>Interest and investment income levels are primarily a function of securities markets, interest rates and the amount of cash available for investment. Interest and investment income decreased $14 million, or 34%, in the three months ended June 30, 2021 and decreased $33 million, or 37%, in the six months ended June 30, 2021 as compared to the corresponding period in 2020. The decrease in the three-month period is primarily attributable to decreases in dividends on common and preferred stocks in the 2021 period as compared to the corresponding period in 2020, and various other individually immaterial items. The decrease in the six-month period is primarily attributable to a decline in interest rates on our cash and short-term investments and the aforementioned decreases in dividends on common and preferred stocks in 2021 period as compared to the corresponding period in 2020.</w:t>
      </w:r>
    </w:p>
    <w:p>
      <w:pPr>
        <w:spacing w:after="0" w:line="42"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5"/>
          <w:szCs w:val="15"/>
          <w:color w:val="auto"/>
        </w:rPr>
        <w:t>Net recognized losses were $30 million in the three months ended June 30, 2021 as compared to net recognized gains of $169 million in the three months ended June 30, 2020. Net recognized losses were $89 million in the six months ended June 30, 2021 as compared to net recognized losses of $144 million in the six months ended June 30, 2020. The variability in recognized gains and losses, net are primarily attributable to fluctuations in non-cash valuation changes on our equity and preferred security holdings in addition to various other individually immaterial items.</w:t>
      </w:r>
    </w:p>
    <w:p>
      <w:pPr>
        <w:spacing w:after="0" w:line="69" w:lineRule="exact"/>
        <w:rPr>
          <w:sz w:val="20"/>
          <w:szCs w:val="20"/>
          <w:color w:val="auto"/>
        </w:rPr>
      </w:pPr>
    </w:p>
    <w:p>
      <w:pPr>
        <w:jc w:val="both"/>
        <w:ind w:firstLine="264"/>
        <w:spacing w:after="0" w:line="268" w:lineRule="auto"/>
        <w:rPr>
          <w:sz w:val="20"/>
          <w:szCs w:val="20"/>
          <w:color w:val="auto"/>
        </w:rPr>
      </w:pPr>
      <w:r>
        <w:rPr>
          <w:rFonts w:ascii="Arial" w:cs="Arial" w:eastAsia="Arial" w:hAnsi="Arial"/>
          <w:sz w:val="14"/>
          <w:szCs w:val="14"/>
          <w:color w:val="auto"/>
        </w:rPr>
        <w:t>Personnel costs include base salaries, commissions, benefits, stock-based compensation and bonuses paid to employees, and are one of our most significant operating expenses. Personnel costs increased $201 million, or 32%, in the three months ended June 30, 2021 and increased $314 million, or 25% in the six months ended June 30, 2021compared to the corresponding periods in 2020. The increase is primarily attributable to increased salaries, bonuses, and commissions in the 2021 period associated with increased headcount to manage the surge in refinance and strong purchase orders compared to the prior year period. Personnel costs as a percentage of total revenues from direct title premiums and escrow, title-related and other fees were 47% and 51% for the three-month periods ended June 30, 2021 and 2020, respectively and 49% and 53%, respectively, for the six-month periods ended June 30, 2021 and 2020. Average employee count in the Title segment was 27,348 and 23,373 in the three-month periods ended June 30, 2021 and 2020, respectively, and 26,846 and 23,900 in the six-month periods ended June 30, 2021 and 2020, respectively.</w:t>
      </w:r>
    </w:p>
    <w:p>
      <w:pPr>
        <w:spacing w:after="0" w:line="60" w:lineRule="exact"/>
        <w:rPr>
          <w:sz w:val="20"/>
          <w:szCs w:val="20"/>
          <w:color w:val="auto"/>
        </w:rPr>
      </w:pPr>
    </w:p>
    <w:p>
      <w:pPr>
        <w:jc w:val="both"/>
        <w:ind w:firstLine="264"/>
        <w:spacing w:after="0" w:line="311" w:lineRule="auto"/>
        <w:rPr>
          <w:sz w:val="20"/>
          <w:szCs w:val="20"/>
          <w:color w:val="auto"/>
        </w:rPr>
      </w:pPr>
      <w:r>
        <w:rPr>
          <w:rFonts w:ascii="Arial" w:cs="Arial" w:eastAsia="Arial" w:hAnsi="Arial"/>
          <w:sz w:val="13"/>
          <w:szCs w:val="13"/>
          <w:color w:val="auto"/>
        </w:rPr>
        <w:t>Other operating expenses increased by $51 million, or 14%, in the three months ended June 30, 2021 and increased by $76 million, or 10% in the six months ended June 30, 2021 from the corresponding periods in 2020. Other operating expenses as a percentage of total revenue excluding agency premiums, interest and investment income, and recognized gains and losses were 24% and 30% in the three months ended June 30, 2021 and 2020, respectively and 26% and 32% in the six months ended June 30, 2021 and 2020, respectively.</w:t>
      </w:r>
    </w:p>
    <w:p>
      <w:pPr>
        <w:spacing w:after="0" w:line="34"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illustrates the relationship of agent premiums and agent commissions, which has remained relatively consistent since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2"/>
                <w:szCs w:val="12"/>
                <w:b w:val="1"/>
                <w:bCs w:val="1"/>
                <w:color w:val="auto"/>
              </w:rPr>
              <w:t>Three months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48"/>
        </w:trPr>
        <w:tc>
          <w:tcPr>
            <w:tcW w:w="3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w:t>
            </w:r>
          </w:p>
        </w:tc>
      </w:tr>
      <w:tr>
        <w:trPr>
          <w:trHeight w:val="145"/>
        </w:trPr>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ind w:left="500"/>
              <w:spacing w:after="0"/>
              <w:rPr>
                <w:sz w:val="20"/>
                <w:szCs w:val="20"/>
                <w:color w:val="auto"/>
              </w:rPr>
            </w:pPr>
            <w:r>
              <w:rPr>
                <w:rFonts w:ascii="Arial" w:cs="Arial" w:eastAsia="Arial" w:hAnsi="Arial"/>
                <w:sz w:val="12"/>
                <w:szCs w:val="12"/>
                <w:b w:val="1"/>
                <w:bCs w:val="1"/>
                <w:color w:val="auto"/>
              </w:rPr>
              <w:t>(Dollars in millions)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9"/>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Agent premiums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187"/>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Agent commissions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76 %</w:t>
            </w:r>
          </w:p>
        </w:tc>
      </w:tr>
      <w:tr>
        <w:trPr>
          <w:trHeight w:val="203"/>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retained agent premiums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jc w:val="both"/>
        <w:ind w:firstLine="264"/>
        <w:spacing w:after="0" w:line="274" w:lineRule="auto"/>
        <w:rPr>
          <w:sz w:val="20"/>
          <w:szCs w:val="20"/>
          <w:color w:val="auto"/>
        </w:rPr>
      </w:pPr>
      <w:r>
        <w:rPr>
          <w:rFonts w:ascii="Arial" w:cs="Arial" w:eastAsia="Arial" w:hAnsi="Arial"/>
          <w:sz w:val="14"/>
          <w:szCs w:val="14"/>
          <w:color w:val="auto"/>
        </w:rPr>
        <w:t>The claim loss provision for title insurance was $97 million and $61 million for the three-month periods ended June 30, 2021 and 2020, respectively, and $178 million and $119 million for the six-month periods ended June 30, 2021 and 2020,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Overview</w:t>
      </w:r>
    </w:p>
    <w:p>
      <w:pPr>
        <w:spacing w:after="0" w:line="139" w:lineRule="exact"/>
        <w:rPr>
          <w:sz w:val="20"/>
          <w:szCs w:val="20"/>
          <w:color w:val="auto"/>
        </w:rPr>
      </w:pPr>
    </w:p>
    <w:p>
      <w:pPr>
        <w:jc w:val="both"/>
        <w:ind w:firstLine="330"/>
        <w:spacing w:after="0" w:line="274" w:lineRule="auto"/>
        <w:rPr>
          <w:sz w:val="20"/>
          <w:szCs w:val="20"/>
          <w:color w:val="auto"/>
        </w:rPr>
      </w:pPr>
      <w:r>
        <w:rPr>
          <w:rFonts w:ascii="Arial" w:cs="Arial" w:eastAsia="Arial" w:hAnsi="Arial"/>
          <w:sz w:val="14"/>
          <w:szCs w:val="14"/>
          <w:color w:val="auto"/>
        </w:rPr>
        <w:t>Through our wholly owned F&amp;G subsidiary, which we acquired on June 1, 2020, we provide our principal life and annuity products through the insurance subsidiaries composing our F&amp;G segment, FGL Insurance and FGL NY Insurance. Our customers range across a variety of age groups and are concentrated in the middle-income market. Our FIAs provide for pre-retirement wealth accumulation and post-retirement income management. Our IUL products provide wealth protection and transfer opportunities. Life and annuity products are primarily distributed through Independent Marketing Organizations ("IMOs") and independent insurance agents, and beginning in 2020, independent broker dealers and banks.</w:t>
      </w:r>
    </w:p>
    <w:p>
      <w:pPr>
        <w:spacing w:after="0" w:line="34" w:lineRule="exact"/>
        <w:rPr>
          <w:sz w:val="20"/>
          <w:szCs w:val="20"/>
          <w:color w:val="auto"/>
        </w:rPr>
      </w:pPr>
    </w:p>
    <w:p>
      <w:pPr>
        <w:jc w:val="both"/>
        <w:ind w:firstLine="363"/>
        <w:spacing w:after="0" w:line="251" w:lineRule="auto"/>
        <w:rPr>
          <w:sz w:val="20"/>
          <w:szCs w:val="20"/>
          <w:color w:val="auto"/>
        </w:rPr>
      </w:pPr>
      <w:r>
        <w:rPr>
          <w:rFonts w:ascii="Arial" w:cs="Arial" w:eastAsia="Arial" w:hAnsi="Arial"/>
          <w:sz w:val="15"/>
          <w:szCs w:val="15"/>
          <w:color w:val="auto"/>
        </w:rPr>
        <w:t>In setting the features and pricing of new FIA products relative to our targeted net margin, we take into account our expectations regarding (1) net investment spread (see Non-GAAP Financial Measures section),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Sales</w:t>
      </w:r>
    </w:p>
    <w:p>
      <w:pPr>
        <w:spacing w:after="0" w:line="69" w:lineRule="exact"/>
        <w:rPr>
          <w:sz w:val="20"/>
          <w:szCs w:val="20"/>
          <w:color w:val="auto"/>
        </w:rPr>
      </w:pPr>
    </w:p>
    <w:p>
      <w:pPr>
        <w:jc w:val="both"/>
        <w:ind w:firstLine="363"/>
        <w:spacing w:after="0" w:line="249" w:lineRule="auto"/>
        <w:rPr>
          <w:sz w:val="20"/>
          <w:szCs w:val="20"/>
          <w:color w:val="auto"/>
        </w:rPr>
      </w:pPr>
      <w:r>
        <w:rPr>
          <w:rFonts w:ascii="Arial" w:cs="Arial" w:eastAsia="Arial" w:hAnsi="Arial"/>
          <w:sz w:val="15"/>
          <w:szCs w:val="15"/>
          <w:color w:val="auto"/>
        </w:rPr>
        <w:t>We regularly monitor and report the production volume metric titled “Sales”. Sales are not derived from any specific GAAP income statement accounts or line items and should not be viewed as a substitute for any financial measure determined in accordance with GAAP. Annuity and IUL sales and funding agreements are recorded as deposit liabilities (i.e. contractholder funds) within the Company's unaudited Condensed Consolidated Financial Statements included in Item 1 of Part I of this Report in accordance with GAAP.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Historical Results of Operations</w:t>
      </w:r>
    </w:p>
    <w:p>
      <w:pPr>
        <w:spacing w:after="0" w:line="106" w:lineRule="exact"/>
        <w:rPr>
          <w:sz w:val="20"/>
          <w:szCs w:val="20"/>
          <w:color w:val="auto"/>
        </w:rPr>
      </w:pPr>
    </w:p>
    <w:p>
      <w:pPr>
        <w:jc w:val="both"/>
        <w:ind w:firstLine="363"/>
        <w:spacing w:after="0" w:line="248" w:lineRule="auto"/>
        <w:rPr>
          <w:sz w:val="20"/>
          <w:szCs w:val="20"/>
          <w:color w:val="auto"/>
        </w:rPr>
      </w:pPr>
      <w:r>
        <w:rPr>
          <w:rFonts w:ascii="Arial" w:cs="Arial" w:eastAsia="Arial" w:hAnsi="Arial"/>
          <w:sz w:val="15"/>
          <w:szCs w:val="15"/>
          <w:color w:val="auto"/>
        </w:rPr>
        <w:t>Under U.S. GAAP, premium collections for fixed indexed annuities, fixed rate annuities, and immediate annuities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Through our insurance subsidiaries, we issue a broad portfolio of deferred annuities (fixed indexed and fixed rate annuities), indexed universal life insurance, immediate annuities, and funding agreements.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makes payments of principal and interest earnings over a period of time.</w:t>
      </w:r>
    </w:p>
    <w:p>
      <w:pPr>
        <w:spacing w:after="0" w:line="48"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In June 2021, we established a funding agreement-backed notes program (the “FABN Program”), pursuant to which FGL Insurance may issue funding agreements to a special purpose statutory trust (the “Trust”) for spread lending purposes. The maximum aggregate principal amount permitted to be outstanding at any one time under the FABN Program is $5.0 billion. We also issue funding agreements through the Federal Home Loan Bank of Atlanta ("FHLB").</w:t>
      </w:r>
    </w:p>
    <w:p>
      <w:pPr>
        <w:spacing w:after="0" w:line="46" w:lineRule="exact"/>
        <w:rPr>
          <w:sz w:val="20"/>
          <w:szCs w:val="20"/>
          <w:color w:val="auto"/>
        </w:rPr>
      </w:pPr>
    </w:p>
    <w:p>
      <w:pPr>
        <w:jc w:val="both"/>
        <w:ind w:firstLine="330"/>
        <w:spacing w:after="0" w:line="268" w:lineRule="auto"/>
        <w:rPr>
          <w:sz w:val="20"/>
          <w:szCs w:val="20"/>
          <w:color w:val="auto"/>
        </w:rPr>
      </w:pPr>
      <w:r>
        <w:rPr>
          <w:rFonts w:ascii="Arial" w:cs="Arial" w:eastAsia="Arial" w:hAnsi="Arial"/>
          <w:sz w:val="14"/>
          <w:szCs w:val="14"/>
          <w:color w:val="auto"/>
        </w:rPr>
        <w:t>F&amp;G hedges certain portions of its exposure to product related equity market risk by entering into derivative transactions. We purchase derivatives consisting predominantly of call options and, to a lesser degree, futures contracts on the equity indices underlying the applicable policy. These derivatives are used to offset the statutory reserve impact of the index credits due to policyholders under the FIA contracts. The majority of all such call options are one-year options purchased to match the funding requirements underlying the FIA contracts. We attempt to manage the cost of these purchases through the terms of our FIA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38"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Earnings from products accounted for as deposit liabilities are primarily generated from the excess of net investment income earned over the sum of interest credited to policyholders and the cost of hedging our risk on FIA policies, known as the net investment spread. With respect to FIAs,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48" w:lineRule="exact"/>
        <w:rPr>
          <w:sz w:val="20"/>
          <w:szCs w:val="20"/>
          <w:color w:val="auto"/>
        </w:rPr>
      </w:pPr>
    </w:p>
    <w:p>
      <w:pPr>
        <w:jc w:val="both"/>
        <w:ind w:firstLine="330"/>
        <w:spacing w:after="0" w:line="269" w:lineRule="auto"/>
        <w:rPr>
          <w:sz w:val="20"/>
          <w:szCs w:val="20"/>
          <w:color w:val="auto"/>
        </w:rPr>
      </w:pPr>
      <w:r>
        <w:rPr>
          <w:rFonts w:ascii="Arial" w:cs="Arial" w:eastAsia="Arial" w:hAnsi="Arial"/>
          <w:sz w:val="14"/>
          <w:szCs w:val="14"/>
          <w:color w:val="auto"/>
        </w:rPr>
        <w:t>Our profitability depends in large part upon the amount of assets under management (“AUM”), the net investment spreads earned on our AUM,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FIAs or IULs. We analyze returns on average assets under management ("AAUM" - see Non-GAAP Financial Measures section) pre- and post-DAC, DSI and VOBA as well as pre- and post-tax to measure our profitability in terms of growth and improved earnings.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39" w:lineRule="exact"/>
        <w:rPr>
          <w:sz w:val="20"/>
          <w:szCs w:val="20"/>
          <w:color w:val="auto"/>
        </w:rPr>
      </w:pPr>
    </w:p>
    <w:p>
      <w:pPr>
        <w:jc w:val="both"/>
        <w:ind w:firstLine="330"/>
        <w:spacing w:after="0" w:line="281" w:lineRule="auto"/>
        <w:rPr>
          <w:sz w:val="20"/>
          <w:szCs w:val="20"/>
          <w:color w:val="auto"/>
        </w:rPr>
      </w:pPr>
      <w:r>
        <w:rPr>
          <w:rFonts w:ascii="Arial" w:cs="Arial" w:eastAsia="Arial" w:hAnsi="Arial"/>
          <w:sz w:val="14"/>
          <w:szCs w:val="14"/>
          <w:color w:val="auto"/>
        </w:rPr>
        <w:t>Management believes that certain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Reconciliations of such measures to the most comparable GAAP measures are included herein.</w:t>
      </w:r>
    </w:p>
    <w:p>
      <w:pPr>
        <w:spacing w:after="0" w:line="28"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Adjusted net earnings is a non-GAAP economic measure we use to evaluate financial performance each period. Adjusted net earnings is calculated by adjusting net earnings (loss) from continuing operations to eliminate:</w:t>
      </w:r>
    </w:p>
    <w:p>
      <w:pPr>
        <w:spacing w:after="0" w:line="38" w:lineRule="exact"/>
        <w:rPr>
          <w:sz w:val="20"/>
          <w:szCs w:val="20"/>
          <w:color w:val="auto"/>
        </w:rPr>
      </w:pPr>
    </w:p>
    <w:p>
      <w:pPr>
        <w:ind w:left="200" w:firstLine="6"/>
        <w:spacing w:after="0" w:line="264" w:lineRule="auto"/>
        <w:tabs>
          <w:tab w:leader="none" w:pos="382"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Recognized (gains) and losses, net: the impact of net investment gains/losses, including changes in allowance for expected credit losses recognized in operations; the impact of market volatility on the alternative asset portfolio; and the effect of changes in fair value of the reinsurance related embedded derivative;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80" w:firstLine="4"/>
        <w:spacing w:after="0" w:line="252" w:lineRule="auto"/>
        <w:tabs>
          <w:tab w:leader="none" w:pos="4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Indexed product related derivatives: the impacts related to changes in the fair value, including both realized and unrealized gains and losses, of index product related derivatives and embedded derivatives, net of hedging cost;</w:t>
      </w:r>
    </w:p>
    <w:p>
      <w:pPr>
        <w:ind w:left="180" w:right="20" w:firstLine="4"/>
        <w:spacing w:after="0" w:line="244" w:lineRule="auto"/>
        <w:tabs>
          <w:tab w:leader="none" w:pos="466" w:val="left"/>
        </w:tabs>
        <w:numPr>
          <w:ilvl w:val="0"/>
          <w:numId w:val="11"/>
        </w:numPr>
        <w:rPr>
          <w:rFonts w:ascii="Arial" w:cs="Arial" w:eastAsia="Arial" w:hAnsi="Arial"/>
          <w:sz w:val="15"/>
          <w:szCs w:val="15"/>
          <w:color w:val="auto"/>
        </w:rPr>
      </w:pPr>
      <w:r>
        <w:rPr>
          <w:rFonts w:ascii="Arial" w:cs="Arial" w:eastAsia="Arial" w:hAnsi="Arial"/>
          <w:sz w:val="15"/>
          <w:szCs w:val="15"/>
          <w:color w:val="auto"/>
        </w:rPr>
        <w:t>Purchase price amortization: the impacts related to the amortization of certain intangibles (internally developed software, trademarks and value of distribution asset (VODA)) recognized as a result of acquisition activities; and</w:t>
      </w:r>
    </w:p>
    <w:p>
      <w:pPr>
        <w:ind w:left="440" w:hanging="256"/>
        <w:spacing w:after="0"/>
        <w:tabs>
          <w:tab w:leader="none" w:pos="4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Transaction costs: the impacts related to acquisition, integration and merger related items.</w:t>
      </w:r>
    </w:p>
    <w:p>
      <w:pPr>
        <w:spacing w:after="0" w:line="59"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w:t>
      </w:r>
    </w:p>
    <w:p>
      <w:pPr>
        <w:spacing w:after="0" w:line="48" w:lineRule="exact"/>
        <w:rPr>
          <w:sz w:val="20"/>
          <w:szCs w:val="20"/>
          <w:color w:val="auto"/>
        </w:rPr>
      </w:pPr>
    </w:p>
    <w:p>
      <w:pPr>
        <w:jc w:val="both"/>
        <w:ind w:firstLine="330"/>
        <w:spacing w:after="0" w:line="289" w:lineRule="auto"/>
        <w:rPr>
          <w:sz w:val="20"/>
          <w:szCs w:val="20"/>
          <w:color w:val="auto"/>
        </w:rPr>
      </w:pPr>
      <w:r>
        <w:rPr>
          <w:rFonts w:ascii="Arial" w:cs="Arial" w:eastAsia="Arial" w:hAnsi="Arial"/>
          <w:sz w:val="13"/>
          <w:szCs w:val="13"/>
          <w:color w:val="auto"/>
        </w:rPr>
        <w:t>Adjusted net earnings should not be used as a substitute for net earnings (loss). However, we believe the adjustments made to net earnings (loss) in order to derive adjusted net earnings provide an understanding of our overall results of operations. 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28" w:lineRule="exact"/>
        <w:rPr>
          <w:sz w:val="20"/>
          <w:szCs w:val="20"/>
          <w:color w:val="auto"/>
        </w:rPr>
      </w:pPr>
    </w:p>
    <w:p>
      <w:pPr>
        <w:jc w:val="both"/>
        <w:ind w:firstLine="330"/>
        <w:spacing w:after="0" w:line="297" w:lineRule="auto"/>
        <w:rPr>
          <w:sz w:val="20"/>
          <w:szCs w:val="20"/>
          <w:color w:val="auto"/>
        </w:rPr>
      </w:pPr>
      <w:r>
        <w:rPr>
          <w:rFonts w:ascii="Arial" w:cs="Arial" w:eastAsia="Arial" w:hAnsi="Arial"/>
          <w:sz w:val="13"/>
          <w:szCs w:val="13"/>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FIA-related derivatives, embedded derivatives and hedging costs has been removed from net earnings (loss) in calculating adjusted net earnings.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AAUM is a non-GAAP measure we use to assess the rate of return on assets available for reinvestment. AAUM is calculated as the sum of:</w:t>
      </w:r>
    </w:p>
    <w:p>
      <w:pPr>
        <w:spacing w:after="0" w:line="69" w:lineRule="exact"/>
        <w:rPr>
          <w:sz w:val="20"/>
          <w:szCs w:val="20"/>
          <w:color w:val="auto"/>
        </w:rPr>
      </w:pPr>
    </w:p>
    <w:p>
      <w:pPr>
        <w:ind w:left="440" w:hanging="168"/>
        <w:spacing w:after="0"/>
        <w:tabs>
          <w:tab w:leader="none" w:pos="4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total invested assets at amortized cost, excluding derivatives;</w:t>
      </w:r>
    </w:p>
    <w:p>
      <w:pPr>
        <w:spacing w:after="0" w:line="69" w:lineRule="exact"/>
        <w:rPr>
          <w:rFonts w:ascii="Arial" w:cs="Arial" w:eastAsia="Arial" w:hAnsi="Arial"/>
          <w:sz w:val="15"/>
          <w:szCs w:val="15"/>
          <w:color w:val="auto"/>
        </w:rPr>
      </w:pPr>
    </w:p>
    <w:p>
      <w:pPr>
        <w:ind w:left="480" w:hanging="208"/>
        <w:spacing w:after="0"/>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related party loans and investments;</w:t>
      </w:r>
    </w:p>
    <w:p>
      <w:pPr>
        <w:spacing w:after="0" w:line="69" w:lineRule="exact"/>
        <w:rPr>
          <w:rFonts w:ascii="Arial" w:cs="Arial" w:eastAsia="Arial" w:hAnsi="Arial"/>
          <w:sz w:val="15"/>
          <w:szCs w:val="15"/>
          <w:color w:val="auto"/>
        </w:rPr>
      </w:pPr>
    </w:p>
    <w:p>
      <w:pPr>
        <w:ind w:left="520" w:hanging="248"/>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accrued investment income;</w:t>
      </w:r>
    </w:p>
    <w:p>
      <w:pPr>
        <w:spacing w:after="0" w:line="69" w:lineRule="exact"/>
        <w:rPr>
          <w:rFonts w:ascii="Arial" w:cs="Arial" w:eastAsia="Arial" w:hAnsi="Arial"/>
          <w:sz w:val="15"/>
          <w:szCs w:val="15"/>
          <w:color w:val="auto"/>
        </w:rPr>
      </w:pPr>
    </w:p>
    <w:p>
      <w:pPr>
        <w:ind w:left="520" w:hanging="248"/>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net payable/receivable for the purchase/sale of investments, and</w:t>
      </w:r>
    </w:p>
    <w:p>
      <w:pPr>
        <w:spacing w:after="0" w:line="69" w:lineRule="exact"/>
        <w:rPr>
          <w:rFonts w:ascii="Arial" w:cs="Arial" w:eastAsia="Arial" w:hAnsi="Arial"/>
          <w:sz w:val="15"/>
          <w:szCs w:val="15"/>
          <w:color w:val="auto"/>
        </w:rPr>
      </w:pPr>
    </w:p>
    <w:p>
      <w:pPr>
        <w:ind w:left="480" w:hanging="208"/>
        <w:spacing w:after="0"/>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cash and cash equivalents, excluding derivative collateral,</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at the beginning of the period and the end of each month in the period, divided by the total number of months in the period plus one.</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Management considers this non-GAAP financial measure to be useful internally and to investors and analysts when assessing the rate of return on assets available for reinvestment.</w:t>
      </w:r>
    </w:p>
    <w:p>
      <w:pPr>
        <w:spacing w:after="0" w:line="92"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Alternative investment yield adjustment is the current period yield impact of market volatility on the alternative investment portfolio. Management considers this non-GAAP financial measure to be useful internally and to investors and analysts when assessing the level of return earned on AAUM.</w:t>
      </w:r>
    </w:p>
    <w:p>
      <w:pPr>
        <w:spacing w:after="0" w:line="38"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38" w:lineRule="exact"/>
        <w:rPr>
          <w:sz w:val="20"/>
          <w:szCs w:val="20"/>
          <w:color w:val="auto"/>
        </w:rPr>
      </w:pPr>
    </w:p>
    <w:p>
      <w:pPr>
        <w:jc w:val="both"/>
        <w:ind w:firstLine="330"/>
        <w:spacing w:after="0" w:line="281" w:lineRule="auto"/>
        <w:rPr>
          <w:sz w:val="20"/>
          <w:szCs w:val="20"/>
          <w:color w:val="auto"/>
        </w:rPr>
      </w:pPr>
      <w:r>
        <w:rPr>
          <w:rFonts w:ascii="Arial" w:cs="Arial" w:eastAsia="Arial" w:hAnsi="Arial"/>
          <w:sz w:val="14"/>
          <w:szCs w:val="14"/>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F&amp;G Results of Operations</w:t>
      </w:r>
    </w:p>
    <w:p>
      <w:pPr>
        <w:spacing w:after="0" w:line="69"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The following table presents the results of operations of our F&amp;G segment for the three and six months ended June 30, 2021 and the one month ended June 30, 2020 (following our June 1, 2020 acquisition of F&amp;G) were as follows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bottom w:val="single" w:sz="8" w:color="auto"/>
            </w:tcBorders>
            <w:gridSpan w:val="2"/>
          </w:tcPr>
          <w:p>
            <w:pPr>
              <w:jc w:val="center"/>
              <w:ind w:left="171"/>
              <w:spacing w:after="0"/>
              <w:rPr>
                <w:sz w:val="20"/>
                <w:szCs w:val="20"/>
                <w:color w:val="auto"/>
              </w:rPr>
            </w:pPr>
            <w:r>
              <w:rPr>
                <w:rFonts w:ascii="Arial" w:cs="Arial" w:eastAsia="Arial" w:hAnsi="Arial"/>
                <w:sz w:val="10"/>
                <w:szCs w:val="10"/>
                <w:b w:val="1"/>
                <w:bCs w:val="1"/>
                <w:color w:val="auto"/>
                <w:w w:val="91"/>
              </w:rPr>
              <w:t>Three months ended</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1"/>
              </w:rPr>
              <w:t>One month ended</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35"/>
        </w:trPr>
        <w:tc>
          <w:tcPr>
            <w:tcW w:w="5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left="171"/>
              <w:spacing w:after="0"/>
              <w:rPr>
                <w:sz w:val="20"/>
                <w:szCs w:val="20"/>
                <w:color w:val="auto"/>
              </w:rPr>
            </w:pPr>
            <w:r>
              <w:rPr>
                <w:rFonts w:ascii="Arial" w:cs="Arial" w:eastAsia="Arial" w:hAnsi="Arial"/>
                <w:sz w:val="10"/>
                <w:szCs w:val="10"/>
                <w:b w:val="1"/>
                <w:bCs w:val="1"/>
                <w:color w:val="auto"/>
                <w:w w:val="89"/>
              </w:rPr>
              <w:t>June 30, 2021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June 30, 2020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ind w:left="220"/>
              <w:spacing w:after="0"/>
              <w:rPr>
                <w:sz w:val="20"/>
                <w:szCs w:val="20"/>
                <w:color w:val="auto"/>
              </w:rPr>
            </w:pPr>
            <w:r>
              <w:rPr>
                <w:rFonts w:ascii="Arial" w:cs="Arial" w:eastAsia="Arial" w:hAnsi="Arial"/>
                <w:sz w:val="10"/>
                <w:szCs w:val="10"/>
                <w:b w:val="1"/>
                <w:bCs w:val="1"/>
                <w:color w:val="auto"/>
              </w:rPr>
              <w:t>June 30, 2021</w:t>
            </w:r>
          </w:p>
        </w:tc>
        <w:tc>
          <w:tcPr>
            <w:tcW w:w="0" w:type="dxa"/>
            <w:vAlign w:val="bottom"/>
          </w:tcPr>
          <w:p>
            <w:pPr>
              <w:spacing w:after="0"/>
              <w:rPr>
                <w:sz w:val="1"/>
                <w:szCs w:val="1"/>
                <w:color w:val="auto"/>
              </w:rPr>
            </w:pPr>
          </w:p>
        </w:tc>
      </w:tr>
      <w:tr>
        <w:trPr>
          <w:trHeight w:val="140"/>
        </w:trPr>
        <w:tc>
          <w:tcPr>
            <w:tcW w:w="596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2"/>
                <w:szCs w:val="12"/>
                <w:b w:val="1"/>
                <w:bCs w:val="1"/>
                <w:color w:val="auto"/>
              </w:rPr>
              <w:t>Revenues:</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960" w:type="dxa"/>
            <w:vAlign w:val="bottom"/>
          </w:tcPr>
          <w:p>
            <w:pPr>
              <w:ind w:left="20"/>
              <w:spacing w:after="0"/>
              <w:rPr>
                <w:sz w:val="20"/>
                <w:szCs w:val="20"/>
                <w:color w:val="auto"/>
              </w:rPr>
            </w:pPr>
            <w:r>
              <w:rPr>
                <w:rFonts w:ascii="Arial" w:cs="Arial" w:eastAsia="Arial" w:hAnsi="Arial"/>
                <w:sz w:val="12"/>
                <w:szCs w:val="12"/>
                <w:color w:val="auto"/>
              </w:rPr>
              <w:t>Life insurance premiums and other fees (a)</w:t>
            </w:r>
          </w:p>
        </w:tc>
        <w:tc>
          <w:tcPr>
            <w:tcW w:w="200" w:type="dxa"/>
            <w:vAlign w:val="bottom"/>
          </w:tcPr>
          <w:p>
            <w:pPr>
              <w:spacing w:after="0"/>
              <w:rPr>
                <w:sz w:val="13"/>
                <w:szCs w:val="13"/>
                <w:color w:val="auto"/>
              </w:rPr>
            </w:pPr>
          </w:p>
        </w:tc>
        <w:tc>
          <w:tcPr>
            <w:tcW w:w="1360" w:type="dxa"/>
            <w:vAlign w:val="bottom"/>
            <w:gridSpan w:val="2"/>
          </w:tcPr>
          <w:p>
            <w:pPr>
              <w:jc w:val="right"/>
              <w:ind w:right="111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jc w:val="right"/>
              <w:ind w:right="4"/>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3"/>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and investment income</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w w:val="79"/>
              </w:rPr>
              <w:t>487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Recognized gains and losses, net</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w w:val="79"/>
              </w:rPr>
              <w:t>253</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355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280"/>
              <w:spacing w:after="0"/>
              <w:rPr>
                <w:sz w:val="20"/>
                <w:szCs w:val="20"/>
                <w:color w:val="auto"/>
              </w:rPr>
            </w:pPr>
            <w:r>
              <w:rPr>
                <w:rFonts w:ascii="Arial" w:cs="Arial" w:eastAsia="Arial" w:hAnsi="Arial"/>
                <w:sz w:val="12"/>
                <w:szCs w:val="12"/>
                <w:b w:val="1"/>
                <w:bCs w:val="1"/>
                <w:color w:val="auto"/>
              </w:rPr>
              <w:t>Total revenues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w w:val="79"/>
              </w:rPr>
              <w:t>802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96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Benefits and other changes in policy reserves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w w:val="79"/>
              </w:rPr>
              <w:t>575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tcPr>
          <w:p>
            <w:pPr>
              <w:ind w:left="20"/>
              <w:spacing w:after="0"/>
              <w:rPr>
                <w:sz w:val="20"/>
                <w:szCs w:val="20"/>
                <w:color w:val="auto"/>
              </w:rPr>
            </w:pPr>
            <w:r>
              <w:rPr>
                <w:rFonts w:ascii="Arial" w:cs="Arial" w:eastAsia="Arial" w:hAnsi="Arial"/>
                <w:sz w:val="12"/>
                <w:szCs w:val="12"/>
                <w:color w:val="auto"/>
              </w:rPr>
              <w:t>Personnel costs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ind w:right="4"/>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operating expenses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ind w:right="4"/>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Total expenses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4"/>
              <w:spacing w:after="0"/>
              <w:rPr>
                <w:sz w:val="20"/>
                <w:szCs w:val="20"/>
                <w:color w:val="auto"/>
              </w:rPr>
            </w:pPr>
            <w:r>
              <w:rPr>
                <w:rFonts w:ascii="Arial" w:cs="Arial" w:eastAsia="Arial" w:hAnsi="Arial"/>
                <w:sz w:val="12"/>
                <w:szCs w:val="12"/>
                <w:color w:val="auto"/>
                <w:w w:val="79"/>
              </w:rPr>
              <w:t>705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3"/>
              <w:spacing w:after="0"/>
              <w:rPr>
                <w:sz w:val="20"/>
                <w:szCs w:val="20"/>
                <w:color w:val="auto"/>
              </w:rPr>
            </w:pPr>
            <w:r>
              <w:rPr>
                <w:rFonts w:ascii="Arial" w:cs="Arial" w:eastAsia="Arial" w:hAnsi="Arial"/>
                <w:sz w:val="12"/>
                <w:szCs w:val="12"/>
                <w:color w:val="auto"/>
              </w:rPr>
              <w:t>182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ind w:left="280"/>
              <w:spacing w:after="0" w:line="135" w:lineRule="exact"/>
              <w:rPr>
                <w:sz w:val="20"/>
                <w:szCs w:val="20"/>
                <w:color w:val="auto"/>
              </w:rPr>
            </w:pPr>
            <w:r>
              <w:rPr>
                <w:rFonts w:ascii="Arial" w:cs="Arial" w:eastAsia="Arial" w:hAnsi="Arial"/>
                <w:sz w:val="12"/>
                <w:szCs w:val="12"/>
                <w:b w:val="1"/>
                <w:bCs w:val="1"/>
                <w:color w:val="auto"/>
              </w:rPr>
              <w:t>Earnings (loss) from continuing operations, before income taxes</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97</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453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Federal income tax (expense) benefit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(21)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 (loss) from continuing operations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1111"/>
              <w:spacing w:after="0"/>
              <w:rPr>
                <w:sz w:val="20"/>
                <w:szCs w:val="20"/>
                <w:color w:val="auto"/>
              </w:rPr>
            </w:pPr>
            <w:r>
              <w:rPr>
                <w:rFonts w:ascii="Arial" w:cs="Arial" w:eastAsia="Arial" w:hAnsi="Arial"/>
                <w:sz w:val="9"/>
                <w:szCs w:val="9"/>
                <w:color w:val="auto"/>
                <w:w w:val="78"/>
              </w:rPr>
              <w:t>$</w:t>
            </w:r>
          </w:p>
        </w:tc>
        <w:tc>
          <w:tcPr>
            <w:tcW w:w="1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2"/>
                <w:szCs w:val="12"/>
                <w:color w:val="auto"/>
              </w:rPr>
              <w:t>Earnings from discontinued operations, net of tax</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b w:val="1"/>
                <w:bCs w:val="1"/>
                <w:color w:val="auto"/>
              </w:rPr>
              <w:t>Net earnings (loss) attributable to common shareholders</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111"/>
              <w:spacing w:after="0"/>
              <w:rPr>
                <w:sz w:val="20"/>
                <w:szCs w:val="20"/>
                <w:color w:val="auto"/>
              </w:rPr>
            </w:pPr>
            <w:r>
              <w:rPr>
                <w:rFonts w:ascii="Arial" w:cs="Arial" w:eastAsia="Arial" w:hAnsi="Arial"/>
                <w:sz w:val="9"/>
                <w:szCs w:val="9"/>
                <w:color w:val="auto"/>
                <w:w w:val="78"/>
              </w:rPr>
              <w:t>$</w:t>
            </w: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82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371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line="130" w:lineRule="exact"/>
              <w:rPr>
                <w:sz w:val="20"/>
                <w:szCs w:val="20"/>
                <w:color w:val="auto"/>
              </w:rPr>
            </w:pPr>
            <w:r>
              <w:rPr>
                <w:rFonts w:ascii="Arial" w:cs="Arial" w:eastAsia="Arial" w:hAnsi="Arial"/>
                <w:sz w:val="12"/>
                <w:szCs w:val="12"/>
                <w:color w:val="auto"/>
              </w:rPr>
              <w:t>(a) Included within Escrow, title-related and other fees in Condensed Consolidated Statements of Earnings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9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7"/>
        </w:trPr>
        <w:tc>
          <w:tcPr>
            <w:tcW w:w="5960" w:type="dxa"/>
            <w:vAlign w:val="bottom"/>
          </w:tcPr>
          <w:p>
            <w:pPr>
              <w:ind w:left="380"/>
              <w:spacing w:after="0"/>
              <w:rPr>
                <w:sz w:val="20"/>
                <w:szCs w:val="20"/>
                <w:color w:val="auto"/>
              </w:rPr>
            </w:pPr>
            <w:r>
              <w:rPr>
                <w:rFonts w:ascii="Arial" w:cs="Arial" w:eastAsia="Arial" w:hAnsi="Arial"/>
                <w:sz w:val="15"/>
                <w:szCs w:val="15"/>
                <w:color w:val="auto"/>
                <w:w w:val="95"/>
              </w:rPr>
              <w:t>The following table summarizes sales by product type of our F&amp;G segment (in millions):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3"/>
          </w:tcPr>
          <w:p>
            <w:pPr>
              <w:ind w:left="120"/>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1"/>
              </w:rPr>
              <w:t>One month ended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ind w:left="2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32"/>
        </w:trPr>
        <w:tc>
          <w:tcPr>
            <w:tcW w:w="5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1"/>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0"/>
                <w:szCs w:val="10"/>
                <w:b w:val="1"/>
                <w:bCs w:val="1"/>
                <w:color w:val="auto"/>
                <w:w w:val="92"/>
              </w:rPr>
              <w:t>June 30, 2020</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June 30, 2021</w:t>
            </w:r>
          </w:p>
        </w:tc>
        <w:tc>
          <w:tcPr>
            <w:tcW w:w="0" w:type="dxa"/>
            <w:vAlign w:val="bottom"/>
          </w:tcPr>
          <w:p>
            <w:pPr>
              <w:spacing w:after="0"/>
              <w:rPr>
                <w:sz w:val="1"/>
                <w:szCs w:val="1"/>
                <w:color w:val="auto"/>
              </w:rPr>
            </w:pPr>
          </w:p>
        </w:tc>
      </w:tr>
      <w:tr>
        <w:trPr>
          <w:trHeight w:val="151"/>
        </w:trPr>
        <w:tc>
          <w:tcPr>
            <w:tcW w:w="5960" w:type="dxa"/>
            <w:vAlign w:val="bottom"/>
          </w:tcPr>
          <w:p>
            <w:pPr>
              <w:ind w:left="20"/>
              <w:spacing w:after="0"/>
              <w:rPr>
                <w:sz w:val="20"/>
                <w:szCs w:val="20"/>
                <w:color w:val="auto"/>
              </w:rPr>
            </w:pPr>
            <w:r>
              <w:rPr>
                <w:rFonts w:ascii="Arial" w:cs="Arial" w:eastAsia="Arial" w:hAnsi="Arial"/>
                <w:sz w:val="12"/>
                <w:szCs w:val="12"/>
                <w:color w:val="auto"/>
              </w:rPr>
              <w:t>Fixed index annuities (FIA)</w:t>
            </w: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124"/>
              <w:spacing w:after="0"/>
              <w:rPr>
                <w:sz w:val="20"/>
                <w:szCs w:val="20"/>
                <w:color w:val="auto"/>
              </w:rPr>
            </w:pPr>
            <w:r>
              <w:rPr>
                <w:rFonts w:ascii="Arial" w:cs="Arial" w:eastAsia="Arial" w:hAnsi="Arial"/>
                <w:sz w:val="9"/>
                <w:szCs w:val="9"/>
                <w:color w:val="auto"/>
                <w:w w:val="78"/>
              </w:rPr>
              <w:t>$</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244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2,182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Fixed rate annuities (MYGA)</w:t>
            </w:r>
          </w:p>
        </w:tc>
        <w:tc>
          <w:tcPr>
            <w:tcW w:w="2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tcPr>
          <w:p>
            <w:pPr>
              <w:ind w:left="20"/>
              <w:spacing w:after="0" w:line="135" w:lineRule="exact"/>
              <w:rPr>
                <w:sz w:val="20"/>
                <w:szCs w:val="20"/>
                <w:color w:val="auto"/>
              </w:rPr>
            </w:pPr>
            <w:r>
              <w:rPr>
                <w:rFonts w:ascii="Arial" w:cs="Arial" w:eastAsia="Arial" w:hAnsi="Arial"/>
                <w:sz w:val="12"/>
                <w:szCs w:val="12"/>
                <w:color w:val="auto"/>
              </w:rPr>
              <w:t>Total annuity</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1,647</w:t>
            </w:r>
          </w:p>
        </w:tc>
        <w:tc>
          <w:tcPr>
            <w:tcW w:w="10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3"/>
              <w:spacing w:after="0"/>
              <w:rPr>
                <w:sz w:val="20"/>
                <w:szCs w:val="20"/>
                <w:color w:val="auto"/>
              </w:rPr>
            </w:pPr>
            <w:r>
              <w:rPr>
                <w:rFonts w:ascii="Arial" w:cs="Arial" w:eastAsia="Arial" w:hAnsi="Arial"/>
                <w:sz w:val="12"/>
                <w:szCs w:val="12"/>
                <w:color w:val="auto"/>
              </w:rPr>
              <w:t>258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3,161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Index universal life (IUL)</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tcPr>
          <w:p>
            <w:pPr>
              <w:ind w:left="20"/>
              <w:spacing w:after="0"/>
              <w:rPr>
                <w:sz w:val="20"/>
                <w:szCs w:val="20"/>
                <w:color w:val="auto"/>
              </w:rPr>
            </w:pPr>
            <w:r>
              <w:rPr>
                <w:rFonts w:ascii="Arial" w:cs="Arial" w:eastAsia="Arial" w:hAnsi="Arial"/>
                <w:sz w:val="12"/>
                <w:szCs w:val="12"/>
                <w:color w:val="auto"/>
              </w:rPr>
              <w:t>Funding agreements (FABN/FHLB)</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240" w:type="dxa"/>
            <w:vAlign w:val="bottom"/>
          </w:tcPr>
          <w:p>
            <w:pPr>
              <w:jc w:val="right"/>
              <w:ind w:right="124"/>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1,125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sales</w:t>
            </w:r>
          </w:p>
        </w:tc>
        <w:tc>
          <w:tcPr>
            <w:tcW w:w="2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2,667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9"/>
                <w:szCs w:val="9"/>
                <w:color w:val="auto"/>
                <w:w w:val="78"/>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4,321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540" w:hanging="268"/>
        <w:spacing w:after="0"/>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FIA sales were strong during the three and six months ended June 30, 2021, and one month ended June 30, 2020 and reflect disciplined pricing to achieve profit and capital targets.</w:t>
      </w:r>
    </w:p>
    <w:p>
      <w:pPr>
        <w:spacing w:after="0" w:line="114" w:lineRule="exact"/>
        <w:rPr>
          <w:rFonts w:ascii="Arial" w:cs="Arial" w:eastAsia="Arial" w:hAnsi="Arial"/>
          <w:sz w:val="13"/>
          <w:szCs w:val="13"/>
          <w:color w:val="auto"/>
        </w:rPr>
      </w:pPr>
    </w:p>
    <w:p>
      <w:pPr>
        <w:ind w:left="540" w:hanging="268"/>
        <w:spacing w:after="0" w:line="264" w:lineRule="auto"/>
        <w:tabs>
          <w:tab w:leader="none" w:pos="536" w:val="left"/>
        </w:tabs>
        <w:numPr>
          <w:ilvl w:val="0"/>
          <w:numId w:val="13"/>
        </w:numPr>
        <w:rPr>
          <w:rFonts w:ascii="Arial" w:cs="Arial" w:eastAsia="Arial" w:hAnsi="Arial"/>
          <w:sz w:val="15"/>
          <w:szCs w:val="15"/>
          <w:color w:val="auto"/>
        </w:rPr>
      </w:pPr>
      <w:r>
        <w:rPr>
          <w:rFonts w:ascii="Arial" w:cs="Arial" w:eastAsia="Arial" w:hAnsi="Arial"/>
          <w:sz w:val="15"/>
          <w:szCs w:val="15"/>
          <w:color w:val="auto"/>
        </w:rPr>
        <w:t>MYGA sales during the three and six months ended June 30, 2021 were strong and reflect our continued expansion and diversification into the bank and independent broker-dealer channels. For the one month ended June 30, 2020, MYGA sales were driven lower by interest rates.</w:t>
      </w:r>
    </w:p>
    <w:p>
      <w:pPr>
        <w:spacing w:after="0" w:line="59" w:lineRule="exact"/>
        <w:rPr>
          <w:rFonts w:ascii="Arial" w:cs="Arial" w:eastAsia="Arial" w:hAnsi="Arial"/>
          <w:sz w:val="15"/>
          <w:szCs w:val="15"/>
          <w:color w:val="auto"/>
        </w:rPr>
      </w:pPr>
    </w:p>
    <w:p>
      <w:pPr>
        <w:ind w:left="540" w:hanging="268"/>
        <w:spacing w:after="0" w:line="264" w:lineRule="auto"/>
        <w:tabs>
          <w:tab w:leader="none" w:pos="536" w:val="left"/>
        </w:tabs>
        <w:numPr>
          <w:ilvl w:val="0"/>
          <w:numId w:val="13"/>
        </w:numPr>
        <w:rPr>
          <w:rFonts w:ascii="Arial" w:cs="Arial" w:eastAsia="Arial" w:hAnsi="Arial"/>
          <w:sz w:val="15"/>
          <w:szCs w:val="15"/>
          <w:color w:val="auto"/>
        </w:rPr>
      </w:pPr>
      <w:r>
        <w:rPr>
          <w:rFonts w:ascii="Arial" w:cs="Arial" w:eastAsia="Arial" w:hAnsi="Arial"/>
          <w:sz w:val="15"/>
          <w:szCs w:val="15"/>
          <w:color w:val="auto"/>
        </w:rPr>
        <w:t>Funding agreements reflect new funding agreements with FHLB of $250 and $375 in the three and six months ended June 30, 2021, respectively, and a funding agreement backed-note issuance of $750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Life insurance premiums and other fees</w:t>
      </w:r>
    </w:p>
    <w:p>
      <w:pPr>
        <w:spacing w:after="0" w:line="205"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Life insurance premiums and other fees primarily reflect insurance premiums for traditional life insurance products, which are recognized as revenue when due from the policyholder, as well as the cost of insurance on IUL policies, policy rider fees primarily on FIA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(Dollars 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60" w:type="dxa"/>
            <w:vAlign w:val="bottom"/>
          </w:tcPr>
          <w:p>
            <w:pPr>
              <w:spacing w:after="0"/>
              <w:rPr>
                <w:sz w:val="12"/>
                <w:szCs w:val="12"/>
                <w:color w:val="auto"/>
              </w:rPr>
            </w:pPr>
          </w:p>
        </w:tc>
        <w:tc>
          <w:tcPr>
            <w:tcW w:w="1320" w:type="dxa"/>
            <w:vAlign w:val="bottom"/>
          </w:tcPr>
          <w:p>
            <w:pPr>
              <w:jc w:val="right"/>
              <w:ind w:right="25"/>
              <w:spacing w:after="0"/>
              <w:rPr>
                <w:sz w:val="20"/>
                <w:szCs w:val="20"/>
                <w:color w:val="auto"/>
              </w:rPr>
            </w:pPr>
            <w:r>
              <w:rPr>
                <w:rFonts w:ascii="Arial" w:cs="Arial" w:eastAsia="Arial" w:hAnsi="Arial"/>
                <w:sz w:val="10"/>
                <w:szCs w:val="10"/>
                <w:b w:val="1"/>
                <w:bCs w:val="1"/>
                <w:color w:val="auto"/>
              </w:rPr>
              <w:t>Three months 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45"/>
              <w:spacing w:after="0"/>
              <w:rPr>
                <w:sz w:val="20"/>
                <w:szCs w:val="20"/>
                <w:color w:val="auto"/>
              </w:rPr>
            </w:pPr>
            <w:r>
              <w:rPr>
                <w:rFonts w:ascii="Arial" w:cs="Arial" w:eastAsia="Arial" w:hAnsi="Arial"/>
                <w:sz w:val="10"/>
                <w:szCs w:val="10"/>
                <w:b w:val="1"/>
                <w:bCs w:val="1"/>
                <w:color w:val="auto"/>
              </w:rPr>
              <w:t>One month ended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0"/>
                <w:szCs w:val="10"/>
                <w:b w:val="1"/>
                <w:bCs w:val="1"/>
                <w:color w:val="auto"/>
              </w:rPr>
              <w:t>Six months ended</w:t>
            </w:r>
          </w:p>
        </w:tc>
      </w:tr>
      <w:tr>
        <w:trPr>
          <w:trHeight w:val="132"/>
        </w:trPr>
        <w:tc>
          <w:tcPr>
            <w:tcW w:w="626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June 30, 2021</w:t>
            </w:r>
          </w:p>
        </w:tc>
        <w:tc>
          <w:tcPr>
            <w:tcW w:w="26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b w:val="1"/>
                <w:bCs w:val="1"/>
                <w:color w:val="auto"/>
              </w:rPr>
              <w:t>June 30, 2020</w:t>
            </w:r>
          </w:p>
        </w:tc>
        <w:tc>
          <w:tcPr>
            <w:tcW w:w="2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Pr>
          <w:p>
            <w:pPr>
              <w:spacing w:after="0"/>
              <w:rPr>
                <w:sz w:val="11"/>
                <w:szCs w:val="11"/>
                <w:color w:val="auto"/>
              </w:rPr>
            </w:pPr>
          </w:p>
        </w:tc>
      </w:tr>
      <w:tr>
        <w:trPr>
          <w:trHeight w:val="151"/>
        </w:trPr>
        <w:tc>
          <w:tcPr>
            <w:tcW w:w="6260" w:type="dxa"/>
            <w:vAlign w:val="bottom"/>
          </w:tcPr>
          <w:p>
            <w:pPr>
              <w:ind w:left="20"/>
              <w:spacing w:after="0"/>
              <w:rPr>
                <w:sz w:val="20"/>
                <w:szCs w:val="20"/>
                <w:color w:val="auto"/>
              </w:rPr>
            </w:pPr>
            <w:r>
              <w:rPr>
                <w:rFonts w:ascii="Arial" w:cs="Arial" w:eastAsia="Arial" w:hAnsi="Arial"/>
                <w:sz w:val="12"/>
                <w:szCs w:val="12"/>
                <w:color w:val="auto"/>
              </w:rPr>
              <w:t>Traditional life insurance premiums</w:t>
            </w:r>
          </w:p>
        </w:tc>
        <w:tc>
          <w:tcPr>
            <w:tcW w:w="1320" w:type="dxa"/>
            <w:vAlign w:val="bottom"/>
          </w:tcPr>
          <w:p>
            <w:pPr>
              <w:jc w:val="right"/>
              <w:ind w:right="1185"/>
              <w:spacing w:after="0"/>
              <w:rPr>
                <w:sz w:val="20"/>
                <w:szCs w:val="20"/>
                <w:color w:val="auto"/>
              </w:rPr>
            </w:pPr>
            <w:r>
              <w:rPr>
                <w:rFonts w:ascii="Arial" w:cs="Arial" w:eastAsia="Arial" w:hAnsi="Arial"/>
                <w:sz w:val="12"/>
                <w:szCs w:val="12"/>
                <w:color w:val="auto"/>
                <w:w w:val="89"/>
              </w:rPr>
              <w:t>$</w:t>
            </w: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1280" w:type="dxa"/>
            <w:vAlign w:val="bottom"/>
          </w:tcPr>
          <w:p>
            <w:pPr>
              <w:jc w:val="right"/>
              <w:ind w:right="1145"/>
              <w:spacing w:after="0"/>
              <w:rPr>
                <w:sz w:val="20"/>
                <w:szCs w:val="20"/>
                <w:color w:val="auto"/>
              </w:rPr>
            </w:pPr>
            <w:r>
              <w:rPr>
                <w:rFonts w:ascii="Arial" w:cs="Arial" w:eastAsia="Arial" w:hAnsi="Arial"/>
                <w:sz w:val="12"/>
                <w:szCs w:val="12"/>
                <w:color w:val="auto"/>
                <w:w w:val="89"/>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r>
      <w:tr>
        <w:trPr>
          <w:trHeight w:val="157"/>
        </w:trPr>
        <w:tc>
          <w:tcPr>
            <w:tcW w:w="6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Life-contingent immediate annuity premiums</w:t>
            </w: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r>
      <w:tr>
        <w:trPr>
          <w:trHeight w:val="173"/>
        </w:trPr>
        <w:tc>
          <w:tcPr>
            <w:tcW w:w="6260" w:type="dxa"/>
            <w:vAlign w:val="bottom"/>
          </w:tcPr>
          <w:p>
            <w:pPr>
              <w:ind w:left="20"/>
              <w:spacing w:after="0"/>
              <w:rPr>
                <w:sz w:val="20"/>
                <w:szCs w:val="20"/>
                <w:color w:val="auto"/>
              </w:rPr>
            </w:pPr>
            <w:r>
              <w:rPr>
                <w:rFonts w:ascii="Arial" w:cs="Arial" w:eastAsia="Arial" w:hAnsi="Arial"/>
                <w:sz w:val="12"/>
                <w:szCs w:val="12"/>
                <w:color w:val="auto"/>
              </w:rPr>
              <w:t>Surrender charges</w:t>
            </w:r>
          </w:p>
        </w:tc>
        <w:tc>
          <w:tcPr>
            <w:tcW w:w="1320" w:type="dxa"/>
            <w:vAlign w:val="bottom"/>
          </w:tcPr>
          <w:p>
            <w:pPr>
              <w:spacing w:after="0"/>
              <w:rPr>
                <w:sz w:val="15"/>
                <w:szCs w:val="15"/>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r>
      <w:tr>
        <w:trPr>
          <w:trHeight w:val="154"/>
        </w:trPr>
        <w:tc>
          <w:tcPr>
            <w:tcW w:w="6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insurance fees and other income</w:t>
            </w:r>
          </w:p>
        </w:tc>
        <w:tc>
          <w:tcPr>
            <w:tcW w:w="13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48</w:t>
            </w:r>
          </w:p>
        </w:tc>
        <w:tc>
          <w:tcPr>
            <w:tcW w:w="16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3"/>
                <w:szCs w:val="13"/>
                <w:color w:val="auto"/>
              </w:rPr>
            </w:pPr>
          </w:p>
        </w:tc>
      </w:tr>
      <w:tr>
        <w:trPr>
          <w:trHeight w:val="148"/>
        </w:trPr>
        <w:tc>
          <w:tcPr>
            <w:tcW w:w="6260" w:type="dxa"/>
            <w:vAlign w:val="bottom"/>
          </w:tcPr>
          <w:p>
            <w:pPr>
              <w:ind w:left="20"/>
              <w:spacing w:after="0"/>
              <w:rPr>
                <w:sz w:val="20"/>
                <w:szCs w:val="20"/>
                <w:color w:val="auto"/>
              </w:rPr>
            </w:pPr>
            <w:r>
              <w:rPr>
                <w:rFonts w:ascii="Arial" w:cs="Arial" w:eastAsia="Arial" w:hAnsi="Arial"/>
                <w:sz w:val="12"/>
                <w:szCs w:val="12"/>
                <w:b w:val="1"/>
                <w:bCs w:val="1"/>
                <w:color w:val="auto"/>
              </w:rPr>
              <w:t>Life insurance premiums and other fees</w:t>
            </w:r>
          </w:p>
        </w:tc>
        <w:tc>
          <w:tcPr>
            <w:tcW w:w="1320" w:type="dxa"/>
            <w:vAlign w:val="bottom"/>
            <w:tcBorders>
              <w:bottom w:val="single" w:sz="8" w:color="auto"/>
            </w:tcBorders>
          </w:tcPr>
          <w:p>
            <w:pPr>
              <w:jc w:val="right"/>
              <w:ind w:right="1185"/>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62</w:t>
            </w:r>
          </w:p>
        </w:tc>
        <w:tc>
          <w:tcPr>
            <w:tcW w:w="160" w:type="dxa"/>
            <w:vAlign w:val="bottom"/>
          </w:tcPr>
          <w:p>
            <w:pPr>
              <w:spacing w:after="0"/>
              <w:rPr>
                <w:sz w:val="12"/>
                <w:szCs w:val="12"/>
                <w:color w:val="auto"/>
              </w:rPr>
            </w:pPr>
          </w:p>
        </w:tc>
        <w:tc>
          <w:tcPr>
            <w:tcW w:w="1280" w:type="dxa"/>
            <w:vAlign w:val="bottom"/>
            <w:tcBorders>
              <w:bottom w:val="single" w:sz="8" w:color="auto"/>
            </w:tcBorders>
          </w:tcPr>
          <w:p>
            <w:pPr>
              <w:jc w:val="right"/>
              <w:ind w:right="1145"/>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2"/>
                <w:szCs w:val="12"/>
                <w:color w:val="auto"/>
              </w:rPr>
            </w:pPr>
          </w:p>
        </w:tc>
      </w:tr>
      <w:tr>
        <w:trPr>
          <w:trHeight w:val="20"/>
        </w:trPr>
        <w:tc>
          <w:tcPr>
            <w:tcW w:w="6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3" w:lineRule="exact"/>
        <w:rPr>
          <w:sz w:val="20"/>
          <w:szCs w:val="20"/>
          <w:color w:val="auto"/>
        </w:rPr>
      </w:pPr>
    </w:p>
    <w:p>
      <w:pPr>
        <w:jc w:val="both"/>
        <w:ind w:left="540" w:hanging="268"/>
        <w:spacing w:after="0" w:line="254" w:lineRule="auto"/>
        <w:tabs>
          <w:tab w:leader="none" w:pos="53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Traditional life insurance premiums for the three and six months ended June 30, 2021, and one month ended June 30, 2020 are related to the return of premium riders on traditional life contracts. FGL Insurance has ceded the majority of its traditional life business to unaffiliated third party reinsurers. While the base contract has been reinsured, we continue to retain the return of premium rider.</w:t>
      </w:r>
    </w:p>
    <w:p>
      <w:pPr>
        <w:spacing w:after="0" w:line="67"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Immediate annuity premiums for the three and six months ended June 30, 2021, and one month ended June 30, 2020 reflect policyholder behavior for annuitizations.</w:t>
      </w:r>
    </w:p>
    <w:p>
      <w:pPr>
        <w:spacing w:after="0" w:line="102" w:lineRule="exact"/>
        <w:rPr>
          <w:rFonts w:ascii="Arial" w:cs="Arial" w:eastAsia="Arial" w:hAnsi="Arial"/>
          <w:sz w:val="14"/>
          <w:szCs w:val="14"/>
          <w:color w:val="auto"/>
        </w:rPr>
      </w:pPr>
    </w:p>
    <w:p>
      <w:pPr>
        <w:jc w:val="both"/>
        <w:ind w:left="540" w:hanging="268"/>
        <w:spacing w:after="0" w:line="254" w:lineRule="auto"/>
        <w:tabs>
          <w:tab w:leader="none" w:pos="536"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Cost of insurance fees and other income for the three and six months ended June 30, 2021, and one month ended June 30, 2020, primarily reflect GMWB rider fees of $34 million, $67 million, and $8 million, respectively, and COI charges on IUL policies of $24 million, $47 million, and $7 million, respectively, partially offset by unearned revenue deferrals. GMWB rider fees are based on the policyholder's benefit base and are collected at the end of the policy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and investment income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interest and investment income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60" w:type="dxa"/>
            <w:vAlign w:val="bottom"/>
          </w:tcPr>
          <w:p>
            <w:pPr>
              <w:spacing w:after="0"/>
              <w:rPr>
                <w:sz w:val="12"/>
                <w:szCs w:val="12"/>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rPr>
              <w:t>One month ended</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Six months ended</w:t>
            </w:r>
          </w:p>
        </w:tc>
      </w:tr>
      <w:tr>
        <w:trPr>
          <w:trHeight w:val="135"/>
        </w:trPr>
        <w:tc>
          <w:tcPr>
            <w:tcW w:w="6260" w:type="dxa"/>
            <w:vAlign w:val="bottom"/>
          </w:tcPr>
          <w:p>
            <w:pPr>
              <w:spacing w:after="0"/>
              <w:rPr>
                <w:sz w:val="11"/>
                <w:szCs w:val="11"/>
                <w:color w:val="auto"/>
              </w:rPr>
            </w:pPr>
          </w:p>
        </w:tc>
        <w:tc>
          <w:tcPr>
            <w:tcW w:w="1300" w:type="dxa"/>
            <w:vAlign w:val="bottom"/>
          </w:tcPr>
          <w:p>
            <w:pPr>
              <w:jc w:val="right"/>
              <w:ind w:right="165"/>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ind w:right="145"/>
              <w:spacing w:after="0"/>
              <w:rPr>
                <w:sz w:val="20"/>
                <w:szCs w:val="20"/>
                <w:color w:val="auto"/>
              </w:rPr>
            </w:pPr>
            <w:r>
              <w:rPr>
                <w:rFonts w:ascii="Arial" w:cs="Arial" w:eastAsia="Arial" w:hAnsi="Arial"/>
                <w:sz w:val="10"/>
                <w:szCs w:val="10"/>
                <w:b w:val="1"/>
                <w:bCs w:val="1"/>
                <w:color w:val="auto"/>
              </w:rPr>
              <w:t>June 30, 2020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2021</w:t>
            </w:r>
          </w:p>
        </w:tc>
      </w:tr>
      <w:tr>
        <w:trPr>
          <w:trHeight w:val="151"/>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Fixed maturity securities, available-for-sale</w:t>
            </w:r>
          </w:p>
        </w:tc>
        <w:tc>
          <w:tcPr>
            <w:tcW w:w="1300" w:type="dxa"/>
            <w:vAlign w:val="bottom"/>
            <w:tcBorders>
              <w:top w:val="single" w:sz="8" w:color="auto"/>
            </w:tcBorders>
            <w:shd w:val="clear" w:color="auto" w:fill="CCEEFF"/>
          </w:tcPr>
          <w:p>
            <w:pPr>
              <w:jc w:val="right"/>
              <w:ind w:right="1165"/>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18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99</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603</w:t>
            </w:r>
          </w:p>
        </w:tc>
        <w:tc>
          <w:tcPr>
            <w:tcW w:w="100" w:type="dxa"/>
            <w:vAlign w:val="bottom"/>
            <w:tcBorders>
              <w:top w:val="single" w:sz="8" w:color="CCEEFF"/>
            </w:tcBorders>
            <w:shd w:val="clear" w:color="auto" w:fill="CCEEFF"/>
          </w:tcPr>
          <w:p>
            <w:pPr>
              <w:spacing w:after="0"/>
              <w:rPr>
                <w:sz w:val="13"/>
                <w:szCs w:val="13"/>
                <w:color w:val="auto"/>
              </w:rPr>
            </w:pPr>
          </w:p>
        </w:tc>
      </w:tr>
      <w:tr>
        <w:trPr>
          <w:trHeight w:val="151"/>
        </w:trPr>
        <w:tc>
          <w:tcPr>
            <w:tcW w:w="6260" w:type="dxa"/>
            <w:vAlign w:val="bottom"/>
          </w:tcPr>
          <w:p>
            <w:pPr>
              <w:ind w:left="20"/>
              <w:spacing w:after="0"/>
              <w:rPr>
                <w:sz w:val="20"/>
                <w:szCs w:val="20"/>
                <w:color w:val="auto"/>
              </w:rPr>
            </w:pPr>
            <w:r>
              <w:rPr>
                <w:rFonts w:ascii="Arial" w:cs="Arial" w:eastAsia="Arial" w:hAnsi="Arial"/>
                <w:sz w:val="12"/>
                <w:szCs w:val="12"/>
                <w:color w:val="auto"/>
              </w:rPr>
              <w:t>Equity securities</w:t>
            </w:r>
          </w:p>
        </w:tc>
        <w:tc>
          <w:tcPr>
            <w:tcW w:w="13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r>
      <w:tr>
        <w:trPr>
          <w:trHeight w:val="157"/>
        </w:trPr>
        <w:tc>
          <w:tcPr>
            <w:tcW w:w="6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Mortgage loans</w:t>
            </w: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3"/>
                <w:szCs w:val="13"/>
                <w:color w:val="auto"/>
              </w:rPr>
            </w:pPr>
          </w:p>
        </w:tc>
      </w:tr>
      <w:tr>
        <w:trPr>
          <w:trHeight w:val="15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investments</w:t>
            </w:r>
          </w:p>
        </w:tc>
        <w:tc>
          <w:tcPr>
            <w:tcW w:w="1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252</w:t>
            </w:r>
          </w:p>
        </w:tc>
        <w:tc>
          <w:tcPr>
            <w:tcW w:w="100" w:type="dxa"/>
            <w:vAlign w:val="bottom"/>
            <w:tcBorders>
              <w:bottom w:val="single" w:sz="8" w:color="CCEEFF"/>
            </w:tcBorders>
          </w:tcPr>
          <w:p>
            <w:pPr>
              <w:spacing w:after="0"/>
              <w:rPr>
                <w:sz w:val="13"/>
                <w:szCs w:val="13"/>
                <w:color w:val="auto"/>
              </w:rPr>
            </w:pPr>
          </w:p>
        </w:tc>
      </w:tr>
      <w:tr>
        <w:trPr>
          <w:trHeight w:val="148"/>
        </w:trPr>
        <w:tc>
          <w:tcPr>
            <w:tcW w:w="6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Gross investment income</w:t>
            </w: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939</w:t>
            </w:r>
          </w:p>
        </w:tc>
        <w:tc>
          <w:tcPr>
            <w:tcW w:w="100" w:type="dxa"/>
            <w:vAlign w:val="bottom"/>
            <w:shd w:val="clear" w:color="auto" w:fill="CCEEFF"/>
          </w:tcPr>
          <w:p>
            <w:pPr>
              <w:spacing w:after="0"/>
              <w:rPr>
                <w:sz w:val="12"/>
                <w:szCs w:val="12"/>
                <w:color w:val="auto"/>
              </w:rPr>
            </w:pPr>
          </w:p>
        </w:tc>
      </w:tr>
      <w:tr>
        <w:trPr>
          <w:trHeight w:val="15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Investment expense</w:t>
            </w:r>
          </w:p>
        </w:tc>
        <w:tc>
          <w:tcPr>
            <w:tcW w:w="1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100" w:type="dxa"/>
            <w:vAlign w:val="bottom"/>
            <w:tcBorders>
              <w:bottom w:val="single" w:sz="8" w:color="CCEEFF"/>
            </w:tcBorders>
          </w:tcPr>
          <w:p>
            <w:pPr>
              <w:spacing w:after="0"/>
              <w:rPr>
                <w:sz w:val="13"/>
                <w:szCs w:val="13"/>
                <w:color w:val="auto"/>
              </w:rPr>
            </w:pPr>
          </w:p>
        </w:tc>
      </w:tr>
      <w:tr>
        <w:trPr>
          <w:trHeight w:val="17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Interest and investment income</w:t>
            </w:r>
          </w:p>
        </w:tc>
        <w:tc>
          <w:tcPr>
            <w:tcW w:w="1300" w:type="dxa"/>
            <w:vAlign w:val="bottom"/>
            <w:tcBorders>
              <w:bottom w:val="single" w:sz="8" w:color="auto"/>
            </w:tcBorders>
            <w:shd w:val="clear" w:color="auto" w:fill="CCEEFF"/>
          </w:tcPr>
          <w:p>
            <w:pPr>
              <w:jc w:val="right"/>
              <w:ind w:right="1165"/>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85"/>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111</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860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net investment spread and AAUM are summarized as follows (annualized) (dollars in millions) (see Non-GAAP Financial Measures Section):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ind w:left="140"/>
              <w:spacing w:after="0"/>
              <w:rPr>
                <w:sz w:val="20"/>
                <w:szCs w:val="20"/>
                <w:color w:val="auto"/>
              </w:rPr>
            </w:pPr>
            <w:r>
              <w:rPr>
                <w:rFonts w:ascii="Arial" w:cs="Arial" w:eastAsia="Arial" w:hAnsi="Arial"/>
                <w:sz w:val="10"/>
                <w:szCs w:val="10"/>
                <w:b w:val="1"/>
                <w:bCs w:val="1"/>
                <w:color w:val="auto"/>
              </w:rPr>
              <w:t>Three months ended</w:t>
            </w:r>
          </w:p>
        </w:tc>
        <w:tc>
          <w:tcPr>
            <w:tcW w:w="260" w:type="dxa"/>
            <w:vAlign w:val="bottom"/>
          </w:tcPr>
          <w:p>
            <w:pPr>
              <w:spacing w:after="0"/>
              <w:rPr>
                <w:sz w:val="12"/>
                <w:szCs w:val="12"/>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One month ended</w:t>
            </w:r>
          </w:p>
        </w:tc>
        <w:tc>
          <w:tcPr>
            <w:tcW w:w="240" w:type="dxa"/>
            <w:vAlign w:val="bottom"/>
          </w:tcPr>
          <w:p>
            <w:pPr>
              <w:spacing w:after="0"/>
              <w:rPr>
                <w:sz w:val="12"/>
                <w:szCs w:val="12"/>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June 30, 2021</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0"/>
                <w:szCs w:val="10"/>
                <w:b w:val="1"/>
                <w:bCs w:val="1"/>
                <w:color w:val="auto"/>
                <w:w w:val="92"/>
              </w:rPr>
              <w:t>June 30, 2020</w:t>
            </w: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June 30, 2021</w:t>
            </w:r>
          </w:p>
        </w:tc>
        <w:tc>
          <w:tcPr>
            <w:tcW w:w="0" w:type="dxa"/>
            <w:vAlign w:val="bottom"/>
          </w:tcPr>
          <w:p>
            <w:pPr>
              <w:spacing w:after="0"/>
              <w:rPr>
                <w:sz w:val="1"/>
                <w:szCs w:val="1"/>
                <w:color w:val="auto"/>
              </w:rPr>
            </w:pPr>
          </w:p>
        </w:tc>
      </w:tr>
      <w:tr>
        <w:trPr>
          <w:trHeight w:val="15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Yield on AAUM (at amortized cost)</w:t>
            </w: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6.40 %</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5.01 %</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5.79 %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Alternative investment yield adjustment</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0.41 %</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Adjusted yield on AAUM</w:t>
            </w:r>
          </w:p>
        </w:tc>
        <w:tc>
          <w:tcPr>
            <w:tcW w:w="2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4.97 %</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5.42 %</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4.78 %</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2"/>
                <w:szCs w:val="12"/>
                <w:color w:val="auto"/>
              </w:rPr>
              <w:t>Less: Interest credited and option cost</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Net investment spread</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2.95 %</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3.50 %</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2.75 %</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AAUM</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6140" w:type="dxa"/>
            <w:vAlign w:val="bottom"/>
            <w:vMerge w:val="continue"/>
          </w:tcPr>
          <w:p>
            <w:pPr>
              <w:spacing w:after="0"/>
              <w:rPr>
                <w:sz w:val="9"/>
                <w:szCs w:val="9"/>
                <w:color w:val="auto"/>
              </w:rPr>
            </w:pPr>
          </w:p>
        </w:tc>
        <w:tc>
          <w:tcPr>
            <w:tcW w:w="220" w:type="dxa"/>
            <w:vAlign w:val="bottom"/>
          </w:tcPr>
          <w:p>
            <w:pPr>
              <w:jc w:val="right"/>
              <w:ind w:right="81"/>
              <w:spacing w:after="0" w:line="113" w:lineRule="exact"/>
              <w:rPr>
                <w:sz w:val="20"/>
                <w:szCs w:val="20"/>
                <w:color w:val="auto"/>
              </w:rPr>
            </w:pPr>
            <w:r>
              <w:rPr>
                <w:rFonts w:ascii="Arial" w:cs="Arial" w:eastAsia="Arial" w:hAnsi="Arial"/>
                <w:sz w:val="12"/>
                <w:szCs w:val="12"/>
                <w:color w:val="auto"/>
                <w:w w:val="89"/>
              </w:rPr>
              <w:t>$</w:t>
            </w:r>
          </w:p>
        </w:tc>
        <w:tc>
          <w:tcPr>
            <w:tcW w:w="1420" w:type="dxa"/>
            <w:vAlign w:val="bottom"/>
          </w:tcPr>
          <w:p>
            <w:pPr>
              <w:jc w:val="right"/>
              <w:ind w:right="103"/>
              <w:spacing w:after="0" w:line="113" w:lineRule="exact"/>
              <w:rPr>
                <w:sz w:val="20"/>
                <w:szCs w:val="20"/>
                <w:color w:val="auto"/>
              </w:rPr>
            </w:pPr>
            <w:r>
              <w:rPr>
                <w:rFonts w:ascii="Arial" w:cs="Arial" w:eastAsia="Arial" w:hAnsi="Arial"/>
                <w:sz w:val="12"/>
                <w:szCs w:val="12"/>
                <w:color w:val="auto"/>
              </w:rPr>
              <w:t>30,423</w:t>
            </w:r>
          </w:p>
        </w:tc>
        <w:tc>
          <w:tcPr>
            <w:tcW w:w="80" w:type="dxa"/>
            <w:vAlign w:val="bottom"/>
          </w:tcPr>
          <w:p>
            <w:pPr>
              <w:spacing w:after="0"/>
              <w:rPr>
                <w:sz w:val="9"/>
                <w:szCs w:val="9"/>
                <w:color w:val="auto"/>
              </w:rPr>
            </w:pPr>
          </w:p>
        </w:tc>
        <w:tc>
          <w:tcPr>
            <w:tcW w:w="260" w:type="dxa"/>
            <w:vAlign w:val="bottom"/>
          </w:tcPr>
          <w:p>
            <w:pPr>
              <w:jc w:val="right"/>
              <w:ind w:right="121"/>
              <w:spacing w:after="0" w:line="113" w:lineRule="exact"/>
              <w:rPr>
                <w:sz w:val="20"/>
                <w:szCs w:val="20"/>
                <w:color w:val="auto"/>
              </w:rPr>
            </w:pPr>
            <w:r>
              <w:rPr>
                <w:rFonts w:ascii="Arial" w:cs="Arial" w:eastAsia="Arial" w:hAnsi="Arial"/>
                <w:sz w:val="12"/>
                <w:szCs w:val="12"/>
                <w:color w:val="auto"/>
                <w:w w:val="89"/>
              </w:rPr>
              <w:t>$</w:t>
            </w:r>
          </w:p>
        </w:tc>
        <w:tc>
          <w:tcPr>
            <w:tcW w:w="1380" w:type="dxa"/>
            <w:vAlign w:val="bottom"/>
          </w:tcPr>
          <w:p>
            <w:pPr>
              <w:jc w:val="right"/>
              <w:ind w:right="83"/>
              <w:spacing w:after="0" w:line="113" w:lineRule="exact"/>
              <w:rPr>
                <w:sz w:val="20"/>
                <w:szCs w:val="20"/>
                <w:color w:val="auto"/>
              </w:rPr>
            </w:pPr>
            <w:r>
              <w:rPr>
                <w:rFonts w:ascii="Arial" w:cs="Arial" w:eastAsia="Arial" w:hAnsi="Arial"/>
                <w:sz w:val="12"/>
                <w:szCs w:val="12"/>
                <w:color w:val="auto"/>
              </w:rPr>
              <w:t>26,582</w:t>
            </w:r>
          </w:p>
        </w:tc>
        <w:tc>
          <w:tcPr>
            <w:tcW w:w="180" w:type="dxa"/>
            <w:vAlign w:val="bottom"/>
          </w:tcPr>
          <w:p>
            <w:pPr>
              <w:spacing w:after="0"/>
              <w:rPr>
                <w:sz w:val="9"/>
                <w:szCs w:val="9"/>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103"/>
              <w:spacing w:after="0" w:line="113" w:lineRule="exact"/>
              <w:rPr>
                <w:sz w:val="20"/>
                <w:szCs w:val="20"/>
                <w:color w:val="auto"/>
              </w:rPr>
            </w:pPr>
            <w:r>
              <w:rPr>
                <w:rFonts w:ascii="Arial" w:cs="Arial" w:eastAsia="Arial" w:hAnsi="Arial"/>
                <w:sz w:val="12"/>
                <w:szCs w:val="12"/>
                <w:color w:val="auto"/>
              </w:rPr>
              <w:t>29,722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right="20" w:hanging="268"/>
        <w:spacing w:after="0" w:line="264" w:lineRule="auto"/>
        <w:tabs>
          <w:tab w:leader="none" w:pos="5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AAUM for the three and six months ended June 30, 2021 reflect net new business asset flows. AAUM for the one month ended June 30, 2020 reflects impacts due to purchase accounting as well as net new business asset flows.</w:t>
      </w:r>
    </w:p>
    <w:p>
      <w:pPr>
        <w:spacing w:after="0" w:line="81" w:lineRule="exact"/>
        <w:rPr>
          <w:rFonts w:ascii="Arial" w:cs="Arial" w:eastAsia="Arial" w:hAnsi="Arial"/>
          <w:sz w:val="15"/>
          <w:szCs w:val="15"/>
          <w:color w:val="auto"/>
        </w:rPr>
      </w:pPr>
    </w:p>
    <w:p>
      <w:pPr>
        <w:jc w:val="both"/>
        <w:ind w:left="540" w:hanging="268"/>
        <w:spacing w:after="0" w:line="254" w:lineRule="auto"/>
        <w:tabs>
          <w:tab w:leader="none" w:pos="5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$487 million and $860 million Net Investment Income ("NII") for the three and six months ended June 30, 2021, respectively, was the result of increased yield on AAUM due to strong alternative asset returns and invested asset growth during the period. The $111 million NII for the one month ended June 30, 2020 was primarily driven by $99 million in fixed maturity securities and $12 million in equity securities, partially offset by $10 million in investment expenses.</w:t>
      </w:r>
    </w:p>
    <w:p>
      <w:pPr>
        <w:spacing w:after="0" w:line="78" w:lineRule="exact"/>
        <w:rPr>
          <w:rFonts w:ascii="Arial" w:cs="Arial" w:eastAsia="Arial" w:hAnsi="Arial"/>
          <w:sz w:val="15"/>
          <w:szCs w:val="15"/>
          <w:color w:val="auto"/>
        </w:rPr>
      </w:pPr>
    </w:p>
    <w:p>
      <w:pPr>
        <w:ind w:left="540" w:hanging="268"/>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alternative investment yield adjustment reflects the yield impact of market volatility on the alternative investment portfolio.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Recognized gains and losses,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recognized gains and losses, net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rPr>
              <w:t>One month ended</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Six months ended</w:t>
            </w:r>
          </w:p>
        </w:tc>
      </w:tr>
      <w:tr>
        <w:trPr>
          <w:trHeight w:val="135"/>
        </w:trPr>
        <w:tc>
          <w:tcPr>
            <w:tcW w:w="6540" w:type="dxa"/>
            <w:vAlign w:val="bottom"/>
          </w:tcPr>
          <w:p>
            <w:pPr>
              <w:spacing w:after="0"/>
              <w:rPr>
                <w:sz w:val="11"/>
                <w:szCs w:val="11"/>
                <w:color w:val="auto"/>
              </w:rPr>
            </w:pPr>
          </w:p>
        </w:tc>
        <w:tc>
          <w:tcPr>
            <w:tcW w:w="1300" w:type="dxa"/>
            <w:vAlign w:val="bottom"/>
          </w:tcPr>
          <w:p>
            <w:pPr>
              <w:jc w:val="right"/>
              <w:ind w:right="171"/>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ind w:right="125"/>
              <w:spacing w:after="0"/>
              <w:rPr>
                <w:sz w:val="20"/>
                <w:szCs w:val="20"/>
                <w:color w:val="auto"/>
              </w:rPr>
            </w:pPr>
            <w:r>
              <w:rPr>
                <w:rFonts w:ascii="Arial" w:cs="Arial" w:eastAsia="Arial" w:hAnsi="Arial"/>
                <w:sz w:val="10"/>
                <w:szCs w:val="10"/>
                <w:b w:val="1"/>
                <w:bCs w:val="1"/>
                <w:color w:val="auto"/>
              </w:rPr>
              <w:t>June 30, 2020</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2021</w:t>
            </w:r>
          </w:p>
        </w:tc>
      </w:tr>
      <w:tr>
        <w:trPr>
          <w:trHeight w:val="151"/>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9"/>
              </w:rPr>
              <w:t>Net realized and unrealized gains on fixed maturity available-for-sale securities, equity securities and other invested assets</w:t>
            </w:r>
          </w:p>
        </w:tc>
        <w:tc>
          <w:tcPr>
            <w:tcW w:w="1300" w:type="dxa"/>
            <w:vAlign w:val="bottom"/>
            <w:tcBorders>
              <w:top w:val="single" w:sz="8" w:color="auto"/>
            </w:tcBorders>
            <w:shd w:val="clear" w:color="auto" w:fill="CCEEFF"/>
          </w:tcPr>
          <w:p>
            <w:pPr>
              <w:jc w:val="right"/>
              <w:ind w:right="1191"/>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ind w:right="1145"/>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64</w:t>
            </w:r>
          </w:p>
        </w:tc>
        <w:tc>
          <w:tcPr>
            <w:tcW w:w="100" w:type="dxa"/>
            <w:vAlign w:val="bottom"/>
            <w:tcBorders>
              <w:top w:val="single" w:sz="8" w:color="CCEEFF"/>
            </w:tcBorders>
            <w:shd w:val="clear" w:color="auto" w:fill="CCEEFF"/>
          </w:tcPr>
          <w:p>
            <w:pPr>
              <w:spacing w:after="0"/>
              <w:rPr>
                <w:sz w:val="13"/>
                <w:szCs w:val="13"/>
                <w:color w:val="auto"/>
              </w:rPr>
            </w:pPr>
          </w:p>
        </w:tc>
      </w:tr>
      <w:tr>
        <w:trPr>
          <w:trHeight w:val="151"/>
        </w:trPr>
        <w:tc>
          <w:tcPr>
            <w:tcW w:w="6540" w:type="dxa"/>
            <w:vAlign w:val="bottom"/>
          </w:tcPr>
          <w:p>
            <w:pPr>
              <w:ind w:left="20"/>
              <w:spacing w:after="0"/>
              <w:rPr>
                <w:sz w:val="20"/>
                <w:szCs w:val="20"/>
                <w:color w:val="auto"/>
              </w:rPr>
            </w:pPr>
            <w:r>
              <w:rPr>
                <w:rFonts w:ascii="Arial" w:cs="Arial" w:eastAsia="Arial" w:hAnsi="Arial"/>
                <w:sz w:val="12"/>
                <w:szCs w:val="12"/>
                <w:color w:val="auto"/>
              </w:rPr>
              <w:t>Change in allowance for expected credit losses</w:t>
            </w:r>
          </w:p>
        </w:tc>
        <w:tc>
          <w:tcPr>
            <w:tcW w:w="13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r>
      <w:tr>
        <w:trPr>
          <w:trHeight w:val="157"/>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realized and unrealized gains on certain derivatives instruments</w:t>
            </w: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9"/>
              </w:rPr>
              <w:t>262</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287</w:t>
            </w:r>
          </w:p>
        </w:tc>
        <w:tc>
          <w:tcPr>
            <w:tcW w:w="100" w:type="dxa"/>
            <w:vAlign w:val="bottom"/>
            <w:shd w:val="clear" w:color="auto" w:fill="CCEEFF"/>
          </w:tcPr>
          <w:p>
            <w:pPr>
              <w:spacing w:after="0"/>
              <w:rPr>
                <w:sz w:val="13"/>
                <w:szCs w:val="13"/>
                <w:color w:val="auto"/>
              </w:rPr>
            </w:pPr>
          </w:p>
        </w:tc>
      </w:tr>
      <w:tr>
        <w:trPr>
          <w:trHeight w:val="151"/>
        </w:trPr>
        <w:tc>
          <w:tcPr>
            <w:tcW w:w="6540" w:type="dxa"/>
            <w:vAlign w:val="bottom"/>
          </w:tcPr>
          <w:p>
            <w:pPr>
              <w:ind w:left="20"/>
              <w:spacing w:after="0"/>
              <w:rPr>
                <w:sz w:val="20"/>
                <w:szCs w:val="20"/>
                <w:color w:val="auto"/>
              </w:rPr>
            </w:pPr>
            <w:r>
              <w:rPr>
                <w:rFonts w:ascii="Arial" w:cs="Arial" w:eastAsia="Arial" w:hAnsi="Arial"/>
                <w:sz w:val="12"/>
                <w:szCs w:val="12"/>
                <w:color w:val="auto"/>
              </w:rPr>
              <w:t>Change in fair value of reinsurance related embedded derivatives</w:t>
            </w:r>
          </w:p>
        </w:tc>
        <w:tc>
          <w:tcPr>
            <w:tcW w:w="13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54"/>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fair value of other derivatives and embedded derivatives</w:t>
            </w:r>
          </w:p>
        </w:tc>
        <w:tc>
          <w:tcPr>
            <w:tcW w:w="13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r>
      <w:tr>
        <w:trPr>
          <w:trHeight w:val="148"/>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Recognized gains and losses, net</w:t>
            </w:r>
          </w:p>
        </w:tc>
        <w:tc>
          <w:tcPr>
            <w:tcW w:w="1300" w:type="dxa"/>
            <w:vAlign w:val="bottom"/>
            <w:tcBorders>
              <w:bottom w:val="single" w:sz="8" w:color="auto"/>
            </w:tcBorders>
          </w:tcPr>
          <w:p>
            <w:pPr>
              <w:jc w:val="right"/>
              <w:ind w:right="1191"/>
              <w:spacing w:after="0"/>
              <w:rPr>
                <w:sz w:val="20"/>
                <w:szCs w:val="20"/>
                <w:color w:val="auto"/>
              </w:rPr>
            </w:pPr>
            <w:r>
              <w:rPr>
                <w:rFonts w:ascii="Arial" w:cs="Arial" w:eastAsia="Arial" w:hAnsi="Arial"/>
                <w:sz w:val="9"/>
                <w:szCs w:val="9"/>
                <w:color w:val="auto"/>
                <w:w w:val="78"/>
              </w:rPr>
              <w:t>$</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9"/>
              </w:rPr>
              <w:t>253</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1145"/>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12"/>
                <w:szCs w:val="12"/>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540" w:hanging="268"/>
        <w:spacing w:after="0" w:line="254" w:lineRule="auto"/>
        <w:tabs>
          <w:tab w:leader="none" w:pos="536" w:val="left"/>
        </w:tabs>
        <w:numPr>
          <w:ilvl w:val="0"/>
          <w:numId w:val="16"/>
        </w:numPr>
        <w:rPr>
          <w:rFonts w:ascii="Arial" w:cs="Arial" w:eastAsia="Arial" w:hAnsi="Arial"/>
          <w:sz w:val="15"/>
          <w:szCs w:val="15"/>
          <w:i w:val="1"/>
          <w:iCs w:val="1"/>
          <w:color w:val="auto"/>
        </w:rPr>
      </w:pPr>
      <w:r>
        <w:rPr>
          <w:rFonts w:ascii="Arial" w:cs="Arial" w:eastAsia="Arial" w:hAnsi="Arial"/>
          <w:sz w:val="15"/>
          <w:szCs w:val="15"/>
          <w:color w:val="auto"/>
        </w:rPr>
        <w:t>For the three and six months ended June 30, 2021, net realized and unrealized gains on fixed maturity available-for-sale securities, equity securities and other invested assets is primarily the result of realized gains on fixed maturity available-for-sale securities. For the one month ended June 30, 2020, net unrealized and unrealized gains on available-for-sale securities, equity securities and other invested assets is primarily the result of realized gains.</w:t>
      </w:r>
    </w:p>
    <w:p>
      <w:pPr>
        <w:spacing w:after="0" w:line="78" w:lineRule="exact"/>
        <w:rPr>
          <w:rFonts w:ascii="Arial" w:cs="Arial" w:eastAsia="Arial" w:hAnsi="Arial"/>
          <w:sz w:val="15"/>
          <w:szCs w:val="15"/>
          <w:i w:val="1"/>
          <w:iCs w:val="1"/>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Allowance for expected credit losses decreased during the periods, primarily related to bonds and mortgage loans.</w:t>
      </w:r>
    </w:p>
    <w:p>
      <w:pPr>
        <w:spacing w:after="0" w:line="113" w:lineRule="exact"/>
        <w:rPr>
          <w:rFonts w:ascii="Arial" w:cs="Arial" w:eastAsia="Arial" w:hAnsi="Arial"/>
          <w:sz w:val="15"/>
          <w:szCs w:val="15"/>
          <w:color w:val="auto"/>
        </w:rPr>
      </w:pPr>
    </w:p>
    <w:p>
      <w:pPr>
        <w:ind w:left="540" w:hanging="268"/>
        <w:spacing w:after="0" w:line="341" w:lineRule="auto"/>
        <w:tabs>
          <w:tab w:leader="none" w:pos="536"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the three and six months ended June 30, 2021, and the one month ended June 30, 2020, net realized and unrealized gains on certain derivative instruments primarily relates to the realized and unrealized losses on futures and options used to hedge FIA and IUL products. See the table below for primary drivers of gains (losses) on certain derivatives.</w:t>
      </w:r>
    </w:p>
    <w:p>
      <w:pPr>
        <w:spacing w:after="0" w:line="25" w:lineRule="exact"/>
        <w:rPr>
          <w:rFonts w:ascii="Arial" w:cs="Arial" w:eastAsia="Arial" w:hAnsi="Arial"/>
          <w:sz w:val="13"/>
          <w:szCs w:val="13"/>
          <w:color w:val="auto"/>
        </w:rPr>
      </w:pPr>
    </w:p>
    <w:p>
      <w:pPr>
        <w:ind w:left="540" w:hanging="268"/>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fair value of reinsurance related embedded derivative is based on the change in fair value of the underlying assets held in the funds withheld ("FWH") portfolio.</w:t>
      </w:r>
    </w:p>
    <w:p>
      <w:pPr>
        <w:spacing w:after="0" w:line="114"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82"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The components of the realized and unrealized gains (losses) on certain derivative instruments hedging our indexed annuity and universal life products are summarized in the table below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rPr>
              <w:t>One month ended</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Six months ended</w:t>
            </w:r>
          </w:p>
        </w:tc>
      </w:tr>
      <w:tr>
        <w:trPr>
          <w:trHeight w:val="135"/>
        </w:trPr>
        <w:tc>
          <w:tcPr>
            <w:tcW w:w="6100" w:type="dxa"/>
            <w:vAlign w:val="bottom"/>
          </w:tcPr>
          <w:p>
            <w:pPr>
              <w:spacing w:after="0"/>
              <w:rPr>
                <w:sz w:val="11"/>
                <w:szCs w:val="11"/>
                <w:color w:val="auto"/>
              </w:rPr>
            </w:pPr>
          </w:p>
        </w:tc>
        <w:tc>
          <w:tcPr>
            <w:tcW w:w="1280" w:type="dxa"/>
            <w:vAlign w:val="bottom"/>
          </w:tcPr>
          <w:p>
            <w:pPr>
              <w:jc w:val="right"/>
              <w:ind w:right="111"/>
              <w:spacing w:after="0"/>
              <w:rPr>
                <w:sz w:val="20"/>
                <w:szCs w:val="20"/>
                <w:color w:val="auto"/>
              </w:rPr>
            </w:pPr>
            <w:r>
              <w:rPr>
                <w:rFonts w:ascii="Arial" w:cs="Arial" w:eastAsia="Arial" w:hAnsi="Arial"/>
                <w:sz w:val="10"/>
                <w:szCs w:val="10"/>
                <w:b w:val="1"/>
                <w:bCs w:val="1"/>
                <w:color w:val="auto"/>
              </w:rPr>
              <w:t>June 30, 2021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ind w:right="125"/>
              <w:spacing w:after="0"/>
              <w:rPr>
                <w:sz w:val="20"/>
                <w:szCs w:val="20"/>
                <w:color w:val="auto"/>
              </w:rPr>
            </w:pPr>
            <w:r>
              <w:rPr>
                <w:rFonts w:ascii="Arial" w:cs="Arial" w:eastAsia="Arial" w:hAnsi="Arial"/>
                <w:sz w:val="10"/>
                <w:szCs w:val="10"/>
                <w:b w:val="1"/>
                <w:bCs w:val="1"/>
                <w:color w:val="auto"/>
              </w:rPr>
              <w:t>June 30, 2020</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ind w:left="220"/>
              <w:spacing w:after="0"/>
              <w:rPr>
                <w:sz w:val="20"/>
                <w:szCs w:val="20"/>
                <w:color w:val="auto"/>
              </w:rPr>
            </w:pPr>
            <w:r>
              <w:rPr>
                <w:rFonts w:ascii="Arial" w:cs="Arial" w:eastAsia="Arial" w:hAnsi="Arial"/>
                <w:sz w:val="10"/>
                <w:szCs w:val="10"/>
                <w:b w:val="1"/>
                <w:bCs w:val="1"/>
                <w:color w:val="auto"/>
              </w:rPr>
              <w:t>June 30, 2021</w:t>
            </w:r>
          </w:p>
        </w:tc>
      </w:tr>
      <w:tr>
        <w:trPr>
          <w:trHeight w:val="140"/>
        </w:trPr>
        <w:tc>
          <w:tcPr>
            <w:tcW w:w="61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Call Options:</w:t>
            </w:r>
          </w:p>
        </w:tc>
        <w:tc>
          <w:tcPr>
            <w:tcW w:w="12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51"/>
        </w:trPr>
        <w:tc>
          <w:tcPr>
            <w:tcW w:w="6100" w:type="dxa"/>
            <w:vAlign w:val="bottom"/>
          </w:tcPr>
          <w:p>
            <w:pPr>
              <w:ind w:left="180"/>
              <w:spacing w:after="0"/>
              <w:rPr>
                <w:sz w:val="20"/>
                <w:szCs w:val="20"/>
                <w:color w:val="auto"/>
              </w:rPr>
            </w:pPr>
            <w:r>
              <w:rPr>
                <w:rFonts w:ascii="Arial" w:cs="Arial" w:eastAsia="Arial" w:hAnsi="Arial"/>
                <w:sz w:val="12"/>
                <w:szCs w:val="12"/>
                <w:color w:val="auto"/>
              </w:rPr>
              <w:t>Gains on option expiration</w:t>
            </w:r>
          </w:p>
        </w:tc>
        <w:tc>
          <w:tcPr>
            <w:tcW w:w="1280" w:type="dxa"/>
            <w:vAlign w:val="bottom"/>
          </w:tcPr>
          <w:p>
            <w:pPr>
              <w:jc w:val="right"/>
              <w:ind w:right="1171"/>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ind w:right="101"/>
              <w:spacing w:after="0"/>
              <w:rPr>
                <w:sz w:val="20"/>
                <w:szCs w:val="20"/>
                <w:color w:val="auto"/>
              </w:rPr>
            </w:pPr>
            <w:r>
              <w:rPr>
                <w:rFonts w:ascii="Arial" w:cs="Arial" w:eastAsia="Arial" w:hAnsi="Arial"/>
                <w:sz w:val="12"/>
                <w:szCs w:val="12"/>
                <w:color w:val="auto"/>
                <w:w w:val="89"/>
              </w:rPr>
              <w:t>114</w:t>
            </w:r>
          </w:p>
        </w:tc>
        <w:tc>
          <w:tcPr>
            <w:tcW w:w="80" w:type="dxa"/>
            <w:vAlign w:val="bottom"/>
          </w:tcPr>
          <w:p>
            <w:pPr>
              <w:spacing w:after="0"/>
              <w:rPr>
                <w:sz w:val="13"/>
                <w:szCs w:val="13"/>
                <w:color w:val="auto"/>
              </w:rPr>
            </w:pPr>
          </w:p>
        </w:tc>
        <w:tc>
          <w:tcPr>
            <w:tcW w:w="1280" w:type="dxa"/>
            <w:vAlign w:val="bottom"/>
          </w:tcPr>
          <w:p>
            <w:pPr>
              <w:jc w:val="right"/>
              <w:ind w:right="1145"/>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103"/>
              <w:spacing w:after="0"/>
              <w:rPr>
                <w:sz w:val="20"/>
                <w:szCs w:val="20"/>
                <w:color w:val="auto"/>
              </w:rPr>
            </w:pPr>
            <w:r>
              <w:rPr>
                <w:rFonts w:ascii="Arial" w:cs="Arial" w:eastAsia="Arial" w:hAnsi="Arial"/>
                <w:sz w:val="12"/>
                <w:szCs w:val="12"/>
                <w:color w:val="auto"/>
              </w:rPr>
              <w:t>169</w:t>
            </w:r>
          </w:p>
        </w:tc>
        <w:tc>
          <w:tcPr>
            <w:tcW w:w="100" w:type="dxa"/>
            <w:vAlign w:val="bottom"/>
          </w:tcPr>
          <w:p>
            <w:pPr>
              <w:spacing w:after="0"/>
              <w:rPr>
                <w:sz w:val="13"/>
                <w:szCs w:val="13"/>
                <w:color w:val="auto"/>
              </w:rPr>
            </w:pPr>
          </w:p>
        </w:tc>
      </w:tr>
      <w:tr>
        <w:trPr>
          <w:trHeight w:val="157"/>
        </w:trPr>
        <w:tc>
          <w:tcPr>
            <w:tcW w:w="6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unrealized gains</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143</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3"/>
                <w:szCs w:val="13"/>
                <w:color w:val="auto"/>
              </w:rPr>
            </w:pPr>
          </w:p>
        </w:tc>
      </w:tr>
      <w:tr>
        <w:trPr>
          <w:trHeight w:val="151"/>
        </w:trPr>
        <w:tc>
          <w:tcPr>
            <w:tcW w:w="6100" w:type="dxa"/>
            <w:vAlign w:val="bottom"/>
          </w:tcPr>
          <w:p>
            <w:pPr>
              <w:ind w:left="20"/>
              <w:spacing w:after="0"/>
              <w:rPr>
                <w:sz w:val="20"/>
                <w:szCs w:val="20"/>
                <w:color w:val="auto"/>
              </w:rPr>
            </w:pPr>
            <w:r>
              <w:rPr>
                <w:rFonts w:ascii="Arial" w:cs="Arial" w:eastAsia="Arial" w:hAnsi="Arial"/>
                <w:sz w:val="12"/>
                <w:szCs w:val="12"/>
                <w:color w:val="auto"/>
              </w:rPr>
              <w:t>Futures contracts:</w:t>
            </w: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Gains on futures contracts expiration</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r>
      <w:tr>
        <w:trPr>
          <w:trHeight w:val="151"/>
        </w:trPr>
        <w:tc>
          <w:tcPr>
            <w:tcW w:w="6100" w:type="dxa"/>
            <w:vAlign w:val="bottom"/>
          </w:tcPr>
          <w:p>
            <w:pPr>
              <w:ind w:left="180"/>
              <w:spacing w:after="0"/>
              <w:rPr>
                <w:sz w:val="20"/>
                <w:szCs w:val="20"/>
                <w:color w:val="auto"/>
              </w:rPr>
            </w:pPr>
            <w:r>
              <w:rPr>
                <w:rFonts w:ascii="Arial" w:cs="Arial" w:eastAsia="Arial" w:hAnsi="Arial"/>
                <w:sz w:val="12"/>
                <w:szCs w:val="12"/>
                <w:color w:val="auto"/>
              </w:rPr>
              <w:t>Change in unrealized losses</w:t>
            </w:r>
          </w:p>
        </w:tc>
        <w:tc>
          <w:tcPr>
            <w:tcW w:w="1280" w:type="dxa"/>
            <w:vAlign w:val="bottom"/>
          </w:tcPr>
          <w:p>
            <w:pPr>
              <w:spacing w:after="0"/>
              <w:rPr>
                <w:sz w:val="13"/>
                <w:szCs w:val="13"/>
                <w:color w:val="auto"/>
              </w:rPr>
            </w:pPr>
          </w:p>
        </w:tc>
        <w:tc>
          <w:tcPr>
            <w:tcW w:w="36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83"/>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r>
      <w:tr>
        <w:trPr>
          <w:trHeight w:val="157"/>
        </w:trPr>
        <w:tc>
          <w:tcPr>
            <w:tcW w:w="6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forward:</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1"/>
        </w:trPr>
        <w:tc>
          <w:tcPr>
            <w:tcW w:w="6100" w:type="dxa"/>
            <w:vAlign w:val="bottom"/>
          </w:tcPr>
          <w:p>
            <w:pPr>
              <w:ind w:left="180"/>
              <w:spacing w:after="0"/>
              <w:rPr>
                <w:sz w:val="20"/>
                <w:szCs w:val="20"/>
                <w:color w:val="auto"/>
              </w:rPr>
            </w:pPr>
            <w:r>
              <w:rPr>
                <w:rFonts w:ascii="Arial" w:cs="Arial" w:eastAsia="Arial" w:hAnsi="Arial"/>
                <w:sz w:val="12"/>
                <w:szCs w:val="12"/>
                <w:color w:val="auto"/>
              </w:rPr>
              <w:t>Gains on foreign currency forward</w:t>
            </w:r>
          </w:p>
        </w:tc>
        <w:tc>
          <w:tcPr>
            <w:tcW w:w="128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Pr>
          <w:p>
            <w:pPr>
              <w:spacing w:after="0"/>
              <w:rPr>
                <w:sz w:val="13"/>
                <w:szCs w:val="13"/>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80" w:type="dxa"/>
            <w:vAlign w:val="bottom"/>
          </w:tcPr>
          <w:p>
            <w:pPr>
              <w:jc w:val="right"/>
              <w:ind w:right="103"/>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r>
      <w:tr>
        <w:trPr>
          <w:trHeight w:val="173"/>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change in fair value</w:t>
            </w:r>
          </w:p>
        </w:tc>
        <w:tc>
          <w:tcPr>
            <w:tcW w:w="1280" w:type="dxa"/>
            <w:vAlign w:val="bottom"/>
            <w:tcBorders>
              <w:top w:val="single" w:sz="8" w:color="auto"/>
              <w:bottom w:val="single" w:sz="8" w:color="auto"/>
            </w:tcBorders>
            <w:shd w:val="clear" w:color="auto" w:fill="CCEEFF"/>
          </w:tcPr>
          <w:p>
            <w:pPr>
              <w:jc w:val="right"/>
              <w:ind w:right="1171"/>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262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1145"/>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287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18"/>
        </w:trPr>
        <w:tc>
          <w:tcPr>
            <w:tcW w:w="6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4"/>
        </w:trPr>
        <w:tc>
          <w:tcPr>
            <w:tcW w:w="61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Annual Point-to-Point Change in S&amp;P 500 Index during the period</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10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40" w:hanging="268"/>
        <w:spacing w:after="0" w:line="254" w:lineRule="auto"/>
        <w:tabs>
          <w:tab w:leader="none" w:pos="536"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the three and six months ended June 30, 2021, and one month ended June 30, 2020, on options settled during the period.</w:t>
      </w:r>
    </w:p>
    <w:p>
      <w:pPr>
        <w:spacing w:after="0" w:line="111" w:lineRule="exact"/>
        <w:rPr>
          <w:rFonts w:ascii="Arial" w:cs="Arial" w:eastAsia="Arial" w:hAnsi="Arial"/>
          <w:sz w:val="15"/>
          <w:szCs w:val="15"/>
          <w:color w:val="auto"/>
        </w:rPr>
      </w:pPr>
    </w:p>
    <w:p>
      <w:pPr>
        <w:ind w:left="540" w:hanging="268"/>
        <w:spacing w:after="0" w:line="264" w:lineRule="auto"/>
        <w:tabs>
          <w:tab w:leader="none" w:pos="536"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change in unrealized gains and losses due to fair value of call options is primarily driven by the underlying performance of the S&amp;P 500 Index during each respective year relative to the S&amp;P Index on the policyholder buy dates.</w:t>
      </w:r>
    </w:p>
    <w:p>
      <w:pPr>
        <w:spacing w:after="0" w:line="103" w:lineRule="exact"/>
        <w:rPr>
          <w:rFonts w:ascii="Arial" w:cs="Arial" w:eastAsia="Arial" w:hAnsi="Arial"/>
          <w:sz w:val="15"/>
          <w:szCs w:val="15"/>
          <w:color w:val="auto"/>
        </w:rPr>
      </w:pPr>
    </w:p>
    <w:p>
      <w:pPr>
        <w:ind w:left="540" w:hanging="268"/>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net change in fair value of the call options and futures contracts was primarily driven by movements in the S&amp;P 500 Index relative to the policyholder buy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average index credits to policyholders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40" w:type="dxa"/>
            <w:vAlign w:val="bottom"/>
          </w:tcPr>
          <w:p>
            <w:pPr>
              <w:spacing w:after="0"/>
              <w:rPr>
                <w:sz w:val="12"/>
                <w:szCs w:val="12"/>
                <w:color w:val="auto"/>
              </w:rPr>
            </w:pPr>
          </w:p>
        </w:tc>
        <w:tc>
          <w:tcPr>
            <w:tcW w:w="1320" w:type="dxa"/>
            <w:vAlign w:val="bottom"/>
            <w:tcBorders>
              <w:bottom w:val="single" w:sz="8" w:color="auto"/>
            </w:tcBorders>
          </w:tcPr>
          <w:p>
            <w:pPr>
              <w:jc w:val="center"/>
              <w:ind w:left="249"/>
              <w:spacing w:after="0"/>
              <w:rPr>
                <w:sz w:val="20"/>
                <w:szCs w:val="20"/>
                <w:color w:val="auto"/>
              </w:rPr>
            </w:pPr>
            <w:r>
              <w:rPr>
                <w:rFonts w:ascii="Arial" w:cs="Arial" w:eastAsia="Arial" w:hAnsi="Arial"/>
                <w:sz w:val="10"/>
                <w:szCs w:val="10"/>
                <w:b w:val="1"/>
                <w:bCs w:val="1"/>
                <w:color w:val="auto"/>
                <w:w w:val="91"/>
              </w:rPr>
              <w:t>Three months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1"/>
              </w:rPr>
              <w:t>One month ended</w:t>
            </w: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0"/>
                <w:szCs w:val="10"/>
                <w:b w:val="1"/>
                <w:bCs w:val="1"/>
                <w:color w:val="auto"/>
              </w:rPr>
              <w:t>Six months ended</w:t>
            </w:r>
          </w:p>
        </w:tc>
      </w:tr>
      <w:tr>
        <w:trPr>
          <w:trHeight w:val="135"/>
        </w:trPr>
        <w:tc>
          <w:tcPr>
            <w:tcW w:w="6140" w:type="dxa"/>
            <w:vAlign w:val="bottom"/>
          </w:tcPr>
          <w:p>
            <w:pPr>
              <w:spacing w:after="0"/>
              <w:rPr>
                <w:sz w:val="11"/>
                <w:szCs w:val="11"/>
                <w:color w:val="auto"/>
              </w:rPr>
            </w:pPr>
          </w:p>
        </w:tc>
        <w:tc>
          <w:tcPr>
            <w:tcW w:w="1320" w:type="dxa"/>
            <w:vAlign w:val="bottom"/>
          </w:tcPr>
          <w:p>
            <w:pPr>
              <w:jc w:val="center"/>
              <w:ind w:left="269"/>
              <w:spacing w:after="0"/>
              <w:rPr>
                <w:sz w:val="20"/>
                <w:szCs w:val="20"/>
                <w:color w:val="auto"/>
              </w:rPr>
            </w:pPr>
            <w:r>
              <w:rPr>
                <w:rFonts w:ascii="Arial" w:cs="Arial" w:eastAsia="Arial" w:hAnsi="Arial"/>
                <w:sz w:val="10"/>
                <w:szCs w:val="10"/>
                <w:b w:val="1"/>
                <w:bCs w:val="1"/>
                <w:color w:val="auto"/>
                <w:w w:val="92"/>
              </w:rPr>
              <w:t>June 30, 2021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 2020</w:t>
            </w:r>
          </w:p>
        </w:tc>
        <w:tc>
          <w:tcPr>
            <w:tcW w:w="1580" w:type="dxa"/>
            <w:vAlign w:val="bottom"/>
            <w:gridSpan w:val="2"/>
          </w:tcPr>
          <w:p>
            <w:pPr>
              <w:ind w:left="440"/>
              <w:spacing w:after="0"/>
              <w:rPr>
                <w:sz w:val="20"/>
                <w:szCs w:val="20"/>
                <w:color w:val="auto"/>
              </w:rPr>
            </w:pPr>
            <w:r>
              <w:rPr>
                <w:rFonts w:ascii="Arial" w:cs="Arial" w:eastAsia="Arial" w:hAnsi="Arial"/>
                <w:sz w:val="10"/>
                <w:szCs w:val="10"/>
                <w:b w:val="1"/>
                <w:bCs w:val="1"/>
                <w:color w:val="auto"/>
              </w:rPr>
              <w:t>June 30, 2021</w:t>
            </w:r>
          </w:p>
        </w:tc>
      </w:tr>
      <w:tr>
        <w:trPr>
          <w:trHeight w:val="15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Average Crediting Rate</w:t>
            </w:r>
          </w:p>
        </w:tc>
        <w:tc>
          <w:tcPr>
            <w:tcW w:w="13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8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2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00" w:type="dxa"/>
            <w:vAlign w:val="bottom"/>
            <w:tcBorders>
              <w:top w:val="single" w:sz="8" w:color="CCEEFF"/>
            </w:tcBorders>
            <w:shd w:val="clear" w:color="auto" w:fill="CCEEFF"/>
          </w:tcPr>
          <w:p>
            <w:pPr>
              <w:spacing w:after="0"/>
              <w:rPr>
                <w:sz w:val="13"/>
                <w:szCs w:val="13"/>
                <w:color w:val="auto"/>
              </w:rPr>
            </w:pPr>
          </w:p>
        </w:tc>
      </w:tr>
      <w:tr>
        <w:trPr>
          <w:trHeight w:val="151"/>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S&amp;P 500 Index:</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4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Point-to-point strategy</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00" w:type="dxa"/>
            <w:vAlign w:val="bottom"/>
            <w:shd w:val="clear" w:color="auto" w:fill="CCEEFF"/>
          </w:tcPr>
          <w:p>
            <w:pPr>
              <w:spacing w:after="0"/>
              <w:rPr>
                <w:sz w:val="13"/>
                <w:szCs w:val="13"/>
                <w:color w:val="auto"/>
              </w:rPr>
            </w:pPr>
          </w:p>
        </w:tc>
      </w:tr>
      <w:tr>
        <w:trPr>
          <w:trHeight w:val="151"/>
        </w:trPr>
        <w:tc>
          <w:tcPr>
            <w:tcW w:w="7460" w:type="dxa"/>
            <w:vAlign w:val="bottom"/>
            <w:gridSpan w:val="2"/>
          </w:tcPr>
          <w:p>
            <w:pPr>
              <w:ind w:left="180"/>
              <w:spacing w:after="0"/>
              <w:rPr>
                <w:sz w:val="20"/>
                <w:szCs w:val="20"/>
                <w:color w:val="auto"/>
              </w:rPr>
            </w:pPr>
            <w:r>
              <w:rPr>
                <w:rFonts w:ascii="Arial" w:cs="Arial" w:eastAsia="Arial" w:hAnsi="Arial"/>
                <w:sz w:val="12"/>
                <w:szCs w:val="12"/>
                <w:color w:val="auto"/>
              </w:rPr>
              <w:t>Monthly average strategy</w:t>
            </w:r>
          </w:p>
        </w:tc>
        <w:tc>
          <w:tcPr>
            <w:tcW w:w="32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3 %</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3"/>
                <w:szCs w:val="13"/>
                <w:color w:val="auto"/>
              </w:rPr>
            </w:pPr>
          </w:p>
        </w:tc>
      </w:tr>
      <w:tr>
        <w:trPr>
          <w:trHeight w:val="157"/>
        </w:trPr>
        <w:tc>
          <w:tcPr>
            <w:tcW w:w="74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Monthly point-to-point strategy</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00" w:type="dxa"/>
            <w:vAlign w:val="bottom"/>
            <w:shd w:val="clear" w:color="auto" w:fill="CCEEFF"/>
          </w:tcPr>
          <w:p>
            <w:pPr>
              <w:spacing w:after="0"/>
              <w:rPr>
                <w:sz w:val="13"/>
                <w:szCs w:val="13"/>
                <w:color w:val="auto"/>
              </w:rPr>
            </w:pPr>
          </w:p>
        </w:tc>
      </w:tr>
      <w:tr>
        <w:trPr>
          <w:trHeight w:val="148"/>
        </w:trPr>
        <w:tc>
          <w:tcPr>
            <w:tcW w:w="7460" w:type="dxa"/>
            <w:vAlign w:val="bottom"/>
            <w:gridSpan w:val="2"/>
          </w:tcPr>
          <w:p>
            <w:pPr>
              <w:ind w:left="180"/>
              <w:spacing w:after="0"/>
              <w:rPr>
                <w:sz w:val="20"/>
                <w:szCs w:val="20"/>
                <w:color w:val="auto"/>
              </w:rPr>
            </w:pPr>
            <w:r>
              <w:rPr>
                <w:rFonts w:ascii="Arial" w:cs="Arial" w:eastAsia="Arial" w:hAnsi="Arial"/>
                <w:sz w:val="12"/>
                <w:szCs w:val="12"/>
                <w:color w:val="auto"/>
              </w:rPr>
              <w:t>3 year high water mark</w:t>
            </w:r>
          </w:p>
        </w:tc>
        <w:tc>
          <w:tcPr>
            <w:tcW w:w="320" w:type="dxa"/>
            <w:vAlign w:val="bottom"/>
          </w:tcPr>
          <w:p>
            <w:pPr>
              <w:jc w:val="right"/>
              <w:spacing w:after="0"/>
              <w:rPr>
                <w:sz w:val="20"/>
                <w:szCs w:val="20"/>
                <w:color w:val="auto"/>
              </w:rPr>
            </w:pPr>
            <w:r>
              <w:rPr>
                <w:rFonts w:ascii="Arial" w:cs="Arial" w:eastAsia="Arial" w:hAnsi="Arial"/>
                <w:sz w:val="12"/>
                <w:szCs w:val="12"/>
                <w:color w:val="auto"/>
              </w:rPr>
              <w:t>14 %</w:t>
            </w:r>
          </w:p>
        </w:tc>
        <w:tc>
          <w:tcPr>
            <w:tcW w:w="8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19 %</w:t>
            </w:r>
          </w:p>
        </w:tc>
        <w:tc>
          <w:tcPr>
            <w:tcW w:w="2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12 %</w:t>
            </w:r>
          </w:p>
        </w:tc>
        <w:tc>
          <w:tcPr>
            <w:tcW w:w="100" w:type="dxa"/>
            <w:vAlign w:val="bottom"/>
          </w:tcPr>
          <w:p>
            <w:pPr>
              <w:spacing w:after="0"/>
              <w:rPr>
                <w:sz w:val="12"/>
                <w:szCs w:val="12"/>
                <w:color w:val="auto"/>
              </w:rPr>
            </w:pPr>
          </w:p>
        </w:tc>
      </w:tr>
    </w:tbl>
    <w:p>
      <w:pPr>
        <w:spacing w:after="0" w:line="204" w:lineRule="exact"/>
        <w:rPr>
          <w:sz w:val="20"/>
          <w:szCs w:val="20"/>
          <w:color w:val="auto"/>
        </w:rPr>
      </w:pPr>
    </w:p>
    <w:p>
      <w:pPr>
        <w:ind w:left="540" w:right="20" w:hanging="268"/>
        <w:spacing w:after="0" w:line="264" w:lineRule="auto"/>
        <w:tabs>
          <w:tab w:leader="none" w:pos="536" w:val="left"/>
        </w:tabs>
        <w:numPr>
          <w:ilvl w:val="0"/>
          <w:numId w:val="18"/>
        </w:numPr>
        <w:rPr>
          <w:rFonts w:ascii="Arial" w:cs="Arial" w:eastAsia="Arial" w:hAnsi="Arial"/>
          <w:sz w:val="15"/>
          <w:szCs w:val="15"/>
          <w:color w:val="auto"/>
        </w:rPr>
      </w:pPr>
      <w:r>
        <w:rPr>
          <w:rFonts w:ascii="Arial" w:cs="Arial" w:eastAsia="Arial" w:hAnsi="Arial"/>
          <w:sz w:val="15"/>
          <w:szCs w:val="15"/>
          <w:color w:val="auto"/>
        </w:rPr>
        <w:t>Actual amounts credited to contractholder fund balances may differ from the index appreciation due to contractual features in the FIA contracts (caps, spreads and participation rates) which allow F&amp;G to manage the cost of the options purchased to fund the annual index credits.</w:t>
      </w:r>
    </w:p>
    <w:p>
      <w:pPr>
        <w:spacing w:after="0" w:line="70" w:lineRule="exact"/>
        <w:rPr>
          <w:rFonts w:ascii="Arial" w:cs="Arial" w:eastAsia="Arial" w:hAnsi="Arial"/>
          <w:sz w:val="15"/>
          <w:szCs w:val="15"/>
          <w:color w:val="auto"/>
        </w:rPr>
      </w:pPr>
    </w:p>
    <w:p>
      <w:pPr>
        <w:ind w:left="540" w:hanging="268"/>
        <w:spacing w:after="0" w:line="264" w:lineRule="auto"/>
        <w:tabs>
          <w:tab w:leader="none" w:pos="536"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credits for the periods presented were based on comparing the S&amp;P 500 Index on each issue date in the period to the same issue date in the respective prior year periods. Surrender charges were higher in the prior year periods, primarily due to a higher number of universal life policy surrenders.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Benefits and other changes in policy reserves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Benefits and other changes in policy reserves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60" w:type="dxa"/>
            <w:vAlign w:val="bottom"/>
          </w:tcPr>
          <w:p>
            <w:pPr>
              <w:spacing w:after="0"/>
              <w:rPr>
                <w:sz w:val="12"/>
                <w:szCs w:val="12"/>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rPr>
              <w:t>One month ended</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Six months ended</w:t>
            </w:r>
          </w:p>
        </w:tc>
      </w:tr>
      <w:tr>
        <w:trPr>
          <w:trHeight w:val="135"/>
        </w:trPr>
        <w:tc>
          <w:tcPr>
            <w:tcW w:w="6260" w:type="dxa"/>
            <w:vAlign w:val="bottom"/>
          </w:tcPr>
          <w:p>
            <w:pPr>
              <w:spacing w:after="0"/>
              <w:rPr>
                <w:sz w:val="11"/>
                <w:szCs w:val="11"/>
                <w:color w:val="auto"/>
              </w:rPr>
            </w:pPr>
          </w:p>
        </w:tc>
        <w:tc>
          <w:tcPr>
            <w:tcW w:w="1300" w:type="dxa"/>
            <w:vAlign w:val="bottom"/>
          </w:tcPr>
          <w:p>
            <w:pPr>
              <w:jc w:val="right"/>
              <w:ind w:right="165"/>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ind w:right="145"/>
              <w:spacing w:after="0"/>
              <w:rPr>
                <w:sz w:val="20"/>
                <w:szCs w:val="20"/>
                <w:color w:val="auto"/>
              </w:rPr>
            </w:pPr>
            <w:r>
              <w:rPr>
                <w:rFonts w:ascii="Arial" w:cs="Arial" w:eastAsia="Arial" w:hAnsi="Arial"/>
                <w:sz w:val="10"/>
                <w:szCs w:val="10"/>
                <w:b w:val="1"/>
                <w:bCs w:val="1"/>
                <w:color w:val="auto"/>
              </w:rPr>
              <w:t>June 30, 2020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2021</w:t>
            </w:r>
          </w:p>
        </w:tc>
      </w:tr>
      <w:tr>
        <w:trPr>
          <w:trHeight w:val="151"/>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FIA embedded derivative impact</w:t>
            </w:r>
          </w:p>
        </w:tc>
        <w:tc>
          <w:tcPr>
            <w:tcW w:w="1300" w:type="dxa"/>
            <w:vAlign w:val="bottom"/>
            <w:tcBorders>
              <w:top w:val="single" w:sz="8" w:color="auto"/>
            </w:tcBorders>
            <w:shd w:val="clear" w:color="auto" w:fill="CCEEFF"/>
          </w:tcPr>
          <w:p>
            <w:pPr>
              <w:jc w:val="right"/>
              <w:ind w:right="1165"/>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w:t>
            </w: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18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00" w:type="dxa"/>
            <w:vAlign w:val="bottom"/>
            <w:tcBorders>
              <w:top w:val="single" w:sz="8" w:color="CCEEFF"/>
            </w:tcBorders>
            <w:shd w:val="clear" w:color="auto" w:fill="CCEEFF"/>
          </w:tcPr>
          <w:p>
            <w:pPr>
              <w:spacing w:after="0"/>
              <w:rPr>
                <w:sz w:val="13"/>
                <w:szCs w:val="13"/>
                <w:color w:val="auto"/>
              </w:rPr>
            </w:pPr>
          </w:p>
        </w:tc>
      </w:tr>
      <w:tr>
        <w:trPr>
          <w:trHeight w:val="151"/>
        </w:trPr>
        <w:tc>
          <w:tcPr>
            <w:tcW w:w="6260" w:type="dxa"/>
            <w:vAlign w:val="bottom"/>
          </w:tcPr>
          <w:p>
            <w:pPr>
              <w:ind w:left="20"/>
              <w:spacing w:after="0"/>
              <w:rPr>
                <w:sz w:val="20"/>
                <w:szCs w:val="20"/>
                <w:color w:val="auto"/>
              </w:rPr>
            </w:pPr>
            <w:r>
              <w:rPr>
                <w:rFonts w:ascii="Arial" w:cs="Arial" w:eastAsia="Arial" w:hAnsi="Arial"/>
                <w:sz w:val="12"/>
                <w:szCs w:val="12"/>
                <w:color w:val="auto"/>
              </w:rPr>
              <w:t>Index credits, interest credited &amp; bonuses</w:t>
            </w:r>
          </w:p>
        </w:tc>
        <w:tc>
          <w:tcPr>
            <w:tcW w:w="13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245</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jc w:val="right"/>
              <w:ind w:right="1"/>
              <w:spacing w:after="0"/>
              <w:rPr>
                <w:sz w:val="20"/>
                <w:szCs w:val="20"/>
                <w:color w:val="auto"/>
              </w:rPr>
            </w:pPr>
            <w:r>
              <w:rPr>
                <w:rFonts w:ascii="Arial" w:cs="Arial" w:eastAsia="Arial" w:hAnsi="Arial"/>
                <w:sz w:val="12"/>
                <w:szCs w:val="12"/>
                <w:color w:val="auto"/>
              </w:rPr>
              <w:t>41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4"/>
              <w:spacing w:after="0"/>
              <w:rPr>
                <w:sz w:val="20"/>
                <w:szCs w:val="20"/>
                <w:color w:val="auto"/>
              </w:rPr>
            </w:pPr>
            <w:r>
              <w:rPr>
                <w:rFonts w:ascii="Arial" w:cs="Arial" w:eastAsia="Arial" w:hAnsi="Arial"/>
                <w:sz w:val="12"/>
                <w:szCs w:val="12"/>
                <w:color w:val="auto"/>
              </w:rPr>
              <w:t>436</w:t>
            </w:r>
          </w:p>
        </w:tc>
        <w:tc>
          <w:tcPr>
            <w:tcW w:w="100" w:type="dxa"/>
            <w:vAlign w:val="bottom"/>
          </w:tcPr>
          <w:p>
            <w:pPr>
              <w:spacing w:after="0"/>
              <w:rPr>
                <w:sz w:val="13"/>
                <w:szCs w:val="13"/>
                <w:color w:val="auto"/>
              </w:rPr>
            </w:pPr>
          </w:p>
        </w:tc>
      </w:tr>
      <w:tr>
        <w:trPr>
          <w:trHeight w:val="157"/>
        </w:trPr>
        <w:tc>
          <w:tcPr>
            <w:tcW w:w="6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Annuity payments</w:t>
            </w: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3"/>
                <w:szCs w:val="13"/>
                <w:color w:val="auto"/>
              </w:rPr>
            </w:pPr>
          </w:p>
        </w:tc>
      </w:tr>
      <w:tr>
        <w:trPr>
          <w:trHeight w:val="15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90</w:t>
            </w:r>
          </w:p>
        </w:tc>
        <w:tc>
          <w:tcPr>
            <w:tcW w:w="100" w:type="dxa"/>
            <w:vAlign w:val="bottom"/>
            <w:tcBorders>
              <w:bottom w:val="single" w:sz="8" w:color="CCEEFF"/>
            </w:tcBorders>
          </w:tcPr>
          <w:p>
            <w:pPr>
              <w:spacing w:after="0"/>
              <w:rPr>
                <w:sz w:val="13"/>
                <w:szCs w:val="13"/>
                <w:color w:val="auto"/>
              </w:rPr>
            </w:pPr>
          </w:p>
        </w:tc>
      </w:tr>
      <w:tr>
        <w:trPr>
          <w:trHeight w:val="173"/>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benefits and other changes in policy reserves</w:t>
            </w:r>
          </w:p>
        </w:tc>
        <w:tc>
          <w:tcPr>
            <w:tcW w:w="1300" w:type="dxa"/>
            <w:vAlign w:val="bottom"/>
            <w:tcBorders>
              <w:bottom w:val="single" w:sz="8" w:color="auto"/>
            </w:tcBorders>
            <w:shd w:val="clear" w:color="auto" w:fill="CCEEFF"/>
          </w:tcPr>
          <w:p>
            <w:pPr>
              <w:jc w:val="right"/>
              <w:ind w:right="1165"/>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575</w:t>
            </w: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85"/>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155</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549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8" w:lineRule="exact"/>
        <w:rPr>
          <w:sz w:val="20"/>
          <w:szCs w:val="20"/>
          <w:color w:val="auto"/>
        </w:rPr>
      </w:pPr>
    </w:p>
    <w:p>
      <w:pPr>
        <w:jc w:val="both"/>
        <w:ind w:left="540" w:hanging="268"/>
        <w:spacing w:after="0" w:line="251"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FIA fair value option liability increased, driven by the changes in the equity markets, change in non-performance spread, and risk free rates during the period. The change risk-free rates increased (decreased) the FIA embedded derivative liability by $70 million and $(131) million during the three and six months ended June 30, 2021, respectively, with the remaining change in the market value of the derivative assets hedging our FIA policies driven by equity market impacts. See table in the net investment gains/losses discussion above for summary and discussion of net unrealized gains (losses) on certain derivative instruments.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268"/>
        <w:spacing w:after="0"/>
        <w:tabs>
          <w:tab w:leader="none" w:pos="540" w:val="left"/>
        </w:tabs>
        <w:numPr>
          <w:ilvl w:val="0"/>
          <w:numId w:val="20"/>
        </w:numPr>
        <w:rPr>
          <w:rFonts w:ascii="Arial" w:cs="Arial" w:eastAsia="Arial" w:hAnsi="Arial"/>
          <w:sz w:val="14"/>
          <w:szCs w:val="14"/>
          <w:i w:val="1"/>
          <w:iCs w:val="1"/>
          <w:color w:val="auto"/>
        </w:rPr>
      </w:pPr>
      <w:r>
        <w:rPr>
          <w:rFonts w:ascii="Arial" w:cs="Arial" w:eastAsia="Arial" w:hAnsi="Arial"/>
          <w:sz w:val="14"/>
          <w:szCs w:val="14"/>
          <w:color w:val="auto"/>
        </w:rPr>
        <w:t>The index credits, interest credited &amp; bonuses were primarily due to index credits on FIA policies. Refer to average policyholder index discussion above for details on drivers.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depreciation and amortization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80" w:type="dxa"/>
            <w:vAlign w:val="bottom"/>
          </w:tcPr>
          <w:p>
            <w:pPr>
              <w:spacing w:after="0"/>
              <w:rPr>
                <w:sz w:val="12"/>
                <w:szCs w:val="1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One month ended</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Six months ended</w:t>
            </w:r>
          </w:p>
        </w:tc>
      </w:tr>
      <w:tr>
        <w:trPr>
          <w:trHeight w:val="135"/>
        </w:trPr>
        <w:tc>
          <w:tcPr>
            <w:tcW w:w="6280" w:type="dxa"/>
            <w:vAlign w:val="bottom"/>
          </w:tcPr>
          <w:p>
            <w:pPr>
              <w:spacing w:after="0"/>
              <w:rPr>
                <w:sz w:val="11"/>
                <w:szCs w:val="11"/>
                <w:color w:val="auto"/>
              </w:rPr>
            </w:pPr>
          </w:p>
        </w:tc>
        <w:tc>
          <w:tcPr>
            <w:tcW w:w="1280" w:type="dxa"/>
            <w:vAlign w:val="bottom"/>
          </w:tcPr>
          <w:p>
            <w:pPr>
              <w:jc w:val="right"/>
              <w:ind w:right="151"/>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164"/>
              <w:spacing w:after="0"/>
              <w:rPr>
                <w:sz w:val="20"/>
                <w:szCs w:val="20"/>
                <w:color w:val="auto"/>
              </w:rPr>
            </w:pPr>
            <w:r>
              <w:rPr>
                <w:rFonts w:ascii="Arial" w:cs="Arial" w:eastAsia="Arial" w:hAnsi="Arial"/>
                <w:sz w:val="10"/>
                <w:szCs w:val="10"/>
                <w:b w:val="1"/>
                <w:bCs w:val="1"/>
                <w:color w:val="auto"/>
              </w:rPr>
              <w:t>June 30, 2020</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2021</w:t>
            </w:r>
          </w:p>
        </w:tc>
      </w:tr>
      <w:tr>
        <w:trPr>
          <w:trHeight w:val="151"/>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Amortization of DAC, VOBA, and DSI</w:t>
            </w:r>
          </w:p>
        </w:tc>
        <w:tc>
          <w:tcPr>
            <w:tcW w:w="1280" w:type="dxa"/>
            <w:vAlign w:val="bottom"/>
            <w:tcBorders>
              <w:top w:val="single" w:sz="8" w:color="auto"/>
            </w:tcBorders>
            <w:shd w:val="clear" w:color="auto" w:fill="CCEEFF"/>
          </w:tcPr>
          <w:p>
            <w:pPr>
              <w:jc w:val="right"/>
              <w:ind w:right="1171"/>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ind w:right="1204"/>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232</w:t>
            </w:r>
          </w:p>
        </w:tc>
        <w:tc>
          <w:tcPr>
            <w:tcW w:w="100" w:type="dxa"/>
            <w:vAlign w:val="bottom"/>
            <w:tcBorders>
              <w:top w:val="single" w:sz="8" w:color="CCEEFF"/>
            </w:tcBorders>
            <w:shd w:val="clear" w:color="auto" w:fill="CCEEFF"/>
          </w:tcPr>
          <w:p>
            <w:pPr>
              <w:spacing w:after="0"/>
              <w:rPr>
                <w:sz w:val="13"/>
                <w:szCs w:val="13"/>
                <w:color w:val="auto"/>
              </w:rPr>
            </w:pPr>
          </w:p>
        </w:tc>
      </w:tr>
      <w:tr>
        <w:trPr>
          <w:trHeight w:val="151"/>
        </w:trPr>
        <w:tc>
          <w:tcPr>
            <w:tcW w:w="6280" w:type="dxa"/>
            <w:vAlign w:val="bottom"/>
          </w:tcPr>
          <w:p>
            <w:pPr>
              <w:ind w:left="20"/>
              <w:spacing w:after="0"/>
              <w:rPr>
                <w:sz w:val="20"/>
                <w:szCs w:val="20"/>
                <w:color w:val="auto"/>
              </w:rPr>
            </w:pPr>
            <w:r>
              <w:rPr>
                <w:rFonts w:ascii="Arial" w:cs="Arial" w:eastAsia="Arial" w:hAnsi="Arial"/>
                <w:sz w:val="12"/>
                <w:szCs w:val="12"/>
                <w:color w:val="auto"/>
              </w:rPr>
              <w:t>Interest</w:t>
            </w:r>
          </w:p>
        </w:tc>
        <w:tc>
          <w:tcPr>
            <w:tcW w:w="12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r>
      <w:tr>
        <w:trPr>
          <w:trHeight w:val="157"/>
        </w:trPr>
        <w:tc>
          <w:tcPr>
            <w:tcW w:w="6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Unlocking</w:t>
            </w: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r>
      <w:tr>
        <w:trPr>
          <w:trHeight w:val="151"/>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Amortization of other intangible assets and other depreciation</w:t>
            </w:r>
          </w:p>
        </w:tc>
        <w:tc>
          <w:tcPr>
            <w:tcW w:w="1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204"/>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tcPr>
          <w:p>
            <w:pPr>
              <w:spacing w:after="0"/>
              <w:rPr>
                <w:sz w:val="13"/>
                <w:szCs w:val="13"/>
                <w:color w:val="auto"/>
              </w:rPr>
            </w:pPr>
          </w:p>
        </w:tc>
      </w:tr>
      <w:tr>
        <w:trPr>
          <w:trHeight w:val="17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 depreciation and amortization</w:t>
            </w:r>
          </w:p>
        </w:tc>
        <w:tc>
          <w:tcPr>
            <w:tcW w:w="1280" w:type="dxa"/>
            <w:vAlign w:val="bottom"/>
            <w:tcBorders>
              <w:bottom w:val="single" w:sz="8" w:color="auto"/>
            </w:tcBorders>
            <w:shd w:val="clear" w:color="auto" w:fill="CCEEFF"/>
          </w:tcPr>
          <w:p>
            <w:pPr>
              <w:jc w:val="right"/>
              <w:ind w:right="1171"/>
              <w:spacing w:after="0"/>
              <w:rPr>
                <w:sz w:val="20"/>
                <w:szCs w:val="20"/>
                <w:color w:val="auto"/>
              </w:rPr>
            </w:pPr>
            <w:r>
              <w:rPr>
                <w:rFonts w:ascii="Arial" w:cs="Arial" w:eastAsia="Arial" w:hAnsi="Arial"/>
                <w:sz w:val="9"/>
                <w:szCs w:val="9"/>
                <w:color w:val="auto"/>
                <w:w w:val="7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204"/>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209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540" w:hanging="268"/>
        <w:spacing w:after="0" w:line="264" w:lineRule="auto"/>
        <w:tabs>
          <w:tab w:leader="none" w:pos="5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Amortization of DAC, VOBA, and DSI is based on current and future expected gross margins (pre-tax operating income before amortization). The amortization for the periods presented is the result of actual gross profits ("AGPs") in the period.</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items affecting net earnings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 (benefit)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Below is a summary of the major components included in income tax expense (benefit)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20" w:type="dxa"/>
            <w:vAlign w:val="bottom"/>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One month ended</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w w:val="99"/>
              </w:rPr>
              <w:t>Six months ended</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2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b w:val="1"/>
                <w:bCs w:val="1"/>
                <w:color w:val="auto"/>
              </w:rPr>
              <w:t>June 30, 2021</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June 30, 2020</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22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Income (loss) before taxes</w:t>
            </w:r>
          </w:p>
        </w:tc>
        <w:tc>
          <w:tcPr>
            <w:tcW w:w="1300" w:type="dxa"/>
            <w:vAlign w:val="bottom"/>
            <w:shd w:val="clear" w:color="auto" w:fill="CCEEFF"/>
          </w:tcPr>
          <w:p>
            <w:pPr>
              <w:jc w:val="right"/>
              <w:ind w:right="1165"/>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31"/>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453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 before valuation allowance</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Change in valuation allowance</w:t>
            </w:r>
          </w:p>
        </w:tc>
        <w:tc>
          <w:tcPr>
            <w:tcW w:w="1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Federal income tax expense (benefit)</w:t>
            </w:r>
          </w:p>
        </w:tc>
        <w:tc>
          <w:tcPr>
            <w:tcW w:w="1300" w:type="dxa"/>
            <w:vAlign w:val="bottom"/>
            <w:tcBorders>
              <w:bottom w:val="single" w:sz="8" w:color="auto"/>
            </w:tcBorders>
            <w:shd w:val="clear" w:color="auto" w:fill="CCEEFF"/>
          </w:tcPr>
          <w:p>
            <w:pPr>
              <w:jc w:val="right"/>
              <w:ind w:right="1165"/>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131"/>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Effective rate</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2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ind w:left="80"/>
              <w:spacing w:after="0" w:line="115" w:lineRule="exact"/>
              <w:rPr>
                <w:sz w:val="20"/>
                <w:szCs w:val="20"/>
                <w:color w:val="auto"/>
              </w:rPr>
            </w:pPr>
            <w:r>
              <w:rPr>
                <w:rFonts w:ascii="Arial" w:cs="Arial" w:eastAsia="Arial" w:hAnsi="Arial"/>
                <w:sz w:val="12"/>
                <w:szCs w:val="12"/>
                <w:color w:val="auto"/>
                <w:w w:val="87"/>
              </w:rPr>
              <w:t>22 %</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jc w:val="right"/>
              <w:spacing w:after="0" w:line="115" w:lineRule="exact"/>
              <w:rPr>
                <w:sz w:val="20"/>
                <w:szCs w:val="20"/>
                <w:color w:val="auto"/>
              </w:rPr>
            </w:pPr>
            <w:r>
              <w:rPr>
                <w:rFonts w:ascii="Arial" w:cs="Arial" w:eastAsia="Arial" w:hAnsi="Arial"/>
                <w:sz w:val="12"/>
                <w:szCs w:val="12"/>
                <w:color w:val="auto"/>
              </w:rPr>
              <w:t>24 %</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spacing w:after="0" w:line="115" w:lineRule="exact"/>
              <w:rPr>
                <w:sz w:val="20"/>
                <w:szCs w:val="20"/>
                <w:color w:val="auto"/>
              </w:rPr>
            </w:pPr>
            <w:r>
              <w:rPr>
                <w:rFonts w:ascii="Arial" w:cs="Arial" w:eastAsia="Arial" w:hAnsi="Arial"/>
                <w:sz w:val="12"/>
                <w:szCs w:val="12"/>
                <w:color w:val="auto"/>
              </w:rPr>
              <w:t>21 %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Net Earnings (See Non-GAAP Financial Measures section)</w:t>
      </w:r>
    </w:p>
    <w:p>
      <w:pPr>
        <w:spacing w:after="0" w:line="150"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The table below shows the adjustments made to reconcile Net earnings from continuing operations attributable to common shareholders to Adjusted net earnings from continuing operations attributable to common shareholders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One month ended</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Six months ended</w:t>
            </w:r>
          </w:p>
        </w:tc>
      </w:tr>
      <w:tr>
        <w:trPr>
          <w:trHeight w:val="135"/>
        </w:trPr>
        <w:tc>
          <w:tcPr>
            <w:tcW w:w="6400" w:type="dxa"/>
            <w:vAlign w:val="bottom"/>
          </w:tcPr>
          <w:p>
            <w:pPr>
              <w:spacing w:after="0"/>
              <w:rPr>
                <w:sz w:val="11"/>
                <w:szCs w:val="11"/>
                <w:color w:val="auto"/>
              </w:rPr>
            </w:pPr>
          </w:p>
        </w:tc>
        <w:tc>
          <w:tcPr>
            <w:tcW w:w="1300" w:type="dxa"/>
            <w:vAlign w:val="bottom"/>
          </w:tcPr>
          <w:p>
            <w:pPr>
              <w:jc w:val="right"/>
              <w:ind w:right="164"/>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ind w:right="124"/>
              <w:spacing w:after="0"/>
              <w:rPr>
                <w:sz w:val="20"/>
                <w:szCs w:val="20"/>
                <w:color w:val="auto"/>
              </w:rPr>
            </w:pPr>
            <w:r>
              <w:rPr>
                <w:rFonts w:ascii="Arial" w:cs="Arial" w:eastAsia="Arial" w:hAnsi="Arial"/>
                <w:sz w:val="10"/>
                <w:szCs w:val="10"/>
                <w:b w:val="1"/>
                <w:bCs w:val="1"/>
                <w:color w:val="auto"/>
              </w:rPr>
              <w:t>June 30, 2020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2021</w:t>
            </w:r>
          </w:p>
        </w:tc>
      </w:tr>
      <w:tr>
        <w:trPr>
          <w:trHeight w:val="151"/>
        </w:trPr>
        <w:tc>
          <w:tcPr>
            <w:tcW w:w="64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Net earnings from continuing operations attributable to common shareholders</w:t>
            </w:r>
          </w:p>
        </w:tc>
        <w:tc>
          <w:tcPr>
            <w:tcW w:w="1300" w:type="dxa"/>
            <w:vAlign w:val="bottom"/>
            <w:tcBorders>
              <w:top w:val="single" w:sz="8" w:color="auto"/>
            </w:tcBorders>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76</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1124"/>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360</w:t>
            </w:r>
          </w:p>
        </w:tc>
        <w:tc>
          <w:tcPr>
            <w:tcW w:w="100" w:type="dxa"/>
            <w:vAlign w:val="bottom"/>
            <w:tcBorders>
              <w:top w:val="single" w:sz="8" w:color="CCEEFF"/>
            </w:tcBorders>
            <w:shd w:val="clear" w:color="auto" w:fill="CCEEFF"/>
          </w:tcPr>
          <w:p>
            <w:pPr>
              <w:spacing w:after="0"/>
              <w:rPr>
                <w:sz w:val="13"/>
                <w:szCs w:val="13"/>
                <w:color w:val="auto"/>
              </w:rPr>
            </w:pPr>
          </w:p>
        </w:tc>
      </w:tr>
      <w:tr>
        <w:trPr>
          <w:trHeight w:val="152"/>
        </w:trPr>
        <w:tc>
          <w:tcPr>
            <w:tcW w:w="6400" w:type="dxa"/>
            <w:vAlign w:val="bottom"/>
          </w:tcPr>
          <w:p>
            <w:pPr>
              <w:ind w:left="20"/>
              <w:spacing w:after="0"/>
              <w:rPr>
                <w:sz w:val="20"/>
                <w:szCs w:val="20"/>
                <w:color w:val="auto"/>
              </w:rPr>
            </w:pPr>
            <w:r>
              <w:rPr>
                <w:rFonts w:ascii="Arial" w:cs="Arial" w:eastAsia="Arial" w:hAnsi="Arial"/>
                <w:sz w:val="12"/>
                <w:szCs w:val="12"/>
                <w:b w:val="1"/>
                <w:bCs w:val="1"/>
                <w:color w:val="auto"/>
              </w:rPr>
              <w:t>Non-GAAP adjustments: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Recognized gains and losses, net</w:t>
            </w: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13"/>
                <w:szCs w:val="13"/>
                <w:color w:val="auto"/>
              </w:rPr>
            </w:pPr>
          </w:p>
        </w:tc>
      </w:tr>
      <w:tr>
        <w:trPr>
          <w:trHeight w:val="151"/>
        </w:trPr>
        <w:tc>
          <w:tcPr>
            <w:tcW w:w="6400" w:type="dxa"/>
            <w:vAlign w:val="bottom"/>
          </w:tcPr>
          <w:p>
            <w:pPr>
              <w:ind w:left="20"/>
              <w:spacing w:after="0"/>
              <w:rPr>
                <w:sz w:val="20"/>
                <w:szCs w:val="20"/>
                <w:color w:val="auto"/>
              </w:rPr>
            </w:pPr>
            <w:r>
              <w:rPr>
                <w:rFonts w:ascii="Arial" w:cs="Arial" w:eastAsia="Arial" w:hAnsi="Arial"/>
                <w:sz w:val="12"/>
                <w:szCs w:val="12"/>
                <w:color w:val="auto"/>
              </w:rPr>
              <w:t>Indexed product related derivatives</w:t>
            </w:r>
          </w:p>
        </w:tc>
        <w:tc>
          <w:tcPr>
            <w:tcW w:w="1300" w:type="dxa"/>
            <w:vAlign w:val="bottom"/>
          </w:tcPr>
          <w:p>
            <w:pPr>
              <w:spacing w:after="0"/>
              <w:rPr>
                <w:sz w:val="13"/>
                <w:szCs w:val="13"/>
                <w:color w:val="auto"/>
              </w:rPr>
            </w:pPr>
          </w:p>
        </w:tc>
        <w:tc>
          <w:tcPr>
            <w:tcW w:w="280" w:type="dxa"/>
            <w:vAlign w:val="bottom"/>
          </w:tcPr>
          <w:p>
            <w:pPr>
              <w:jc w:val="right"/>
              <w:ind w:right="1"/>
              <w:spacing w:after="0"/>
              <w:rPr>
                <w:sz w:val="20"/>
                <w:szCs w:val="20"/>
                <w:color w:val="auto"/>
              </w:rPr>
            </w:pPr>
            <w:r>
              <w:rPr>
                <w:rFonts w:ascii="Arial" w:cs="Arial" w:eastAsia="Arial" w:hAnsi="Arial"/>
                <w:sz w:val="12"/>
                <w:szCs w:val="12"/>
                <w:color w:val="auto"/>
              </w:rPr>
              <w:t>75</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jc w:val="right"/>
              <w:ind w:right="1"/>
              <w:spacing w:after="0"/>
              <w:rPr>
                <w:sz w:val="20"/>
                <w:szCs w:val="20"/>
                <w:color w:val="auto"/>
              </w:rPr>
            </w:pPr>
            <w:r>
              <w:rPr>
                <w:rFonts w:ascii="Arial" w:cs="Arial" w:eastAsia="Arial" w:hAnsi="Arial"/>
                <w:sz w:val="12"/>
                <w:szCs w:val="12"/>
                <w:color w:val="auto"/>
              </w:rPr>
              <w:t>43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price amortization</w:t>
            </w: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r>
      <w:tr>
        <w:trPr>
          <w:trHeight w:val="151"/>
        </w:trPr>
        <w:tc>
          <w:tcPr>
            <w:tcW w:w="6400" w:type="dxa"/>
            <w:vAlign w:val="bottom"/>
          </w:tcPr>
          <w:p>
            <w:pPr>
              <w:ind w:left="20"/>
              <w:spacing w:after="0"/>
              <w:rPr>
                <w:sz w:val="20"/>
                <w:szCs w:val="20"/>
                <w:color w:val="auto"/>
              </w:rPr>
            </w:pPr>
            <w:r>
              <w:rPr>
                <w:rFonts w:ascii="Arial" w:cs="Arial" w:eastAsia="Arial" w:hAnsi="Arial"/>
                <w:sz w:val="12"/>
                <w:szCs w:val="12"/>
                <w:color w:val="auto"/>
              </w:rPr>
              <w:t>Transaction costs and other nonrecurring items</w:t>
            </w:r>
          </w:p>
        </w:tc>
        <w:tc>
          <w:tcPr>
            <w:tcW w:w="1300" w:type="dxa"/>
            <w:vAlign w:val="bottom"/>
          </w:tcPr>
          <w:p>
            <w:pPr>
              <w:spacing w:after="0"/>
              <w:rPr>
                <w:sz w:val="13"/>
                <w:szCs w:val="13"/>
                <w:color w:val="auto"/>
              </w:rPr>
            </w:pPr>
          </w:p>
        </w:tc>
        <w:tc>
          <w:tcPr>
            <w:tcW w:w="28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r>
      <w:tr>
        <w:trPr>
          <w:trHeight w:val="154"/>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taxes on non-GAAP adjustments</w:t>
            </w:r>
          </w:p>
        </w:tc>
        <w:tc>
          <w:tcPr>
            <w:tcW w:w="13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3"/>
                <w:szCs w:val="13"/>
                <w:color w:val="auto"/>
              </w:rPr>
            </w:pPr>
          </w:p>
        </w:tc>
      </w:tr>
      <w:tr>
        <w:trPr>
          <w:trHeight w:val="148"/>
        </w:trPr>
        <w:tc>
          <w:tcPr>
            <w:tcW w:w="6400" w:type="dxa"/>
            <w:vAlign w:val="bottom"/>
          </w:tcPr>
          <w:p>
            <w:pPr>
              <w:ind w:left="380"/>
              <w:spacing w:after="0"/>
              <w:rPr>
                <w:sz w:val="20"/>
                <w:szCs w:val="20"/>
                <w:color w:val="auto"/>
              </w:rPr>
            </w:pPr>
            <w:r>
              <w:rPr>
                <w:rFonts w:ascii="Arial" w:cs="Arial" w:eastAsia="Arial" w:hAnsi="Arial"/>
                <w:sz w:val="12"/>
                <w:szCs w:val="12"/>
                <w:color w:val="auto"/>
              </w:rPr>
              <w:t>Adjusted net earnings from continuing operations attributable to common shareholders</w:t>
            </w:r>
          </w:p>
        </w:tc>
        <w:tc>
          <w:tcPr>
            <w:tcW w:w="1300" w:type="dxa"/>
            <w:vAlign w:val="bottom"/>
            <w:tcBorders>
              <w:bottom w:val="single" w:sz="8" w:color="auto"/>
            </w:tcBorders>
          </w:tcPr>
          <w:p>
            <w:pPr>
              <w:jc w:val="right"/>
              <w:ind w:right="1164"/>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ind w:right="1124"/>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170</w:t>
            </w:r>
          </w:p>
        </w:tc>
        <w:tc>
          <w:tcPr>
            <w:tcW w:w="100" w:type="dxa"/>
            <w:vAlign w:val="bottom"/>
          </w:tcPr>
          <w:p>
            <w:pPr>
              <w:spacing w:after="0"/>
              <w:rPr>
                <w:sz w:val="12"/>
                <w:szCs w:val="12"/>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38"/>
        </w:trPr>
        <w:tc>
          <w:tcPr>
            <w:tcW w:w="640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Notable items included in adjusted net earnings attributable to common shareholders (discussed below)</w:t>
            </w:r>
          </w:p>
        </w:tc>
        <w:tc>
          <w:tcPr>
            <w:tcW w:w="130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124"/>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1"/>
                <w:szCs w:val="11"/>
                <w:color w:val="auto"/>
              </w:rPr>
            </w:pPr>
          </w:p>
        </w:tc>
      </w:tr>
    </w:tbl>
    <w:p>
      <w:pPr>
        <w:spacing w:after="0" w:line="121" w:lineRule="exact"/>
        <w:rPr>
          <w:sz w:val="20"/>
          <w:szCs w:val="20"/>
          <w:color w:val="auto"/>
        </w:rPr>
      </w:pPr>
    </w:p>
    <w:p>
      <w:pPr>
        <w:jc w:val="both"/>
        <w:ind w:left="540" w:hanging="268"/>
        <w:spacing w:after="0" w:line="281" w:lineRule="auto"/>
        <w:tabs>
          <w:tab w:leader="none" w:pos="53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net earnings for the three months ended June 30, 2021 primarily reflects net investment income for the period, partially offset by product costs and other expenses, and includes $3 million and of net favorable mortality driven by the single premium immediate annuity ("SPIA") line of business, $8 million of net benefit from lower DAC amortization from unlocking, and $11 million of other net favorable items, primarily net investment income related to CLO redemptions held at a discount to par.</w:t>
      </w:r>
    </w:p>
    <w:p>
      <w:pPr>
        <w:spacing w:after="0" w:line="27" w:lineRule="exact"/>
        <w:rPr>
          <w:rFonts w:ascii="Arial" w:cs="Arial" w:eastAsia="Arial" w:hAnsi="Arial"/>
          <w:sz w:val="14"/>
          <w:szCs w:val="14"/>
          <w:color w:val="auto"/>
        </w:rPr>
      </w:pPr>
    </w:p>
    <w:p>
      <w:pPr>
        <w:jc w:val="both"/>
        <w:ind w:left="540" w:hanging="268"/>
        <w:spacing w:after="0" w:line="281" w:lineRule="auto"/>
        <w:tabs>
          <w:tab w:leader="none" w:pos="53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net earnings for the six months ended June 30, 2021 primarily reflects net investment income for the period, partially offset by product costs and other expenses, and includes $10 million of net favorable mortality driven by the single premium immediate annuity ("SPIA") line of business, $8 million of net benefit from lower DAC amortization from unlocking, and $16 million of other net favorable items, primarily net investment income related to CLO redemptions held at a discount to par.</w:t>
      </w:r>
    </w:p>
    <w:p>
      <w:pPr>
        <w:spacing w:after="0" w:line="16" w:lineRule="exact"/>
        <w:rPr>
          <w:rFonts w:ascii="Arial" w:cs="Arial" w:eastAsia="Arial" w:hAnsi="Arial"/>
          <w:sz w:val="14"/>
          <w:szCs w:val="14"/>
          <w:color w:val="auto"/>
        </w:rPr>
      </w:pPr>
    </w:p>
    <w:p>
      <w:pPr>
        <w:ind w:left="540" w:hanging="268"/>
        <w:spacing w:after="0" w:line="264" w:lineRule="auto"/>
        <w:tabs>
          <w:tab w:leader="none" w:pos="536"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Adjusted net earnings for the one month ended June 30, 2020, primarily reflects net investment income for the period, partially offset by changes in benefits and other policy reserves, and included a $4 million net favorable actual to expected mortality within the SPIA line of business and $4 million bond prepay income.</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Portfolio</w:t>
      </w:r>
    </w:p>
    <w:p>
      <w:pPr>
        <w:spacing w:after="0" w:line="135"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investment portfolio is designed to contribute stable earnings and balance risk across diverse asset classes and is primarily invested in high quality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63"/>
        <w:spacing w:after="0" w:line="264" w:lineRule="auto"/>
        <w:rPr>
          <w:sz w:val="20"/>
          <w:szCs w:val="20"/>
          <w:color w:val="auto"/>
        </w:rPr>
      </w:pPr>
      <w:r>
        <w:rPr>
          <w:rFonts w:ascii="Arial" w:cs="Arial" w:eastAsia="Arial" w:hAnsi="Arial"/>
          <w:sz w:val="15"/>
          <w:szCs w:val="15"/>
          <w:color w:val="auto"/>
        </w:rPr>
        <w:t>As of June 30, 2021 and December 31, 2020, the fair value of our investment portfolio was approximately $35 billion and $31 billion, respectively, and was divided among the following asset classes and sectors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June 30, 2021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820"/>
              <w:spacing w:after="0"/>
              <w:rPr>
                <w:sz w:val="20"/>
                <w:szCs w:val="20"/>
                <w:color w:val="auto"/>
              </w:rPr>
            </w:pPr>
            <w:r>
              <w:rPr>
                <w:rFonts w:ascii="Arial" w:cs="Arial" w:eastAsia="Arial" w:hAnsi="Arial"/>
                <w:sz w:val="12"/>
                <w:szCs w:val="12"/>
                <w:b w:val="1"/>
                <w:bCs w:val="1"/>
                <w:color w:val="auto"/>
                <w:w w:val="92"/>
              </w:rPr>
              <w:t>December 31, 2020</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48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ind w:left="580"/>
              <w:spacing w:after="0"/>
              <w:rPr>
                <w:sz w:val="20"/>
                <w:szCs w:val="20"/>
                <w:color w:val="auto"/>
              </w:rPr>
            </w:pPr>
            <w:r>
              <w:rPr>
                <w:rFonts w:ascii="Arial" w:cs="Arial" w:eastAsia="Arial" w:hAnsi="Arial"/>
                <w:sz w:val="12"/>
                <w:szCs w:val="12"/>
                <w:b w:val="1"/>
                <w:bCs w:val="1"/>
                <w:color w:val="auto"/>
              </w:rPr>
              <w:t>Percent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3"/>
          </w:tcPr>
          <w:p>
            <w:pPr>
              <w:ind w:left="200"/>
              <w:spacing w:after="0"/>
              <w:rPr>
                <w:sz w:val="20"/>
                <w:szCs w:val="20"/>
                <w:color w:val="auto"/>
              </w:rPr>
            </w:pPr>
            <w:r>
              <w:rPr>
                <w:rFonts w:ascii="Arial" w:cs="Arial" w:eastAsia="Arial" w:hAnsi="Arial"/>
                <w:sz w:val="12"/>
                <w:szCs w:val="12"/>
                <w:b w:val="1"/>
                <w:bCs w:val="1"/>
                <w:color w:val="auto"/>
              </w:rPr>
              <w:t>Fair Value</w:t>
            </w:r>
          </w:p>
        </w:tc>
        <w:tc>
          <w:tcPr>
            <w:tcW w:w="1040" w:type="dxa"/>
            <w:vAlign w:val="bottom"/>
          </w:tcPr>
          <w:p>
            <w:pPr>
              <w:jc w:val="right"/>
              <w:ind w:right="541"/>
              <w:spacing w:after="0"/>
              <w:rPr>
                <w:sz w:val="20"/>
                <w:szCs w:val="20"/>
                <w:color w:val="auto"/>
              </w:rPr>
            </w:pPr>
            <w:r>
              <w:rPr>
                <w:rFonts w:ascii="Arial" w:cs="Arial" w:eastAsia="Arial" w:hAnsi="Arial"/>
                <w:sz w:val="12"/>
                <w:szCs w:val="12"/>
                <w:b w:val="1"/>
                <w:bCs w:val="1"/>
                <w:color w:val="auto"/>
                <w:w w:val="95"/>
              </w:rPr>
              <w:t>Percent</w:t>
            </w:r>
          </w:p>
        </w:tc>
        <w:tc>
          <w:tcPr>
            <w:tcW w:w="80" w:type="dxa"/>
            <w:vAlign w:val="bottom"/>
          </w:tcPr>
          <w:p>
            <w:pPr>
              <w:spacing w:after="0"/>
              <w:rPr>
                <w:sz w:val="12"/>
                <w:szCs w:val="12"/>
                <w:color w:val="auto"/>
              </w:rPr>
            </w:pPr>
          </w:p>
        </w:tc>
      </w:tr>
      <w:tr>
        <w:trPr>
          <w:trHeight w:val="158"/>
        </w:trPr>
        <w:tc>
          <w:tcPr>
            <w:tcW w:w="48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51"/>
        </w:trPr>
        <w:tc>
          <w:tcPr>
            <w:tcW w:w="4840" w:type="dxa"/>
            <w:vAlign w:val="bottom"/>
          </w:tcPr>
          <w:p>
            <w:pPr>
              <w:ind w:left="20"/>
              <w:spacing w:after="0"/>
              <w:rPr>
                <w:sz w:val="20"/>
                <w:szCs w:val="20"/>
                <w:color w:val="auto"/>
              </w:rPr>
            </w:pPr>
            <w:r>
              <w:rPr>
                <w:rFonts w:ascii="Arial" w:cs="Arial" w:eastAsia="Arial" w:hAnsi="Arial"/>
                <w:sz w:val="12"/>
                <w:szCs w:val="12"/>
                <w:color w:val="auto"/>
              </w:rPr>
              <w:t>Fixed maturity securities, available for sale:</w:t>
            </w: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United States Government full faith and credit</w:t>
            </w:r>
          </w:p>
        </w:tc>
        <w:tc>
          <w:tcPr>
            <w:tcW w:w="1040" w:type="dxa"/>
            <w:vAlign w:val="bottom"/>
            <w:shd w:val="clear" w:color="auto" w:fill="CCEEFF"/>
          </w:tcPr>
          <w:p>
            <w:pPr>
              <w:jc w:val="right"/>
              <w:ind w:right="929"/>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w:t>
            </w:r>
          </w:p>
        </w:tc>
      </w:tr>
      <w:tr>
        <w:trPr>
          <w:trHeight w:val="151"/>
        </w:trPr>
        <w:tc>
          <w:tcPr>
            <w:tcW w:w="4840" w:type="dxa"/>
            <w:vAlign w:val="bottom"/>
          </w:tcPr>
          <w:p>
            <w:pPr>
              <w:ind w:left="140"/>
              <w:spacing w:after="0"/>
              <w:rPr>
                <w:sz w:val="20"/>
                <w:szCs w:val="20"/>
                <w:color w:val="auto"/>
              </w:rPr>
            </w:pPr>
            <w:r>
              <w:rPr>
                <w:rFonts w:ascii="Arial" w:cs="Arial" w:eastAsia="Arial" w:hAnsi="Arial"/>
                <w:sz w:val="12"/>
                <w:szCs w:val="12"/>
                <w:color w:val="auto"/>
              </w:rPr>
              <w:t>United States Government sponsored entities</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r>
      <w:tr>
        <w:trPr>
          <w:trHeight w:val="157"/>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United States municipalities, states and territories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1,372</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140"/>
              <w:spacing w:after="0"/>
              <w:rPr>
                <w:sz w:val="20"/>
                <w:szCs w:val="20"/>
                <w:color w:val="auto"/>
              </w:rPr>
            </w:pPr>
            <w:r>
              <w:rPr>
                <w:rFonts w:ascii="Arial" w:cs="Arial" w:eastAsia="Arial" w:hAnsi="Arial"/>
                <w:sz w:val="12"/>
                <w:szCs w:val="12"/>
                <w:color w:val="auto"/>
              </w:rPr>
              <w:t>Foreign Governments</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 securities: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140"/>
              <w:spacing w:after="0"/>
              <w:rPr>
                <w:sz w:val="20"/>
                <w:szCs w:val="20"/>
                <w:color w:val="auto"/>
              </w:rPr>
            </w:pPr>
            <w:r>
              <w:rPr>
                <w:rFonts w:ascii="Arial" w:cs="Arial" w:eastAsia="Arial" w:hAnsi="Arial"/>
                <w:sz w:val="12"/>
                <w:szCs w:val="12"/>
                <w:color w:val="auto"/>
              </w:rPr>
              <w:t>Finance, insurance and real estate</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4,567</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4,572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Manufacturing, construction and mining</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881</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140"/>
              <w:spacing w:after="0"/>
              <w:rPr>
                <w:sz w:val="20"/>
                <w:szCs w:val="20"/>
                <w:color w:val="auto"/>
              </w:rPr>
            </w:pPr>
            <w:r>
              <w:rPr>
                <w:rFonts w:ascii="Arial" w:cs="Arial" w:eastAsia="Arial" w:hAnsi="Arial"/>
                <w:sz w:val="12"/>
                <w:szCs w:val="12"/>
                <w:color w:val="auto"/>
              </w:rPr>
              <w:t>Utilities, energy and related sectors</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2,699</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2,762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Wholesale/retail trade</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2,235</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140"/>
              <w:spacing w:after="0"/>
              <w:rPr>
                <w:sz w:val="20"/>
                <w:szCs w:val="20"/>
                <w:color w:val="auto"/>
              </w:rPr>
            </w:pPr>
            <w:r>
              <w:rPr>
                <w:rFonts w:ascii="Arial" w:cs="Arial" w:eastAsia="Arial" w:hAnsi="Arial"/>
                <w:sz w:val="12"/>
                <w:szCs w:val="12"/>
                <w:color w:val="auto"/>
              </w:rPr>
              <w:t>Services, media and other</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2,935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2,793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Hybrid securities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20"/>
              <w:spacing w:after="0"/>
              <w:rPr>
                <w:sz w:val="20"/>
                <w:szCs w:val="20"/>
                <w:color w:val="auto"/>
              </w:rPr>
            </w:pPr>
            <w:r>
              <w:rPr>
                <w:rFonts w:ascii="Arial" w:cs="Arial" w:eastAsia="Arial" w:hAnsi="Arial"/>
                <w:sz w:val="12"/>
                <w:szCs w:val="12"/>
                <w:color w:val="auto"/>
              </w:rPr>
              <w:t>Non-agency residential mortgage-backed securities</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696</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694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mortgage-backed securities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2,925</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2,925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1,999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 loan obligations ("CLO")</w:t>
            </w:r>
          </w:p>
        </w:tc>
        <w:tc>
          <w:tcPr>
            <w:tcW w:w="10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4,479</w:t>
            </w:r>
          </w:p>
        </w:tc>
        <w:tc>
          <w:tcPr>
            <w:tcW w:w="10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13 %</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4,268</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80" w:type="dxa"/>
            <w:vAlign w:val="bottom"/>
            <w:shd w:val="clear" w:color="auto" w:fill="CCEEFF"/>
          </w:tcPr>
          <w:p>
            <w:pPr>
              <w:spacing w:after="0"/>
              <w:rPr>
                <w:sz w:val="13"/>
                <w:szCs w:val="13"/>
                <w:color w:val="auto"/>
              </w:rPr>
            </w:pPr>
          </w:p>
        </w:tc>
      </w:tr>
      <w:tr>
        <w:trPr>
          <w:trHeight w:val="142"/>
        </w:trPr>
        <w:tc>
          <w:tcPr>
            <w:tcW w:w="4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Total fixed maturity available for sale securities</w:t>
            </w:r>
          </w:p>
        </w:tc>
        <w:tc>
          <w:tcPr>
            <w:tcW w:w="10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27,616</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80 %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25,499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81 %</w:t>
            </w:r>
          </w:p>
        </w:tc>
        <w:tc>
          <w:tcPr>
            <w:tcW w:w="80" w:type="dxa"/>
            <w:vAlign w:val="bottom"/>
          </w:tcPr>
          <w:p>
            <w:pPr>
              <w:spacing w:after="0"/>
              <w:rPr>
                <w:sz w:val="12"/>
                <w:szCs w:val="12"/>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Alternative investments: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120"/>
              <w:spacing w:after="0"/>
              <w:rPr>
                <w:sz w:val="20"/>
                <w:szCs w:val="20"/>
                <w:color w:val="auto"/>
              </w:rPr>
            </w:pPr>
            <w:r>
              <w:rPr>
                <w:rFonts w:ascii="Arial" w:cs="Arial" w:eastAsia="Arial" w:hAnsi="Arial"/>
                <w:sz w:val="12"/>
                <w:szCs w:val="12"/>
                <w:color w:val="auto"/>
              </w:rPr>
              <w:t>Private equity</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807</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614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Real assets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120"/>
              <w:spacing w:after="0"/>
              <w:rPr>
                <w:sz w:val="20"/>
                <w:szCs w:val="20"/>
                <w:color w:val="auto"/>
              </w:rPr>
            </w:pPr>
            <w:r>
              <w:rPr>
                <w:rFonts w:ascii="Arial" w:cs="Arial" w:eastAsia="Arial" w:hAnsi="Arial"/>
                <w:sz w:val="12"/>
                <w:szCs w:val="12"/>
                <w:color w:val="auto"/>
              </w:rPr>
              <w:t>Credit</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556</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 (a)</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1,058</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20"/>
              <w:spacing w:after="0"/>
              <w:rPr>
                <w:sz w:val="20"/>
                <w:szCs w:val="20"/>
                <w:color w:val="auto"/>
              </w:rPr>
            </w:pPr>
            <w:r>
              <w:rPr>
                <w:rFonts w:ascii="Arial" w:cs="Arial" w:eastAsia="Arial" w:hAnsi="Arial"/>
                <w:sz w:val="12"/>
                <w:szCs w:val="12"/>
                <w:color w:val="auto"/>
              </w:rPr>
              <w:t>Commercial mortgage loans</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1,614</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926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 loans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80" w:type="dxa"/>
            <w:vAlign w:val="bottom"/>
            <w:shd w:val="clear" w:color="auto" w:fill="CCEEFF"/>
          </w:tcPr>
          <w:p>
            <w:pPr>
              <w:spacing w:after="0"/>
              <w:rPr>
                <w:sz w:val="13"/>
                <w:szCs w:val="13"/>
                <w:color w:val="auto"/>
              </w:rPr>
            </w:pPr>
          </w:p>
        </w:tc>
      </w:tr>
      <w:tr>
        <w:trPr>
          <w:trHeight w:val="151"/>
        </w:trPr>
        <w:tc>
          <w:tcPr>
            <w:tcW w:w="4840" w:type="dxa"/>
            <w:vAlign w:val="bottom"/>
          </w:tcPr>
          <w:p>
            <w:pPr>
              <w:ind w:left="20"/>
              <w:spacing w:after="0"/>
              <w:rPr>
                <w:sz w:val="20"/>
                <w:szCs w:val="20"/>
                <w:color w:val="auto"/>
              </w:rPr>
            </w:pPr>
            <w:r>
              <w:rPr>
                <w:rFonts w:ascii="Arial" w:cs="Arial" w:eastAsia="Arial" w:hAnsi="Arial"/>
                <w:sz w:val="12"/>
                <w:szCs w:val="12"/>
                <w:color w:val="auto"/>
              </w:rPr>
              <w:t>Other (primarily derivatives and company owned life insurance)</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1,139</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997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4 %</w:t>
            </w:r>
          </w:p>
        </w:tc>
        <w:tc>
          <w:tcPr>
            <w:tcW w:w="80" w:type="dxa"/>
            <w:vAlign w:val="bottom"/>
          </w:tcPr>
          <w:p>
            <w:pPr>
              <w:spacing w:after="0"/>
              <w:rPr>
                <w:sz w:val="13"/>
                <w:szCs w:val="13"/>
                <w:color w:val="auto"/>
              </w:rPr>
            </w:pPr>
          </w:p>
        </w:tc>
      </w:tr>
      <w:tr>
        <w:trPr>
          <w:trHeight w:val="154"/>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Short term investments</w:t>
            </w:r>
          </w:p>
        </w:tc>
        <w:tc>
          <w:tcPr>
            <w:tcW w:w="10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w:t>
            </w:r>
          </w:p>
        </w:tc>
        <w:tc>
          <w:tcPr>
            <w:tcW w:w="10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456</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48"/>
        </w:trPr>
        <w:tc>
          <w:tcPr>
            <w:tcW w:w="4840" w:type="dxa"/>
            <w:vAlign w:val="bottom"/>
          </w:tcPr>
          <w:p>
            <w:pPr>
              <w:ind w:left="120"/>
              <w:spacing w:after="0"/>
              <w:rPr>
                <w:sz w:val="20"/>
                <w:szCs w:val="20"/>
                <w:color w:val="auto"/>
              </w:rPr>
            </w:pPr>
            <w:r>
              <w:rPr>
                <w:rFonts w:ascii="Arial" w:cs="Arial" w:eastAsia="Arial" w:hAnsi="Arial"/>
                <w:sz w:val="12"/>
                <w:szCs w:val="12"/>
                <w:b w:val="1"/>
                <w:bCs w:val="1"/>
                <w:color w:val="auto"/>
              </w:rPr>
              <w:t>Total investments</w:t>
            </w:r>
          </w:p>
        </w:tc>
        <w:tc>
          <w:tcPr>
            <w:tcW w:w="1040" w:type="dxa"/>
            <w:vAlign w:val="bottom"/>
            <w:tcBorders>
              <w:bottom w:val="single" w:sz="8" w:color="auto"/>
            </w:tcBorders>
          </w:tcPr>
          <w:p>
            <w:pPr>
              <w:jc w:val="right"/>
              <w:ind w:right="929"/>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34,630</w:t>
            </w:r>
          </w:p>
        </w:tc>
        <w:tc>
          <w:tcPr>
            <w:tcW w:w="1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31,204</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2"/>
                <w:szCs w:val="12"/>
                <w:color w:val="auto"/>
              </w:rPr>
            </w:pPr>
          </w:p>
        </w:tc>
      </w:tr>
      <w:tr>
        <w:trPr>
          <w:trHeight w:val="20"/>
        </w:trPr>
        <w:tc>
          <w:tcPr>
            <w:tcW w:w="4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(a) Includes investment grade non-redeemable preferred stocks ($766 million and $853 million, respectively).</w:t>
      </w:r>
    </w:p>
    <w:p>
      <w:pPr>
        <w:spacing w:after="0" w:line="174"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(i) 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As of June 30, 2021 and December 31, 2020, our fixed maturity available-for-sale ("AFS") securities portfolio was approximately $28 billion and $25 billion, respectively. The following table summarizes the credit quality, by NRSRO rating, of our fixed income portfolio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June 30, 2021</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820"/>
              <w:spacing w:after="0"/>
              <w:rPr>
                <w:sz w:val="20"/>
                <w:szCs w:val="20"/>
                <w:color w:val="auto"/>
              </w:rPr>
            </w:pPr>
            <w:r>
              <w:rPr>
                <w:rFonts w:ascii="Arial" w:cs="Arial" w:eastAsia="Arial" w:hAnsi="Arial"/>
                <w:sz w:val="12"/>
                <w:szCs w:val="12"/>
                <w:b w:val="1"/>
                <w:bCs w:val="1"/>
                <w:color w:val="auto"/>
                <w:w w:val="90"/>
              </w:rPr>
              <w:t>December 31, 2020</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Rating</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600"/>
              <w:spacing w:after="0"/>
              <w:rPr>
                <w:sz w:val="20"/>
                <w:szCs w:val="20"/>
                <w:color w:val="auto"/>
              </w:rPr>
            </w:pPr>
            <w:r>
              <w:rPr>
                <w:rFonts w:ascii="Arial" w:cs="Arial" w:eastAsia="Arial" w:hAnsi="Arial"/>
                <w:sz w:val="12"/>
                <w:szCs w:val="12"/>
                <w:b w:val="1"/>
                <w:bCs w:val="1"/>
                <w:color w:val="auto"/>
              </w:rPr>
              <w:t>Percent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3"/>
          </w:tcPr>
          <w:p>
            <w:pPr>
              <w:ind w:left="200"/>
              <w:spacing w:after="0"/>
              <w:rPr>
                <w:sz w:val="20"/>
                <w:szCs w:val="20"/>
                <w:color w:val="auto"/>
              </w:rPr>
            </w:pPr>
            <w:r>
              <w:rPr>
                <w:rFonts w:ascii="Arial" w:cs="Arial" w:eastAsia="Arial" w:hAnsi="Arial"/>
                <w:sz w:val="12"/>
                <w:szCs w:val="12"/>
                <w:b w:val="1"/>
                <w:bCs w:val="1"/>
                <w:color w:val="auto"/>
              </w:rPr>
              <w:t>Fair Value</w:t>
            </w:r>
          </w:p>
        </w:tc>
        <w:tc>
          <w:tcPr>
            <w:tcW w:w="1060" w:type="dxa"/>
            <w:vAlign w:val="bottom"/>
          </w:tcPr>
          <w:p>
            <w:pPr>
              <w:jc w:val="right"/>
              <w:ind w:right="541"/>
              <w:spacing w:after="0"/>
              <w:rPr>
                <w:sz w:val="20"/>
                <w:szCs w:val="20"/>
                <w:color w:val="auto"/>
              </w:rPr>
            </w:pPr>
            <w:r>
              <w:rPr>
                <w:rFonts w:ascii="Arial" w:cs="Arial" w:eastAsia="Arial" w:hAnsi="Arial"/>
                <w:sz w:val="12"/>
                <w:szCs w:val="12"/>
                <w:b w:val="1"/>
                <w:bCs w:val="1"/>
                <w:color w:val="auto"/>
                <w:w w:val="99"/>
              </w:rPr>
              <w:t>Percent</w:t>
            </w:r>
          </w:p>
        </w:tc>
        <w:tc>
          <w:tcPr>
            <w:tcW w:w="80" w:type="dxa"/>
            <w:vAlign w:val="bottom"/>
          </w:tcPr>
          <w:p>
            <w:pPr>
              <w:spacing w:after="0"/>
              <w:rPr>
                <w:sz w:val="13"/>
                <w:szCs w:val="13"/>
                <w:color w:val="auto"/>
              </w:rPr>
            </w:pPr>
          </w:p>
        </w:tc>
      </w:tr>
      <w:tr>
        <w:trPr>
          <w:trHeight w:val="147"/>
        </w:trPr>
        <w:tc>
          <w:tcPr>
            <w:tcW w:w="482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color w:val="auto"/>
              </w:rPr>
              <w:t>AAA</w:t>
            </w:r>
          </w:p>
        </w:tc>
        <w:tc>
          <w:tcPr>
            <w:tcW w:w="1040" w:type="dxa"/>
            <w:vAlign w:val="bottom"/>
            <w:tcBorders>
              <w:top w:val="single" w:sz="8" w:color="auto"/>
            </w:tcBorders>
            <w:shd w:val="clear" w:color="auto" w:fill="CCEEFF"/>
          </w:tcPr>
          <w:p>
            <w:pPr>
              <w:jc w:val="right"/>
              <w:ind w:right="901"/>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1,228</w:t>
            </w:r>
          </w:p>
        </w:tc>
        <w:tc>
          <w:tcPr>
            <w:tcW w:w="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488</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tcBorders>
              <w:top w:val="single" w:sz="8" w:color="CCEEFF"/>
            </w:tcBorders>
            <w:shd w:val="clear" w:color="auto" w:fill="CCEEFF"/>
          </w:tcPr>
          <w:p>
            <w:pPr>
              <w:spacing w:after="0"/>
              <w:rPr>
                <w:sz w:val="12"/>
                <w:szCs w:val="12"/>
                <w:color w:val="auto"/>
              </w:rPr>
            </w:pPr>
          </w:p>
        </w:tc>
      </w:tr>
      <w:tr>
        <w:trPr>
          <w:trHeight w:val="151"/>
        </w:trPr>
        <w:tc>
          <w:tcPr>
            <w:tcW w:w="4820" w:type="dxa"/>
            <w:vAlign w:val="bottom"/>
          </w:tcPr>
          <w:p>
            <w:pPr>
              <w:ind w:left="20"/>
              <w:spacing w:after="0"/>
              <w:rPr>
                <w:sz w:val="20"/>
                <w:szCs w:val="20"/>
                <w:color w:val="auto"/>
              </w:rPr>
            </w:pPr>
            <w:r>
              <w:rPr>
                <w:rFonts w:ascii="Arial" w:cs="Arial" w:eastAsia="Arial" w:hAnsi="Arial"/>
                <w:sz w:val="12"/>
                <w:szCs w:val="12"/>
                <w:color w:val="auto"/>
              </w:rPr>
              <w:t>AA</w:t>
            </w:r>
          </w:p>
        </w:tc>
        <w:tc>
          <w:tcPr>
            <w:tcW w:w="104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1,899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1,590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6 %</w:t>
            </w:r>
          </w:p>
        </w:tc>
        <w:tc>
          <w:tcPr>
            <w:tcW w:w="80" w:type="dxa"/>
            <w:vAlign w:val="bottom"/>
          </w:tcPr>
          <w:p>
            <w:pPr>
              <w:spacing w:after="0"/>
              <w:rPr>
                <w:sz w:val="13"/>
                <w:szCs w:val="13"/>
                <w:color w:val="auto"/>
              </w:rPr>
            </w:pPr>
          </w:p>
        </w:tc>
      </w:tr>
      <w:tr>
        <w:trPr>
          <w:trHeight w:val="157"/>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7,024</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28 %</w:t>
            </w:r>
          </w:p>
        </w:tc>
        <w:tc>
          <w:tcPr>
            <w:tcW w:w="80" w:type="dxa"/>
            <w:vAlign w:val="bottom"/>
            <w:shd w:val="clear" w:color="auto" w:fill="CCEEFF"/>
          </w:tcPr>
          <w:p>
            <w:pPr>
              <w:spacing w:after="0"/>
              <w:rPr>
                <w:sz w:val="13"/>
                <w:szCs w:val="13"/>
                <w:color w:val="auto"/>
              </w:rPr>
            </w:pPr>
          </w:p>
        </w:tc>
      </w:tr>
      <w:tr>
        <w:trPr>
          <w:trHeight w:val="151"/>
        </w:trPr>
        <w:tc>
          <w:tcPr>
            <w:tcW w:w="4820" w:type="dxa"/>
            <w:vAlign w:val="bottom"/>
          </w:tcPr>
          <w:p>
            <w:pPr>
              <w:ind w:left="20"/>
              <w:spacing w:after="0"/>
              <w:rPr>
                <w:sz w:val="20"/>
                <w:szCs w:val="20"/>
                <w:color w:val="auto"/>
              </w:rPr>
            </w:pPr>
            <w:r>
              <w:rPr>
                <w:rFonts w:ascii="Arial" w:cs="Arial" w:eastAsia="Arial" w:hAnsi="Arial"/>
                <w:sz w:val="12"/>
                <w:szCs w:val="12"/>
                <w:color w:val="auto"/>
              </w:rPr>
              <w:t>BBB</w:t>
            </w:r>
          </w:p>
        </w:tc>
        <w:tc>
          <w:tcPr>
            <w:tcW w:w="104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9,701</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35 %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9,669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38 %</w:t>
            </w:r>
          </w:p>
        </w:tc>
        <w:tc>
          <w:tcPr>
            <w:tcW w:w="80" w:type="dxa"/>
            <w:vAlign w:val="bottom"/>
          </w:tcPr>
          <w:p>
            <w:pPr>
              <w:spacing w:after="0"/>
              <w:rPr>
                <w:sz w:val="13"/>
                <w:szCs w:val="13"/>
                <w:color w:val="auto"/>
              </w:rPr>
            </w:pPr>
          </w:p>
        </w:tc>
      </w:tr>
      <w:tr>
        <w:trPr>
          <w:trHeight w:val="157"/>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 rated (b)</w:t>
            </w:r>
          </w:p>
        </w:tc>
        <w:tc>
          <w:tcPr>
            <w:tcW w:w="10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5,224</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4,336</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80" w:type="dxa"/>
            <w:vAlign w:val="bottom"/>
            <w:shd w:val="clear" w:color="auto" w:fill="CCEEFF"/>
          </w:tcPr>
          <w:p>
            <w:pPr>
              <w:spacing w:after="0"/>
              <w:rPr>
                <w:sz w:val="13"/>
                <w:szCs w:val="13"/>
                <w:color w:val="auto"/>
              </w:rPr>
            </w:pPr>
          </w:p>
        </w:tc>
      </w:tr>
      <w:tr>
        <w:trPr>
          <w:trHeight w:val="142"/>
        </w:trPr>
        <w:tc>
          <w:tcPr>
            <w:tcW w:w="48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2"/>
                <w:szCs w:val="12"/>
                <w:color w:val="auto"/>
              </w:rPr>
              <w:t>Total investment grade</w:t>
            </w: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7"/>
              </w:rPr>
              <w:t>25,076</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90 %</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23,123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91 %</w:t>
            </w:r>
          </w:p>
        </w:tc>
        <w:tc>
          <w:tcPr>
            <w:tcW w:w="80" w:type="dxa"/>
            <w:vAlign w:val="bottom"/>
            <w:tcBorders>
              <w:bottom w:val="single" w:sz="8" w:color="CCEEFF"/>
            </w:tcBorders>
          </w:tcPr>
          <w:p>
            <w:pPr>
              <w:spacing w:after="0"/>
              <w:rPr>
                <w:sz w:val="12"/>
                <w:szCs w:val="12"/>
                <w:color w:val="auto"/>
              </w:rPr>
            </w:pPr>
          </w:p>
        </w:tc>
      </w:tr>
      <w:tr>
        <w:trPr>
          <w:trHeight w:val="148"/>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BB</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1,519</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80" w:type="dxa"/>
            <w:vAlign w:val="bottom"/>
            <w:shd w:val="clear" w:color="auto" w:fill="CCEEFF"/>
          </w:tcPr>
          <w:p>
            <w:pPr>
              <w:spacing w:after="0"/>
              <w:rPr>
                <w:sz w:val="12"/>
                <w:szCs w:val="12"/>
                <w:color w:val="auto"/>
              </w:rPr>
            </w:pPr>
          </w:p>
        </w:tc>
      </w:tr>
      <w:tr>
        <w:trPr>
          <w:trHeight w:val="151"/>
        </w:trPr>
        <w:tc>
          <w:tcPr>
            <w:tcW w:w="4820" w:type="dxa"/>
            <w:vAlign w:val="bottom"/>
          </w:tcPr>
          <w:p>
            <w:pPr>
              <w:ind w:left="20"/>
              <w:spacing w:after="0"/>
              <w:rPr>
                <w:sz w:val="20"/>
                <w:szCs w:val="20"/>
                <w:color w:val="auto"/>
              </w:rPr>
            </w:pPr>
            <w:r>
              <w:rPr>
                <w:rFonts w:ascii="Arial" w:cs="Arial" w:eastAsia="Arial" w:hAnsi="Arial"/>
                <w:sz w:val="12"/>
                <w:szCs w:val="12"/>
                <w:color w:val="auto"/>
              </w:rPr>
              <w:t>B and below (a)</w:t>
            </w:r>
          </w:p>
        </w:tc>
        <w:tc>
          <w:tcPr>
            <w:tcW w:w="104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601</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612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7"/>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 rated (b)</w:t>
            </w:r>
          </w:p>
        </w:tc>
        <w:tc>
          <w:tcPr>
            <w:tcW w:w="10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420</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42"/>
        </w:trPr>
        <w:tc>
          <w:tcPr>
            <w:tcW w:w="48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2"/>
                <w:szCs w:val="12"/>
                <w:color w:val="auto"/>
              </w:rPr>
              <w:t>Total below investment grade</w:t>
            </w: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2,540</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10 %</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2,376</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9 %</w:t>
            </w:r>
          </w:p>
        </w:tc>
        <w:tc>
          <w:tcPr>
            <w:tcW w:w="80" w:type="dxa"/>
            <w:vAlign w:val="bottom"/>
            <w:tcBorders>
              <w:bottom w:val="single" w:sz="8" w:color="CCEEFF"/>
            </w:tcBorders>
          </w:tcPr>
          <w:p>
            <w:pPr>
              <w:spacing w:after="0"/>
              <w:rPr>
                <w:sz w:val="12"/>
                <w:szCs w:val="12"/>
                <w:color w:val="auto"/>
              </w:rPr>
            </w:pPr>
          </w:p>
        </w:tc>
      </w:tr>
      <w:tr>
        <w:trPr>
          <w:trHeight w:val="173"/>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w:t>
            </w:r>
          </w:p>
        </w:tc>
        <w:tc>
          <w:tcPr>
            <w:tcW w:w="104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27,616</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25,499</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61"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$93 million and $106 million at June 30, 2021 and December 31, 2020, respectively, of non-agency residential mortgage-backed securities ("RMBS") that carry a NAIC 1 designation.</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Securities denoted as not-rated by an NRSRO were classified as investment or non-investment grade according to the securities' respective NAIC designation.</w:t>
      </w:r>
    </w:p>
    <w:p>
      <w:pPr>
        <w:spacing w:after="0" w:line="174"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5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NAIC Designation</w:t>
            </w:r>
          </w:p>
        </w:tc>
        <w:tc>
          <w:tcPr>
            <w:tcW w:w="5580" w:type="dxa"/>
            <w:vAlign w:val="bottom"/>
          </w:tcPr>
          <w:p>
            <w:pPr>
              <w:jc w:val="center"/>
              <w:spacing w:after="0"/>
              <w:rPr>
                <w:sz w:val="20"/>
                <w:szCs w:val="20"/>
                <w:color w:val="auto"/>
              </w:rPr>
            </w:pPr>
            <w:r>
              <w:rPr>
                <w:rFonts w:ascii="Arial" w:cs="Arial" w:eastAsia="Arial" w:hAnsi="Arial"/>
                <w:sz w:val="12"/>
                <w:szCs w:val="12"/>
                <w:b w:val="1"/>
                <w:bCs w:val="1"/>
                <w:color w:val="auto"/>
                <w:w w:val="91"/>
              </w:rPr>
              <w:t>NRSRO Equivalent Rating</w:t>
            </w:r>
          </w:p>
        </w:tc>
      </w:tr>
      <w:tr>
        <w:trPr>
          <w:trHeight w:val="150"/>
        </w:trPr>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AAA/AA/A</w:t>
            </w:r>
          </w:p>
        </w:tc>
      </w:tr>
      <w:tr>
        <w:trPr>
          <w:trHeight w:val="151"/>
        </w:trPr>
        <w:tc>
          <w:tcPr>
            <w:tcW w:w="556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2"/>
                <w:szCs w:val="12"/>
                <w:color w:val="auto"/>
                <w:w w:val="99"/>
              </w:rPr>
              <w:t>BBB</w:t>
            </w:r>
          </w:p>
        </w:tc>
      </w:tr>
      <w:tr>
        <w:trPr>
          <w:trHeight w:val="157"/>
        </w:trPr>
        <w:tc>
          <w:tcPr>
            <w:tcW w:w="5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shd w:val="clear" w:color="auto" w:fill="CCEEFF"/>
          </w:tcPr>
          <w:p>
            <w:pPr>
              <w:spacing w:after="0"/>
              <w:rPr>
                <w:sz w:val="13"/>
                <w:szCs w:val="13"/>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BB</w:t>
            </w:r>
          </w:p>
        </w:tc>
      </w:tr>
      <w:tr>
        <w:trPr>
          <w:trHeight w:val="151"/>
        </w:trPr>
        <w:tc>
          <w:tcPr>
            <w:tcW w:w="556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2"/>
                <w:szCs w:val="12"/>
                <w:color w:val="auto"/>
                <w:w w:val="99"/>
              </w:rPr>
              <w:t>B</w:t>
            </w:r>
          </w:p>
        </w:tc>
      </w:tr>
      <w:tr>
        <w:trPr>
          <w:trHeight w:val="157"/>
        </w:trPr>
        <w:tc>
          <w:tcPr>
            <w:tcW w:w="5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shd w:val="clear" w:color="auto" w:fill="CCEEFF"/>
          </w:tcPr>
          <w:p>
            <w:pPr>
              <w:spacing w:after="0"/>
              <w:rPr>
                <w:sz w:val="13"/>
                <w:szCs w:val="13"/>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CCC and lower</w:t>
            </w:r>
          </w:p>
        </w:tc>
      </w:tr>
      <w:tr>
        <w:trPr>
          <w:trHeight w:val="148"/>
        </w:trPr>
        <w:tc>
          <w:tcPr>
            <w:tcW w:w="5560" w:type="dxa"/>
            <w:vAlign w:val="bottom"/>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tcPr>
          <w:p>
            <w:pPr>
              <w:spacing w:after="0"/>
              <w:rPr>
                <w:sz w:val="12"/>
                <w:szCs w:val="12"/>
                <w:color w:val="auto"/>
              </w:rPr>
            </w:pPr>
          </w:p>
        </w:tc>
        <w:tc>
          <w:tcPr>
            <w:tcW w:w="5580" w:type="dxa"/>
            <w:vAlign w:val="bottom"/>
          </w:tcPr>
          <w:p>
            <w:pPr>
              <w:jc w:val="center"/>
              <w:spacing w:after="0"/>
              <w:rPr>
                <w:sz w:val="20"/>
                <w:szCs w:val="20"/>
                <w:color w:val="auto"/>
              </w:rPr>
            </w:pPr>
            <w:r>
              <w:rPr>
                <w:rFonts w:ascii="Arial" w:cs="Arial" w:eastAsia="Arial" w:hAnsi="Arial"/>
                <w:sz w:val="12"/>
                <w:szCs w:val="12"/>
                <w:color w:val="auto"/>
                <w:w w:val="88"/>
              </w:rPr>
              <w:t>In or near default</w:t>
            </w:r>
          </w:p>
        </w:tc>
      </w:tr>
    </w:tbl>
    <w:p>
      <w:pPr>
        <w:spacing w:after="0" w:line="171" w:lineRule="exact"/>
        <w:rPr>
          <w:sz w:val="20"/>
          <w:szCs w:val="20"/>
          <w:color w:val="auto"/>
        </w:rPr>
      </w:pPr>
    </w:p>
    <w:p>
      <w:pPr>
        <w:jc w:val="both"/>
        <w:ind w:firstLine="330"/>
        <w:spacing w:after="0" w:line="290" w:lineRule="auto"/>
        <w:rPr>
          <w:sz w:val="20"/>
          <w:szCs w:val="20"/>
          <w:color w:val="auto"/>
        </w:rPr>
      </w:pPr>
      <w:r>
        <w:rPr>
          <w:rFonts w:ascii="Arial" w:cs="Arial" w:eastAsia="Arial" w:hAnsi="Arial"/>
          <w:sz w:val="13"/>
          <w:szCs w:val="13"/>
          <w:color w:val="auto"/>
        </w:rPr>
        <w:t>The NAIC has adopted revised designation methodologies for non-agency RMBS, including RMBS backed by subprime mortgage loans and for commercial mortgage-backed securities ("CMBS"). The NAIC’s objective with the revised designation methodologies for these structured securities was to increase accuracy in assessing expected losses and to use the improved assessment to determine a more appropriate capital requirement for such structured securities. The NAIC designations for structured securities, including subprime and Alternative A-paper ("Alt-A") RMBS, are based upon a comparison of the bond’s amortized cost to the NAIC’s loss expectation for each security. Securities where modeling does not generate an expected loss in all scenarios are given the highest designation of NAIC 1. A number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revised NAIC rating methodologies described above (which in some cases do not correspond to rating agency designations). All NAIC designations (e.g., NAIC 1-6) are based on the revised NAIC methodologies.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table below presents our fixed maturity securities by NAIC designation as of June 30, 2021 and December 31, 2020 (dollars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b w:val="1"/>
                <w:bCs w:val="1"/>
                <w:color w:val="auto"/>
              </w:rPr>
              <w:t>June 30, 2021</w:t>
            </w:r>
          </w:p>
        </w:tc>
        <w:tc>
          <w:tcPr>
            <w:tcW w:w="2700" w:type="dxa"/>
            <w:vAlign w:val="bottom"/>
            <w:tcBorders>
              <w:bottom w:val="single" w:sz="8" w:color="auto"/>
            </w:tcBorders>
          </w:tcPr>
          <w:p>
            <w:pPr>
              <w:spacing w:after="0"/>
              <w:rPr>
                <w:sz w:val="13"/>
                <w:szCs w:val="13"/>
                <w:color w:val="auto"/>
              </w:rPr>
            </w:pPr>
          </w:p>
        </w:tc>
      </w:tr>
      <w:tr>
        <w:trPr>
          <w:trHeight w:val="152"/>
        </w:trPr>
        <w:tc>
          <w:tcPr>
            <w:tcW w:w="3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NAIC Designation</w:t>
            </w:r>
          </w:p>
        </w:tc>
        <w:tc>
          <w:tcPr>
            <w:tcW w:w="480" w:type="dxa"/>
            <w:vAlign w:val="bottom"/>
          </w:tcPr>
          <w:p>
            <w:pPr>
              <w:spacing w:after="0"/>
              <w:rPr>
                <w:sz w:val="13"/>
                <w:szCs w:val="13"/>
                <w:color w:val="auto"/>
              </w:rPr>
            </w:pPr>
          </w:p>
        </w:tc>
        <w:tc>
          <w:tcPr>
            <w:tcW w:w="224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Amortized Cost</w:t>
            </w:r>
          </w:p>
        </w:tc>
        <w:tc>
          <w:tcPr>
            <w:tcW w:w="540" w:type="dxa"/>
            <w:vAlign w:val="bottom"/>
          </w:tcPr>
          <w:p>
            <w:pPr>
              <w:spacing w:after="0"/>
              <w:rPr>
                <w:sz w:val="13"/>
                <w:szCs w:val="13"/>
                <w:color w:val="auto"/>
              </w:rPr>
            </w:pPr>
          </w:p>
        </w:tc>
        <w:tc>
          <w:tcPr>
            <w:tcW w:w="2160" w:type="dxa"/>
            <w:vAlign w:val="bottom"/>
            <w:gridSpan w:val="2"/>
          </w:tcPr>
          <w:p>
            <w:pPr>
              <w:ind w:left="480"/>
              <w:spacing w:after="0"/>
              <w:rPr>
                <w:sz w:val="20"/>
                <w:szCs w:val="20"/>
                <w:color w:val="auto"/>
              </w:rPr>
            </w:pPr>
            <w:r>
              <w:rPr>
                <w:rFonts w:ascii="Arial" w:cs="Arial" w:eastAsia="Arial" w:hAnsi="Arial"/>
                <w:sz w:val="12"/>
                <w:szCs w:val="12"/>
                <w:b w:val="1"/>
                <w:bCs w:val="1"/>
                <w:color w:val="auto"/>
              </w:rPr>
              <w:t>Fair Value</w:t>
            </w:r>
          </w:p>
        </w:tc>
        <w:tc>
          <w:tcPr>
            <w:tcW w:w="2700" w:type="dxa"/>
            <w:vAlign w:val="bottom"/>
          </w:tcPr>
          <w:p>
            <w:pPr>
              <w:jc w:val="right"/>
              <w:ind w:right="621"/>
              <w:spacing w:after="0"/>
              <w:rPr>
                <w:sz w:val="20"/>
                <w:szCs w:val="20"/>
                <w:color w:val="auto"/>
              </w:rPr>
            </w:pPr>
            <w:r>
              <w:rPr>
                <w:rFonts w:ascii="Arial" w:cs="Arial" w:eastAsia="Arial" w:hAnsi="Arial"/>
                <w:sz w:val="12"/>
                <w:szCs w:val="12"/>
                <w:b w:val="1"/>
                <w:bCs w:val="1"/>
                <w:color w:val="auto"/>
              </w:rPr>
              <w:t>Percent of Total Fair Value</w:t>
            </w:r>
          </w:p>
        </w:tc>
      </w:tr>
      <w:tr>
        <w:trPr>
          <w:trHeight w:val="147"/>
        </w:trPr>
        <w:tc>
          <w:tcPr>
            <w:tcW w:w="3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13,672</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9"/>
                <w:szCs w:val="9"/>
                <w:color w:val="auto"/>
                <w:w w:val="7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14,152</w:t>
            </w:r>
          </w:p>
        </w:tc>
        <w:tc>
          <w:tcPr>
            <w:tcW w:w="120" w:type="dxa"/>
            <w:vAlign w:val="bottom"/>
            <w:tcBorders>
              <w:top w:val="single" w:sz="8" w:color="CCEEFF"/>
            </w:tcBorders>
            <w:shd w:val="clear" w:color="auto" w:fill="CCEEFF"/>
          </w:tcPr>
          <w:p>
            <w:pPr>
              <w:spacing w:after="0"/>
              <w:rPr>
                <w:sz w:val="12"/>
                <w:szCs w:val="12"/>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51 %</w:t>
            </w:r>
          </w:p>
        </w:tc>
      </w:tr>
      <w:tr>
        <w:trPr>
          <w:trHeight w:val="151"/>
        </w:trPr>
        <w:tc>
          <w:tcPr>
            <w:tcW w:w="302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2"/>
                <w:szCs w:val="12"/>
                <w:color w:val="auto"/>
              </w:rPr>
              <w:t>10,002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2"/>
                <w:szCs w:val="12"/>
                <w:color w:val="auto"/>
              </w:rPr>
              <w:t>10,823</w:t>
            </w:r>
          </w:p>
        </w:tc>
        <w:tc>
          <w:tcPr>
            <w:tcW w:w="12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39 %</w:t>
            </w:r>
          </w:p>
        </w:tc>
      </w:tr>
      <w:tr>
        <w:trPr>
          <w:trHeight w:val="157"/>
        </w:trPr>
        <w:tc>
          <w:tcPr>
            <w:tcW w:w="3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1,740</w:t>
            </w:r>
          </w:p>
        </w:tc>
        <w:tc>
          <w:tcPr>
            <w:tcW w:w="1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51"/>
        </w:trPr>
        <w:tc>
          <w:tcPr>
            <w:tcW w:w="302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2"/>
                <w:szCs w:val="12"/>
                <w:color w:val="auto"/>
              </w:rPr>
              <w:t>613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2"/>
                <w:szCs w:val="12"/>
                <w:color w:val="auto"/>
              </w:rPr>
              <w:t>713</w:t>
            </w:r>
          </w:p>
        </w:tc>
        <w:tc>
          <w:tcPr>
            <w:tcW w:w="12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7"/>
        </w:trPr>
        <w:tc>
          <w:tcPr>
            <w:tcW w:w="3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51"/>
        </w:trPr>
        <w:tc>
          <w:tcPr>
            <w:tcW w:w="302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6</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tcPr>
          <w:p>
            <w:pPr>
              <w:spacing w:after="0"/>
              <w:rPr>
                <w:sz w:val="13"/>
                <w:szCs w:val="13"/>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17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48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25,948</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9"/>
                <w:szCs w:val="9"/>
                <w:color w:val="auto"/>
                <w:w w:val="7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27,616</w:t>
            </w:r>
          </w:p>
        </w:tc>
        <w:tc>
          <w:tcPr>
            <w:tcW w:w="12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December 31, 2020</w:t>
            </w:r>
          </w:p>
        </w:tc>
        <w:tc>
          <w:tcPr>
            <w:tcW w:w="2700" w:type="dxa"/>
            <w:vAlign w:val="bottom"/>
            <w:tcBorders>
              <w:bottom w:val="single" w:sz="8" w:color="auto"/>
            </w:tcBorders>
          </w:tcPr>
          <w:p>
            <w:pPr>
              <w:spacing w:after="0"/>
              <w:rPr>
                <w:sz w:val="13"/>
                <w:szCs w:val="13"/>
                <w:color w:val="auto"/>
              </w:rPr>
            </w:pPr>
          </w:p>
        </w:tc>
      </w:tr>
      <w:tr>
        <w:trPr>
          <w:trHeight w:val="152"/>
        </w:trPr>
        <w:tc>
          <w:tcPr>
            <w:tcW w:w="3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NAIC Designation</w:t>
            </w:r>
          </w:p>
        </w:tc>
        <w:tc>
          <w:tcPr>
            <w:tcW w:w="480" w:type="dxa"/>
            <w:vAlign w:val="bottom"/>
          </w:tcPr>
          <w:p>
            <w:pPr>
              <w:spacing w:after="0"/>
              <w:rPr>
                <w:sz w:val="13"/>
                <w:szCs w:val="13"/>
                <w:color w:val="auto"/>
              </w:rPr>
            </w:pPr>
          </w:p>
        </w:tc>
        <w:tc>
          <w:tcPr>
            <w:tcW w:w="224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13"/>
                <w:szCs w:val="13"/>
                <w:color w:val="auto"/>
              </w:rPr>
            </w:pPr>
          </w:p>
        </w:tc>
        <w:tc>
          <w:tcPr>
            <w:tcW w:w="2240" w:type="dxa"/>
            <w:vAlign w:val="bottom"/>
            <w:gridSpan w:val="2"/>
          </w:tcPr>
          <w:p>
            <w:pPr>
              <w:ind w:left="560"/>
              <w:spacing w:after="0"/>
              <w:rPr>
                <w:sz w:val="20"/>
                <w:szCs w:val="20"/>
                <w:color w:val="auto"/>
              </w:rPr>
            </w:pPr>
            <w:r>
              <w:rPr>
                <w:rFonts w:ascii="Arial" w:cs="Arial" w:eastAsia="Arial" w:hAnsi="Arial"/>
                <w:sz w:val="12"/>
                <w:szCs w:val="12"/>
                <w:b w:val="1"/>
                <w:bCs w:val="1"/>
                <w:color w:val="auto"/>
              </w:rPr>
              <w:t>Fair Value</w:t>
            </w:r>
          </w:p>
        </w:tc>
        <w:tc>
          <w:tcPr>
            <w:tcW w:w="2700" w:type="dxa"/>
            <w:vAlign w:val="bottom"/>
          </w:tcPr>
          <w:p>
            <w:pPr>
              <w:jc w:val="right"/>
              <w:ind w:right="621"/>
              <w:spacing w:after="0"/>
              <w:rPr>
                <w:sz w:val="20"/>
                <w:szCs w:val="20"/>
                <w:color w:val="auto"/>
              </w:rPr>
            </w:pPr>
            <w:r>
              <w:rPr>
                <w:rFonts w:ascii="Arial" w:cs="Arial" w:eastAsia="Arial" w:hAnsi="Arial"/>
                <w:sz w:val="12"/>
                <w:szCs w:val="12"/>
                <w:b w:val="1"/>
                <w:bCs w:val="1"/>
                <w:color w:val="auto"/>
              </w:rPr>
              <w:t>Percent of Total Fair Value</w:t>
            </w:r>
          </w:p>
        </w:tc>
      </w:tr>
      <w:tr>
        <w:trPr>
          <w:trHeight w:val="147"/>
        </w:trPr>
        <w:tc>
          <w:tcPr>
            <w:tcW w:w="3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11,696</w:t>
            </w: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9"/>
                <w:szCs w:val="9"/>
                <w:color w:val="auto"/>
                <w:w w:val="7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12,370</w:t>
            </w:r>
          </w:p>
        </w:tc>
        <w:tc>
          <w:tcPr>
            <w:tcW w:w="120" w:type="dxa"/>
            <w:vAlign w:val="bottom"/>
            <w:tcBorders>
              <w:top w:val="single" w:sz="8" w:color="CCEEFF"/>
            </w:tcBorders>
            <w:shd w:val="clear" w:color="auto" w:fill="CCEEFF"/>
          </w:tcPr>
          <w:p>
            <w:pPr>
              <w:spacing w:after="0"/>
              <w:rPr>
                <w:sz w:val="12"/>
                <w:szCs w:val="12"/>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49 %</w:t>
            </w:r>
          </w:p>
        </w:tc>
      </w:tr>
      <w:tr>
        <w:trPr>
          <w:trHeight w:val="151"/>
        </w:trPr>
        <w:tc>
          <w:tcPr>
            <w:tcW w:w="302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2"/>
                <w:szCs w:val="12"/>
                <w:color w:val="auto"/>
              </w:rPr>
              <w:t>9,753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2"/>
                <w:szCs w:val="12"/>
                <w:color w:val="auto"/>
              </w:rPr>
              <w:t>10,659</w:t>
            </w:r>
          </w:p>
        </w:tc>
        <w:tc>
          <w:tcPr>
            <w:tcW w:w="12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42 %</w:t>
            </w:r>
          </w:p>
        </w:tc>
      </w:tr>
      <w:tr>
        <w:trPr>
          <w:trHeight w:val="157"/>
        </w:trPr>
        <w:tc>
          <w:tcPr>
            <w:tcW w:w="3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1,595</w:t>
            </w:r>
          </w:p>
        </w:tc>
        <w:tc>
          <w:tcPr>
            <w:tcW w:w="1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51"/>
        </w:trPr>
        <w:tc>
          <w:tcPr>
            <w:tcW w:w="302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2"/>
                <w:szCs w:val="12"/>
                <w:color w:val="auto"/>
              </w:rPr>
              <w:t>616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2"/>
                <w:szCs w:val="12"/>
                <w:color w:val="auto"/>
              </w:rPr>
              <w:t>700</w:t>
            </w:r>
          </w:p>
        </w:tc>
        <w:tc>
          <w:tcPr>
            <w:tcW w:w="120" w:type="dxa"/>
            <w:vAlign w:val="bottom"/>
          </w:tcPr>
          <w:p>
            <w:pPr>
              <w:spacing w:after="0"/>
              <w:rPr>
                <w:sz w:val="13"/>
                <w:szCs w:val="13"/>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7"/>
        </w:trPr>
        <w:tc>
          <w:tcPr>
            <w:tcW w:w="3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1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1"/>
        </w:trPr>
        <w:tc>
          <w:tcPr>
            <w:tcW w:w="302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6</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3"/>
                <w:szCs w:val="13"/>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17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48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23,601</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9"/>
                <w:szCs w:val="9"/>
                <w:color w:val="auto"/>
                <w:w w:val="7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25,499</w:t>
            </w:r>
          </w:p>
        </w:tc>
        <w:tc>
          <w:tcPr>
            <w:tcW w:w="12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9" w:name="page80"/>
    <w:bookmarkEnd w:id="7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Industry Concentration</w:t>
      </w:r>
    </w:p>
    <w:p>
      <w:pPr>
        <w:spacing w:after="0" w:line="183" w:lineRule="exact"/>
        <w:rPr>
          <w:sz w:val="20"/>
          <w:szCs w:val="20"/>
          <w:color w:val="auto"/>
        </w:rPr>
      </w:pPr>
    </w:p>
    <w:p>
      <w:pPr>
        <w:ind w:firstLine="330"/>
        <w:spacing w:after="0" w:line="264" w:lineRule="auto"/>
        <w:rPr>
          <w:sz w:val="20"/>
          <w:szCs w:val="20"/>
          <w:color w:val="auto"/>
        </w:rPr>
      </w:pPr>
      <w:r>
        <w:rPr>
          <w:rFonts w:ascii="Arial" w:cs="Arial" w:eastAsia="Arial" w:hAnsi="Arial"/>
          <w:sz w:val="15"/>
          <w:szCs w:val="15"/>
          <w:color w:val="auto"/>
        </w:rPr>
        <w:t>The tables below present the top ten industry categories of our fixed maturity and equity securities and FHLB common stock, including the fair value and percent of total fixed maturity and equity securities and FHLB common stock fair value as of June 30, 2021 and December 31, 2020 (dollars in millions):</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508571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85715" cy="69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CLO securities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ABS Other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Banking</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Whole loan collateralized mortgage obligation ("CMO")</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Life insurance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Electric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Municipal</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Technology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CMBS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Healthcare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508571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85715" cy="6985"/>
                    </a:xfrm>
                    <a:prstGeom prst="rect">
                      <a:avLst/>
                    </a:prstGeom>
                    <a:noFill/>
                  </pic:spPr>
                </pic:pic>
              </a:graphicData>
            </a:graphic>
          </wp:anchor>
        </w:drawing>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Top 10 Industry Concentration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ABS collateralized loan obligation ("CLO")</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Banking</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Whole loan collateralized mortgage obligation ("CMO")</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ABS other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Life insurance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Electric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Municipal</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CMBS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Technology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Healthcare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June 30,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Fair Value</w:t>
            </w:r>
          </w:p>
        </w:tc>
        <w:tc>
          <w:tcPr>
            <w:tcW w:w="16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6"/>
              </w:rPr>
              <w:t>Percent of Total Fair Value</w:t>
            </w:r>
          </w:p>
        </w:tc>
      </w:tr>
      <w:tr>
        <w:trPr>
          <w:trHeight w:val="141"/>
        </w:trPr>
        <w:tc>
          <w:tcPr>
            <w:tcW w:w="280" w:type="dxa"/>
            <w:vAlign w:val="bottom"/>
            <w:tcBorders>
              <w:top w:val="single" w:sz="8" w:color="auto"/>
            </w:tcBorders>
          </w:tcPr>
          <w:p>
            <w:pPr>
              <w:jc w:val="right"/>
              <w:ind w:right="141"/>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4,479</w:t>
            </w:r>
          </w:p>
        </w:tc>
        <w:tc>
          <w:tcPr>
            <w:tcW w:w="8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16 %</w:t>
            </w:r>
          </w:p>
        </w:tc>
      </w:tr>
      <w:tr>
        <w:trPr>
          <w:trHeight w:val="149"/>
        </w:trPr>
        <w:tc>
          <w:tcPr>
            <w:tcW w:w="280" w:type="dxa"/>
            <w:vAlign w:val="bottom"/>
          </w:tcPr>
          <w:p>
            <w:pPr>
              <w:spacing w:after="0"/>
              <w:rPr>
                <w:sz w:val="12"/>
                <w:szCs w:val="12"/>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2,811</w:t>
            </w:r>
          </w:p>
        </w:tc>
        <w:tc>
          <w:tcPr>
            <w:tcW w:w="8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10 %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2,543</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2,515</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1,732</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1,515</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1,372</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809</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792</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9"/>
        </w:trPr>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774</w:t>
            </w:r>
          </w:p>
        </w:tc>
        <w:tc>
          <w:tcPr>
            <w:tcW w:w="80" w:type="dxa"/>
            <w:vAlign w:val="bottom"/>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3 %</w:t>
            </w:r>
          </w:p>
        </w:tc>
      </w:tr>
      <w:tr>
        <w:trPr>
          <w:trHeight w:val="147"/>
        </w:trPr>
        <w:tc>
          <w:tcPr>
            <w:tcW w:w="28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19,342</w:t>
            </w:r>
          </w:p>
        </w:tc>
        <w:tc>
          <w:tcPr>
            <w:tcW w:w="8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67 %</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-913130</wp:posOffset>
            </wp:positionV>
            <wp:extent cx="7157720" cy="977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-718185</wp:posOffset>
            </wp:positionV>
            <wp:extent cx="7157720" cy="977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-522605</wp:posOffset>
            </wp:positionV>
            <wp:extent cx="7157720" cy="97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-327025</wp:posOffset>
            </wp:positionV>
            <wp:extent cx="7157720" cy="977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-132080</wp:posOffset>
            </wp:positionV>
            <wp:extent cx="7157720" cy="118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11874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-1115695</wp:posOffset>
            </wp:positionV>
            <wp:extent cx="7157720" cy="1047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104775"/>
                    </a:xfrm>
                    <a:prstGeom prst="rect">
                      <a:avLst/>
                    </a:prstGeom>
                    <a:noFill/>
                  </pic:spPr>
                </pic:pic>
              </a:graphicData>
            </a:graphic>
          </wp:anchor>
        </w:drawing>
      </w:r>
    </w:p>
    <w:p>
      <w:pPr>
        <w:spacing w:after="0" w:line="127"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December 31, 2020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Fair Value</w:t>
            </w:r>
          </w:p>
        </w:tc>
        <w:tc>
          <w:tcPr>
            <w:tcW w:w="16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6"/>
              </w:rPr>
              <w:t>Percent of Total Fair Value</w:t>
            </w:r>
          </w:p>
        </w:tc>
      </w:tr>
      <w:tr>
        <w:trPr>
          <w:trHeight w:val="141"/>
        </w:trPr>
        <w:tc>
          <w:tcPr>
            <w:tcW w:w="280" w:type="dxa"/>
            <w:vAlign w:val="bottom"/>
            <w:tcBorders>
              <w:top w:val="single" w:sz="8" w:color="auto"/>
            </w:tcBorders>
          </w:tcPr>
          <w:p>
            <w:pPr>
              <w:jc w:val="right"/>
              <w:ind w:right="141"/>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4,268</w:t>
            </w:r>
          </w:p>
        </w:tc>
        <w:tc>
          <w:tcPr>
            <w:tcW w:w="8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16 %</w:t>
            </w:r>
          </w:p>
        </w:tc>
      </w:tr>
      <w:tr>
        <w:trPr>
          <w:trHeight w:val="149"/>
        </w:trPr>
        <w:tc>
          <w:tcPr>
            <w:tcW w:w="280" w:type="dxa"/>
            <w:vAlign w:val="bottom"/>
          </w:tcPr>
          <w:p>
            <w:pPr>
              <w:spacing w:after="0"/>
              <w:rPr>
                <w:sz w:val="12"/>
                <w:szCs w:val="12"/>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2,592</w:t>
            </w:r>
          </w:p>
        </w:tc>
        <w:tc>
          <w:tcPr>
            <w:tcW w:w="8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10 %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2,343</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1,873</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7 %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1,657</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1,548</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1,308</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795</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4"/>
        </w:trPr>
        <w:tc>
          <w:tcPr>
            <w:tcW w:w="2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784</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59"/>
        </w:trPr>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658</w:t>
            </w:r>
          </w:p>
        </w:tc>
        <w:tc>
          <w:tcPr>
            <w:tcW w:w="80" w:type="dxa"/>
            <w:vAlign w:val="bottom"/>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2 %</w:t>
            </w:r>
          </w:p>
        </w:tc>
      </w:tr>
      <w:tr>
        <w:trPr>
          <w:trHeight w:val="147"/>
        </w:trPr>
        <w:tc>
          <w:tcPr>
            <w:tcW w:w="28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17,826</w:t>
            </w:r>
          </w:p>
        </w:tc>
        <w:tc>
          <w:tcPr>
            <w:tcW w:w="8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67 %</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-913130</wp:posOffset>
            </wp:positionV>
            <wp:extent cx="7157720" cy="97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-718185</wp:posOffset>
            </wp:positionV>
            <wp:extent cx="7157720" cy="97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-522605</wp:posOffset>
            </wp:positionV>
            <wp:extent cx="7157720" cy="977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-327025</wp:posOffset>
            </wp:positionV>
            <wp:extent cx="7157720" cy="977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977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-132080</wp:posOffset>
            </wp:positionV>
            <wp:extent cx="7157720" cy="118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11874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-1115695</wp:posOffset>
            </wp:positionV>
            <wp:extent cx="7157720" cy="104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104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180"/>
          </w:cols>
          <w:pgMar w:left="300" w:top="129" w:right="319" w:bottom="1440" w:gutter="0" w:footer="0" w:header="0"/>
          <w:type w:val="continuous"/>
        </w:sectPr>
      </w:pPr>
    </w:p>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The amortized cost and fair value of fixed maturity AFS securities by contractual maturities as of June 30, 2021 and December 31, 2020, are shown below. Actual maturities may differ from contractual maturities because issuers may have the right to call or prepay obligations.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0" w:name="page81"/>
    <w:bookmarkEnd w:id="8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2"/>
                <w:szCs w:val="12"/>
                <w:b w:val="1"/>
                <w:bCs w:val="1"/>
                <w:color w:val="auto"/>
              </w:rPr>
              <w:t>June 30, 2021</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2020</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92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22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Amortized Cost</w:t>
            </w:r>
          </w:p>
        </w:tc>
        <w:tc>
          <w:tcPr>
            <w:tcW w:w="400" w:type="dxa"/>
            <w:vAlign w:val="bottom"/>
          </w:tcPr>
          <w:p>
            <w:pPr>
              <w:spacing w:after="0"/>
              <w:rPr>
                <w:sz w:val="13"/>
                <w:szCs w:val="13"/>
                <w:color w:val="auto"/>
              </w:rPr>
            </w:pPr>
          </w:p>
        </w:tc>
        <w:tc>
          <w:tcPr>
            <w:tcW w:w="1100" w:type="dxa"/>
            <w:vAlign w:val="bottom"/>
          </w:tcPr>
          <w:p>
            <w:pPr>
              <w:jc w:val="right"/>
              <w:ind w:right="421"/>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13"/>
                <w:szCs w:val="13"/>
                <w:color w:val="auto"/>
              </w:rPr>
            </w:pPr>
          </w:p>
        </w:tc>
        <w:tc>
          <w:tcPr>
            <w:tcW w:w="1060" w:type="dxa"/>
            <w:vAlign w:val="bottom"/>
          </w:tcPr>
          <w:p>
            <w:pPr>
              <w:jc w:val="right"/>
              <w:ind w:right="441"/>
              <w:spacing w:after="0"/>
              <w:rPr>
                <w:sz w:val="20"/>
                <w:szCs w:val="20"/>
                <w:color w:val="auto"/>
              </w:rPr>
            </w:pPr>
            <w:r>
              <w:rPr>
                <w:rFonts w:ascii="Arial" w:cs="Arial" w:eastAsia="Arial" w:hAnsi="Arial"/>
                <w:sz w:val="12"/>
                <w:szCs w:val="12"/>
                <w:b w:val="1"/>
                <w:bCs w:val="1"/>
                <w:color w:val="auto"/>
                <w:w w:val="94"/>
              </w:rPr>
              <w:t>Fair Value</w:t>
            </w:r>
          </w:p>
        </w:tc>
        <w:tc>
          <w:tcPr>
            <w:tcW w:w="80" w:type="dxa"/>
            <w:vAlign w:val="bottom"/>
          </w:tcPr>
          <w:p>
            <w:pPr>
              <w:spacing w:after="0"/>
              <w:rPr>
                <w:sz w:val="13"/>
                <w:szCs w:val="13"/>
                <w:color w:val="auto"/>
              </w:rPr>
            </w:pPr>
          </w:p>
        </w:tc>
      </w:tr>
      <w:tr>
        <w:trPr>
          <w:trHeight w:val="136"/>
        </w:trPr>
        <w:tc>
          <w:tcPr>
            <w:tcW w:w="492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Corporate, Non-structured Hybrids, Municipal and Government securities:</w:t>
            </w:r>
          </w:p>
        </w:tc>
        <w:tc>
          <w:tcPr>
            <w:tcW w:w="2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1"/>
        </w:trPr>
        <w:tc>
          <w:tcPr>
            <w:tcW w:w="4920" w:type="dxa"/>
            <w:vAlign w:val="bottom"/>
          </w:tcPr>
          <w:p>
            <w:pPr>
              <w:ind w:left="20"/>
              <w:spacing w:after="0"/>
              <w:rPr>
                <w:sz w:val="20"/>
                <w:szCs w:val="20"/>
                <w:color w:val="auto"/>
              </w:rPr>
            </w:pPr>
            <w:r>
              <w:rPr>
                <w:rFonts w:ascii="Arial" w:cs="Arial" w:eastAsia="Arial" w:hAnsi="Arial"/>
                <w:sz w:val="12"/>
                <w:szCs w:val="12"/>
                <w:color w:val="auto"/>
              </w:rPr>
              <w:t>Due in one year or less</w:t>
            </w: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154</w:t>
            </w:r>
          </w:p>
        </w:tc>
        <w:tc>
          <w:tcPr>
            <w:tcW w:w="80" w:type="dxa"/>
            <w:vAlign w:val="bottom"/>
          </w:tcPr>
          <w:p>
            <w:pPr>
              <w:spacing w:after="0"/>
              <w:rPr>
                <w:sz w:val="13"/>
                <w:szCs w:val="13"/>
                <w:color w:val="auto"/>
              </w:rPr>
            </w:pPr>
          </w:p>
        </w:tc>
        <w:tc>
          <w:tcPr>
            <w:tcW w:w="400" w:type="dxa"/>
            <w:vAlign w:val="bottom"/>
          </w:tcPr>
          <w:p>
            <w:pPr>
              <w:jc w:val="right"/>
              <w:ind w:right="261"/>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111</w:t>
            </w:r>
          </w:p>
        </w:tc>
        <w:tc>
          <w:tcPr>
            <w:tcW w:w="80" w:type="dxa"/>
            <w:vAlign w:val="bottom"/>
          </w:tcPr>
          <w:p>
            <w:pPr>
              <w:spacing w:after="0"/>
              <w:rPr>
                <w:sz w:val="13"/>
                <w:szCs w:val="13"/>
                <w:color w:val="auto"/>
              </w:rPr>
            </w:pPr>
          </w:p>
        </w:tc>
        <w:tc>
          <w:tcPr>
            <w:tcW w:w="460" w:type="dxa"/>
            <w:vAlign w:val="bottom"/>
          </w:tcPr>
          <w:p>
            <w:pPr>
              <w:jc w:val="right"/>
              <w:ind w:right="32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r>
      <w:tr>
        <w:trPr>
          <w:trHeight w:val="157"/>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Due after one year through five years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1,657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1,107</w:t>
            </w:r>
          </w:p>
        </w:tc>
        <w:tc>
          <w:tcPr>
            <w:tcW w:w="80" w:type="dxa"/>
            <w:vAlign w:val="bottom"/>
            <w:shd w:val="clear" w:color="auto" w:fill="CCEEFF"/>
          </w:tcPr>
          <w:p>
            <w:pPr>
              <w:spacing w:after="0"/>
              <w:rPr>
                <w:sz w:val="13"/>
                <w:szCs w:val="13"/>
                <w:color w:val="auto"/>
              </w:rPr>
            </w:pPr>
          </w:p>
        </w:tc>
      </w:tr>
      <w:tr>
        <w:trPr>
          <w:trHeight w:val="151"/>
        </w:trPr>
        <w:tc>
          <w:tcPr>
            <w:tcW w:w="4920" w:type="dxa"/>
            <w:vAlign w:val="bottom"/>
          </w:tcPr>
          <w:p>
            <w:pPr>
              <w:ind w:left="20"/>
              <w:spacing w:after="0"/>
              <w:rPr>
                <w:sz w:val="20"/>
                <w:szCs w:val="20"/>
                <w:color w:val="auto"/>
              </w:rPr>
            </w:pPr>
            <w:r>
              <w:rPr>
                <w:rFonts w:ascii="Arial" w:cs="Arial" w:eastAsia="Arial" w:hAnsi="Arial"/>
                <w:sz w:val="12"/>
                <w:szCs w:val="12"/>
                <w:color w:val="auto"/>
              </w:rPr>
              <w:t>Due after five years through ten years</w:t>
            </w:r>
          </w:p>
        </w:tc>
        <w:tc>
          <w:tcPr>
            <w:tcW w:w="22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1,876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1,808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1,918</w:t>
            </w:r>
          </w:p>
        </w:tc>
        <w:tc>
          <w:tcPr>
            <w:tcW w:w="80" w:type="dxa"/>
            <w:vAlign w:val="bottom"/>
          </w:tcPr>
          <w:p>
            <w:pPr>
              <w:spacing w:after="0"/>
              <w:rPr>
                <w:sz w:val="13"/>
                <w:szCs w:val="13"/>
                <w:color w:val="auto"/>
              </w:rPr>
            </w:pPr>
          </w:p>
        </w:tc>
      </w:tr>
      <w:tr>
        <w:trPr>
          <w:trHeight w:val="157"/>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Due after ten years</w:t>
            </w: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11,898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12,659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11,436</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12,489</w:t>
            </w:r>
          </w:p>
        </w:tc>
        <w:tc>
          <w:tcPr>
            <w:tcW w:w="80" w:type="dxa"/>
            <w:vAlign w:val="bottom"/>
            <w:shd w:val="clear" w:color="auto" w:fill="CCEEFF"/>
          </w:tcPr>
          <w:p>
            <w:pPr>
              <w:spacing w:after="0"/>
              <w:rPr>
                <w:sz w:val="13"/>
                <w:szCs w:val="13"/>
                <w:color w:val="auto"/>
              </w:rPr>
            </w:pPr>
          </w:p>
        </w:tc>
      </w:tr>
      <w:tr>
        <w:trPr>
          <w:trHeight w:val="142"/>
        </w:trPr>
        <w:tc>
          <w:tcPr>
            <w:tcW w:w="4920" w:type="dxa"/>
            <w:vAlign w:val="bottom"/>
          </w:tcPr>
          <w:p>
            <w:pPr>
              <w:ind w:left="180"/>
              <w:spacing w:after="0" w:line="135" w:lineRule="exact"/>
              <w:rPr>
                <w:sz w:val="20"/>
                <w:szCs w:val="20"/>
                <w:color w:val="auto"/>
              </w:rPr>
            </w:pPr>
            <w:r>
              <w:rPr>
                <w:rFonts w:ascii="Arial" w:cs="Arial" w:eastAsia="Arial" w:hAnsi="Arial"/>
                <w:sz w:val="12"/>
                <w:szCs w:val="12"/>
                <w:color w:val="auto"/>
              </w:rPr>
              <w:t>Subtotal</w:t>
            </w: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15,585</w:t>
            </w:r>
          </w:p>
        </w:tc>
        <w:tc>
          <w:tcPr>
            <w:tcW w:w="80" w:type="dxa"/>
            <w:vAlign w:val="bottom"/>
          </w:tcPr>
          <w:p>
            <w:pPr>
              <w:spacing w:after="0"/>
              <w:rPr>
                <w:sz w:val="12"/>
                <w:szCs w:val="12"/>
                <w:color w:val="auto"/>
              </w:rPr>
            </w:pPr>
          </w:p>
        </w:tc>
        <w:tc>
          <w:tcPr>
            <w:tcW w:w="400" w:type="dxa"/>
            <w:vAlign w:val="bottom"/>
          </w:tcPr>
          <w:p>
            <w:pPr>
              <w:jc w:val="right"/>
              <w:ind w:right="261"/>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16,498</w:t>
            </w:r>
          </w:p>
        </w:tc>
        <w:tc>
          <w:tcPr>
            <w:tcW w:w="10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14,410</w:t>
            </w:r>
          </w:p>
        </w:tc>
        <w:tc>
          <w:tcPr>
            <w:tcW w:w="80" w:type="dxa"/>
            <w:vAlign w:val="bottom"/>
          </w:tcPr>
          <w:p>
            <w:pPr>
              <w:spacing w:after="0"/>
              <w:rPr>
                <w:sz w:val="12"/>
                <w:szCs w:val="12"/>
                <w:color w:val="auto"/>
              </w:rPr>
            </w:pPr>
          </w:p>
        </w:tc>
        <w:tc>
          <w:tcPr>
            <w:tcW w:w="460" w:type="dxa"/>
            <w:vAlign w:val="bottom"/>
          </w:tcPr>
          <w:p>
            <w:pPr>
              <w:jc w:val="right"/>
              <w:ind w:right="32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15,626</w:t>
            </w:r>
          </w:p>
        </w:tc>
        <w:tc>
          <w:tcPr>
            <w:tcW w:w="80" w:type="dxa"/>
            <w:vAlign w:val="bottom"/>
          </w:tcPr>
          <w:p>
            <w:pPr>
              <w:spacing w:after="0"/>
              <w:rPr>
                <w:sz w:val="12"/>
                <w:szCs w:val="12"/>
                <w:color w:val="auto"/>
              </w:rPr>
            </w:pPr>
          </w:p>
        </w:tc>
      </w:tr>
      <w:tr>
        <w:trPr>
          <w:trHeight w:val="157"/>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securities which provide for periodic payments: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1"/>
        </w:trPr>
        <w:tc>
          <w:tcPr>
            <w:tcW w:w="492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2,849</w:t>
            </w:r>
          </w:p>
        </w:tc>
        <w:tc>
          <w:tcPr>
            <w:tcW w:w="80" w:type="dxa"/>
            <w:vAlign w:val="bottom"/>
          </w:tcPr>
          <w:p>
            <w:pPr>
              <w:spacing w:after="0"/>
              <w:rPr>
                <w:sz w:val="13"/>
                <w:szCs w:val="13"/>
                <w:color w:val="auto"/>
              </w:rPr>
            </w:pPr>
          </w:p>
        </w:tc>
        <w:tc>
          <w:tcPr>
            <w:tcW w:w="400" w:type="dxa"/>
            <w:vAlign w:val="bottom"/>
          </w:tcPr>
          <w:p>
            <w:pPr>
              <w:jc w:val="right"/>
              <w:ind w:right="261"/>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2,925</w:t>
            </w:r>
          </w:p>
        </w:tc>
        <w:tc>
          <w:tcPr>
            <w:tcW w:w="100" w:type="dxa"/>
            <w:vAlign w:val="bottom"/>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1,920</w:t>
            </w:r>
          </w:p>
        </w:tc>
        <w:tc>
          <w:tcPr>
            <w:tcW w:w="80" w:type="dxa"/>
            <w:vAlign w:val="bottom"/>
          </w:tcPr>
          <w:p>
            <w:pPr>
              <w:spacing w:after="0"/>
              <w:rPr>
                <w:sz w:val="13"/>
                <w:szCs w:val="13"/>
                <w:color w:val="auto"/>
              </w:rPr>
            </w:pPr>
          </w:p>
        </w:tc>
        <w:tc>
          <w:tcPr>
            <w:tcW w:w="460" w:type="dxa"/>
            <w:vAlign w:val="bottom"/>
          </w:tcPr>
          <w:p>
            <w:pPr>
              <w:jc w:val="right"/>
              <w:ind w:right="321"/>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1,999</w:t>
            </w:r>
          </w:p>
        </w:tc>
        <w:tc>
          <w:tcPr>
            <w:tcW w:w="80" w:type="dxa"/>
            <w:vAlign w:val="bottom"/>
          </w:tcPr>
          <w:p>
            <w:pPr>
              <w:spacing w:after="0"/>
              <w:rPr>
                <w:sz w:val="13"/>
                <w:szCs w:val="13"/>
                <w:color w:val="auto"/>
              </w:rPr>
            </w:pPr>
          </w:p>
        </w:tc>
      </w:tr>
      <w:tr>
        <w:trPr>
          <w:trHeight w:val="157"/>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CLO securities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4,255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4,021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4,268</w:t>
            </w:r>
          </w:p>
        </w:tc>
        <w:tc>
          <w:tcPr>
            <w:tcW w:w="80" w:type="dxa"/>
            <w:vAlign w:val="bottom"/>
            <w:shd w:val="clear" w:color="auto" w:fill="CCEEFF"/>
          </w:tcPr>
          <w:p>
            <w:pPr>
              <w:spacing w:after="0"/>
              <w:rPr>
                <w:sz w:val="13"/>
                <w:szCs w:val="13"/>
                <w:color w:val="auto"/>
              </w:rPr>
            </w:pPr>
          </w:p>
        </w:tc>
      </w:tr>
      <w:tr>
        <w:trPr>
          <w:trHeight w:val="151"/>
        </w:trPr>
        <w:tc>
          <w:tcPr>
            <w:tcW w:w="4920" w:type="dxa"/>
            <w:vAlign w:val="bottom"/>
          </w:tcPr>
          <w:p>
            <w:pPr>
              <w:ind w:left="20"/>
              <w:spacing w:after="0"/>
              <w:rPr>
                <w:sz w:val="20"/>
                <w:szCs w:val="20"/>
                <w:color w:val="auto"/>
              </w:rPr>
            </w:pPr>
            <w:r>
              <w:rPr>
                <w:rFonts w:ascii="Arial" w:cs="Arial" w:eastAsia="Arial" w:hAnsi="Arial"/>
                <w:sz w:val="12"/>
                <w:szCs w:val="12"/>
                <w:color w:val="auto"/>
              </w:rPr>
              <w:t>Commercial-mortgage-backed securities</w:t>
            </w:r>
          </w:p>
        </w:tc>
        <w:tc>
          <w:tcPr>
            <w:tcW w:w="22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2,497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2,468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2,806</w:t>
            </w:r>
          </w:p>
        </w:tc>
        <w:tc>
          <w:tcPr>
            <w:tcW w:w="80" w:type="dxa"/>
            <w:vAlign w:val="bottom"/>
          </w:tcPr>
          <w:p>
            <w:pPr>
              <w:spacing w:after="0"/>
              <w:rPr>
                <w:sz w:val="13"/>
                <w:szCs w:val="13"/>
                <w:color w:val="auto"/>
              </w:rPr>
            </w:pPr>
          </w:p>
        </w:tc>
      </w:tr>
      <w:tr>
        <w:trPr>
          <w:trHeight w:val="157"/>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mortgage-backed securities</w:t>
            </w: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762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782</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3"/>
                <w:szCs w:val="13"/>
                <w:color w:val="auto"/>
              </w:rPr>
            </w:pPr>
          </w:p>
        </w:tc>
      </w:tr>
      <w:tr>
        <w:trPr>
          <w:trHeight w:val="142"/>
        </w:trPr>
        <w:tc>
          <w:tcPr>
            <w:tcW w:w="4920" w:type="dxa"/>
            <w:vAlign w:val="bottom"/>
            <w:tcBorders>
              <w:bottom w:val="single" w:sz="8" w:color="CCEEFF"/>
            </w:tcBorders>
          </w:tcPr>
          <w:p>
            <w:pPr>
              <w:ind w:left="180"/>
              <w:spacing w:after="0" w:line="135" w:lineRule="exact"/>
              <w:rPr>
                <w:sz w:val="20"/>
                <w:szCs w:val="20"/>
                <w:color w:val="auto"/>
              </w:rPr>
            </w:pPr>
            <w:r>
              <w:rPr>
                <w:rFonts w:ascii="Arial" w:cs="Arial" w:eastAsia="Arial" w:hAnsi="Arial"/>
                <w:sz w:val="12"/>
                <w:szCs w:val="12"/>
                <w:color w:val="auto"/>
              </w:rPr>
              <w:t>Subtotal</w:t>
            </w: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10,363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11,118</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9,191</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9,873</w:t>
            </w:r>
          </w:p>
        </w:tc>
        <w:tc>
          <w:tcPr>
            <w:tcW w:w="80" w:type="dxa"/>
            <w:vAlign w:val="bottom"/>
            <w:tcBorders>
              <w:bottom w:val="single" w:sz="8" w:color="CCEEFF"/>
            </w:tcBorders>
          </w:tcPr>
          <w:p>
            <w:pPr>
              <w:spacing w:after="0"/>
              <w:rPr>
                <w:sz w:val="12"/>
                <w:szCs w:val="12"/>
                <w:color w:val="auto"/>
              </w:rPr>
            </w:pPr>
          </w:p>
        </w:tc>
      </w:tr>
      <w:tr>
        <w:trPr>
          <w:trHeight w:val="173"/>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 fixed maturity available-for-sale securities</w:t>
            </w:r>
          </w:p>
        </w:tc>
        <w:tc>
          <w:tcPr>
            <w:tcW w:w="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25,948</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27,616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23,601</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25,499</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Non-Agency RMBS Exposure</w:t>
      </w:r>
    </w:p>
    <w:p>
      <w:pPr>
        <w:spacing w:after="0" w:line="139"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7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fair value of our investments in subprime and Alt-A RMBS securities was $61 million and $85 million as of June 30, 2021, respectively, and $68 million and $94 million as of December 31, 2020,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tables summarize our exposure to subprime and Alt-A RMBS by credit quality using NAIC designations, NRSRO ratings and vintage year as of June 30, 2021 and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June 30, 2021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2020</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NAIC Designation:</w:t>
            </w:r>
          </w:p>
        </w:tc>
        <w:tc>
          <w:tcPr>
            <w:tcW w:w="1120" w:type="dxa"/>
            <w:vAlign w:val="bottom"/>
          </w:tcPr>
          <w:p>
            <w:pPr>
              <w:jc w:val="right"/>
              <w:ind w:right="61"/>
              <w:spacing w:after="0"/>
              <w:rPr>
                <w:sz w:val="20"/>
                <w:szCs w:val="20"/>
                <w:color w:val="auto"/>
              </w:rPr>
            </w:pPr>
            <w:r>
              <w:rPr>
                <w:rFonts w:ascii="Arial" w:cs="Arial" w:eastAsia="Arial" w:hAnsi="Arial"/>
                <w:sz w:val="12"/>
                <w:szCs w:val="12"/>
                <w:b w:val="1"/>
                <w:bCs w:val="1"/>
                <w:color w:val="auto"/>
              </w:rPr>
              <w:t>Fair Value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400"/>
              <w:spacing w:after="0"/>
              <w:rPr>
                <w:sz w:val="20"/>
                <w:szCs w:val="20"/>
                <w:color w:val="auto"/>
              </w:rPr>
            </w:pPr>
            <w:r>
              <w:rPr>
                <w:rFonts w:ascii="Arial" w:cs="Arial" w:eastAsia="Arial" w:hAnsi="Arial"/>
                <w:sz w:val="12"/>
                <w:szCs w:val="12"/>
                <w:b w:val="1"/>
                <w:bCs w:val="1"/>
                <w:color w:val="auto"/>
                <w:w w:val="88"/>
              </w:rPr>
              <w:t>Percent of Total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1"/>
              <w:spacing w:after="0"/>
              <w:rPr>
                <w:sz w:val="20"/>
                <w:szCs w:val="20"/>
                <w:color w:val="auto"/>
              </w:rPr>
            </w:pPr>
            <w:r>
              <w:rPr>
                <w:rFonts w:ascii="Arial" w:cs="Arial" w:eastAsia="Arial" w:hAnsi="Arial"/>
                <w:sz w:val="12"/>
                <w:szCs w:val="12"/>
                <w:b w:val="1"/>
                <w:bCs w:val="1"/>
                <w:color w:val="auto"/>
              </w:rPr>
              <w:t>Fair Value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ind w:left="380"/>
              <w:spacing w:after="0"/>
              <w:rPr>
                <w:sz w:val="20"/>
                <w:szCs w:val="20"/>
                <w:color w:val="auto"/>
              </w:rPr>
            </w:pPr>
            <w:r>
              <w:rPr>
                <w:rFonts w:ascii="Arial" w:cs="Arial" w:eastAsia="Arial" w:hAnsi="Arial"/>
                <w:sz w:val="12"/>
                <w:szCs w:val="12"/>
                <w:b w:val="1"/>
                <w:bCs w:val="1"/>
                <w:color w:val="auto"/>
                <w:w w:val="90"/>
              </w:rPr>
              <w:t>Percent of Total</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1120" w:type="dxa"/>
            <w:vAlign w:val="bottom"/>
            <w:shd w:val="clear" w:color="auto" w:fill="CCEEFF"/>
          </w:tcPr>
          <w:p>
            <w:pPr>
              <w:jc w:val="right"/>
              <w:ind w:right="981"/>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137</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31"/>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94 %</w:t>
            </w:r>
          </w:p>
        </w:tc>
        <w:tc>
          <w:tcPr>
            <w:tcW w:w="8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Arial" w:cs="Arial" w:eastAsia="Arial" w:hAnsi="Arial"/>
                <w:sz w:val="12"/>
                <w:szCs w:val="12"/>
                <w:color w:val="auto"/>
              </w:rPr>
              <w:t>2</w:t>
            </w:r>
          </w:p>
        </w:tc>
        <w:tc>
          <w:tcPr>
            <w:tcW w:w="112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5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3</w:t>
            </w: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Arial" w:cs="Arial" w:eastAsia="Arial" w:hAnsi="Arial"/>
                <w:sz w:val="12"/>
                <w:szCs w:val="12"/>
                <w:color w:val="auto"/>
              </w:rPr>
              <w:t>4</w:t>
            </w:r>
          </w:p>
        </w:tc>
        <w:tc>
          <w:tcPr>
            <w:tcW w:w="112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3 %</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shd w:val="clear" w:color="auto" w:fill="CCEEFF"/>
          </w:tcPr>
          <w:p>
            <w:pPr>
              <w:spacing w:after="0"/>
              <w:rPr>
                <w:sz w:val="13"/>
                <w:szCs w:val="13"/>
                <w:color w:val="auto"/>
              </w:rPr>
            </w:pPr>
          </w:p>
        </w:tc>
      </w:tr>
      <w:tr>
        <w:trPr>
          <w:trHeight w:val="15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5</w:t>
            </w:r>
          </w:p>
        </w:tc>
        <w:tc>
          <w:tcPr>
            <w:tcW w:w="112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301"/>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 %</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1"/>
        </w:trPr>
        <w:tc>
          <w:tcPr>
            <w:tcW w:w="4820" w:type="dxa"/>
            <w:vAlign w:val="bottom"/>
          </w:tcPr>
          <w:p>
            <w:pPr>
              <w:ind w:left="20"/>
              <w:spacing w:after="0"/>
              <w:rPr>
                <w:sz w:val="20"/>
                <w:szCs w:val="20"/>
                <w:color w:val="auto"/>
              </w:rPr>
            </w:pPr>
            <w:r>
              <w:rPr>
                <w:rFonts w:ascii="Arial" w:cs="Arial" w:eastAsia="Arial" w:hAnsi="Arial"/>
                <w:sz w:val="12"/>
                <w:szCs w:val="12"/>
                <w:color w:val="auto"/>
              </w:rPr>
              <w:t>6</w:t>
            </w:r>
          </w:p>
        </w:tc>
        <w:tc>
          <w:tcPr>
            <w:tcW w:w="1120" w:type="dxa"/>
            <w:vAlign w:val="bottom"/>
          </w:tcPr>
          <w:p>
            <w:pPr>
              <w:spacing w:after="0"/>
              <w:rPr>
                <w:sz w:val="13"/>
                <w:szCs w:val="13"/>
                <w:color w:val="auto"/>
              </w:rPr>
            </w:pPr>
          </w:p>
        </w:tc>
        <w:tc>
          <w:tcPr>
            <w:tcW w:w="1660" w:type="dxa"/>
            <w:vAlign w:val="bottom"/>
            <w:gridSpan w:val="3"/>
          </w:tcPr>
          <w:p>
            <w:pPr>
              <w:jc w:val="right"/>
              <w:ind w:right="1301"/>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040" w:type="dxa"/>
            <w:vAlign w:val="bottom"/>
          </w:tcPr>
          <w:p>
            <w:pPr>
              <w:spacing w:after="0"/>
              <w:rPr>
                <w:sz w:val="13"/>
                <w:szCs w:val="13"/>
                <w:color w:val="auto"/>
              </w:rPr>
            </w:pPr>
          </w:p>
        </w:tc>
        <w:tc>
          <w:tcPr>
            <w:tcW w:w="1740" w:type="dxa"/>
            <w:vAlign w:val="bottom"/>
            <w:gridSpan w:val="3"/>
          </w:tcPr>
          <w:p>
            <w:pPr>
              <w:jc w:val="right"/>
              <w:ind w:right="130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3"/>
                <w:szCs w:val="13"/>
                <w:color w:val="auto"/>
              </w:rPr>
            </w:pPr>
          </w:p>
        </w:tc>
      </w:tr>
      <w:tr>
        <w:trPr>
          <w:trHeight w:val="208"/>
        </w:trPr>
        <w:tc>
          <w:tcPr>
            <w:tcW w:w="4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w:t>
            </w:r>
          </w:p>
        </w:tc>
        <w:tc>
          <w:tcPr>
            <w:tcW w:w="112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931"/>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100 %</w:t>
            </w:r>
          </w:p>
        </w:tc>
        <w:tc>
          <w:tcPr>
            <w:tcW w:w="80" w:type="dxa"/>
            <w:vAlign w:val="bottom"/>
            <w:tcBorders>
              <w:bottom w:val="single" w:sz="8" w:color="CCEEFF"/>
            </w:tcBorders>
          </w:tcPr>
          <w:p>
            <w:pPr>
              <w:spacing w:after="0"/>
              <w:rPr>
                <w:sz w:val="18"/>
                <w:szCs w:val="18"/>
                <w:color w:val="auto"/>
              </w:rPr>
            </w:pPr>
          </w:p>
        </w:tc>
      </w:tr>
      <w:tr>
        <w:trPr>
          <w:trHeight w:val="118"/>
        </w:trPr>
        <w:tc>
          <w:tcPr>
            <w:tcW w:w="4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NRSRO:</w:t>
            </w: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Arial" w:cs="Arial" w:eastAsia="Arial" w:hAnsi="Arial"/>
                <w:sz w:val="12"/>
                <w:szCs w:val="12"/>
                <w:color w:val="auto"/>
              </w:rPr>
              <w:t>AAA</w:t>
            </w:r>
          </w:p>
        </w:tc>
        <w:tc>
          <w:tcPr>
            <w:tcW w:w="1120" w:type="dxa"/>
            <w:vAlign w:val="bottom"/>
          </w:tcPr>
          <w:p>
            <w:pPr>
              <w:jc w:val="right"/>
              <w:ind w:right="981"/>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1040" w:type="dxa"/>
            <w:vAlign w:val="bottom"/>
          </w:tcPr>
          <w:p>
            <w:pPr>
              <w:jc w:val="right"/>
              <w:ind w:right="931"/>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3"/>
                <w:szCs w:val="13"/>
                <w:color w:val="auto"/>
              </w:rPr>
            </w:pPr>
          </w:p>
        </w:tc>
      </w:tr>
      <w:tr>
        <w:trPr>
          <w:trHeight w:val="15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AA</w:t>
            </w: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Arial" w:cs="Arial" w:eastAsia="Arial" w:hAnsi="Arial"/>
                <w:sz w:val="12"/>
                <w:szCs w:val="12"/>
                <w:color w:val="auto"/>
              </w:rPr>
              <w:t>A</w:t>
            </w:r>
          </w:p>
        </w:tc>
        <w:tc>
          <w:tcPr>
            <w:tcW w:w="112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10 %</w:t>
            </w:r>
          </w:p>
        </w:tc>
        <w:tc>
          <w:tcPr>
            <w:tcW w:w="80" w:type="dxa"/>
            <w:vAlign w:val="bottom"/>
            <w:shd w:val="clear" w:color="auto" w:fill="CCEEFF"/>
          </w:tcPr>
          <w:p>
            <w:pPr>
              <w:spacing w:after="0"/>
              <w:rPr>
                <w:sz w:val="13"/>
                <w:szCs w:val="13"/>
                <w:color w:val="auto"/>
              </w:rPr>
            </w:pPr>
          </w:p>
        </w:tc>
      </w:tr>
      <w:tr>
        <w:trPr>
          <w:trHeight w:val="15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BBB</w:t>
            </w: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8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Arial" w:cs="Arial" w:eastAsia="Arial" w:hAnsi="Arial"/>
                <w:sz w:val="12"/>
                <w:szCs w:val="12"/>
                <w:color w:val="auto"/>
              </w:rPr>
              <w:t>Not rated - Above investment grade (a)</w:t>
            </w:r>
          </w:p>
        </w:tc>
        <w:tc>
          <w:tcPr>
            <w:tcW w:w="112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14 %</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12 %</w:t>
            </w:r>
          </w:p>
        </w:tc>
        <w:tc>
          <w:tcPr>
            <w:tcW w:w="80" w:type="dxa"/>
            <w:vAlign w:val="bottom"/>
            <w:shd w:val="clear" w:color="auto" w:fill="CCEEFF"/>
          </w:tcPr>
          <w:p>
            <w:pPr>
              <w:spacing w:after="0"/>
              <w:rPr>
                <w:sz w:val="13"/>
                <w:szCs w:val="13"/>
                <w:color w:val="auto"/>
              </w:rPr>
            </w:pPr>
          </w:p>
        </w:tc>
      </w:tr>
      <w:tr>
        <w:trPr>
          <w:trHeight w:val="151"/>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BB and below</w:t>
            </w:r>
          </w:p>
        </w:tc>
        <w:tc>
          <w:tcPr>
            <w:tcW w:w="1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91</w:t>
            </w:r>
          </w:p>
        </w:tc>
        <w:tc>
          <w:tcPr>
            <w:tcW w:w="8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62 %</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65 %</w:t>
            </w:r>
          </w:p>
        </w:tc>
        <w:tc>
          <w:tcPr>
            <w:tcW w:w="80" w:type="dxa"/>
            <w:vAlign w:val="bottom"/>
            <w:tcBorders>
              <w:bottom w:val="single" w:sz="8" w:color="CCEEFF"/>
            </w:tcBorders>
          </w:tcPr>
          <w:p>
            <w:pPr>
              <w:spacing w:after="0"/>
              <w:rPr>
                <w:sz w:val="13"/>
                <w:szCs w:val="13"/>
                <w:color w:val="auto"/>
              </w:rPr>
            </w:pPr>
          </w:p>
        </w:tc>
      </w:tr>
      <w:tr>
        <w:trPr>
          <w:trHeight w:val="208"/>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rPr>
              <w:t>Total</w:t>
            </w:r>
          </w:p>
        </w:tc>
        <w:tc>
          <w:tcPr>
            <w:tcW w:w="1120" w:type="dxa"/>
            <w:vAlign w:val="bottom"/>
            <w:tcBorders>
              <w:bottom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146</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100 %</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31"/>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100 %</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18"/>
        </w:trPr>
        <w:tc>
          <w:tcPr>
            <w:tcW w:w="48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r>
      <w:tr>
        <w:trPr>
          <w:trHeight w:val="154"/>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Vintage:</w:t>
            </w: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2007</w:t>
            </w: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8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Arial" w:cs="Arial" w:eastAsia="Arial" w:hAnsi="Arial"/>
                <w:sz w:val="12"/>
                <w:szCs w:val="12"/>
                <w:color w:val="auto"/>
              </w:rPr>
              <w:t>2006</w:t>
            </w:r>
          </w:p>
        </w:tc>
        <w:tc>
          <w:tcPr>
            <w:tcW w:w="112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27 %</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27 %</w:t>
            </w:r>
          </w:p>
        </w:tc>
        <w:tc>
          <w:tcPr>
            <w:tcW w:w="80" w:type="dxa"/>
            <w:vAlign w:val="bottom"/>
            <w:shd w:val="clear" w:color="auto" w:fill="CCEEFF"/>
          </w:tcPr>
          <w:p>
            <w:pPr>
              <w:spacing w:after="0"/>
              <w:rPr>
                <w:sz w:val="13"/>
                <w:szCs w:val="13"/>
                <w:color w:val="auto"/>
              </w:rPr>
            </w:pPr>
          </w:p>
        </w:tc>
      </w:tr>
      <w:tr>
        <w:trPr>
          <w:trHeight w:val="15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2005 and prior</w:t>
            </w:r>
          </w:p>
        </w:tc>
        <w:tc>
          <w:tcPr>
            <w:tcW w:w="1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80" w:type="dxa"/>
            <w:vAlign w:val="bottom"/>
            <w:tcBorders>
              <w:bottom w:val="single" w:sz="8" w:color="CCEEFF"/>
            </w:tcBorders>
          </w:tcPr>
          <w:p>
            <w:pPr>
              <w:spacing w:after="0"/>
              <w:rPr>
                <w:sz w:val="13"/>
                <w:szCs w:val="13"/>
                <w:color w:val="auto"/>
              </w:rPr>
            </w:pPr>
          </w:p>
        </w:tc>
      </w:tr>
      <w:tr>
        <w:trPr>
          <w:trHeight w:val="165"/>
        </w:trPr>
        <w:tc>
          <w:tcPr>
            <w:tcW w:w="4820" w:type="dxa"/>
            <w:vAlign w:val="bottom"/>
          </w:tcPr>
          <w:p>
            <w:pPr>
              <w:ind w:left="120"/>
              <w:spacing w:after="0"/>
              <w:rPr>
                <w:sz w:val="20"/>
                <w:szCs w:val="20"/>
                <w:color w:val="auto"/>
              </w:rPr>
            </w:pPr>
            <w:r>
              <w:rPr>
                <w:rFonts w:ascii="Arial" w:cs="Arial" w:eastAsia="Arial" w:hAnsi="Arial"/>
                <w:sz w:val="12"/>
                <w:szCs w:val="12"/>
                <w:b w:val="1"/>
                <w:bCs w:val="1"/>
                <w:color w:val="auto"/>
              </w:rPr>
              <w:t>Total</w:t>
            </w:r>
          </w:p>
        </w:tc>
        <w:tc>
          <w:tcPr>
            <w:tcW w:w="1120" w:type="dxa"/>
            <w:vAlign w:val="bottom"/>
            <w:tcBorders>
              <w:bottom w:val="single" w:sz="8" w:color="auto"/>
            </w:tcBorders>
          </w:tcPr>
          <w:p>
            <w:pPr>
              <w:jc w:val="right"/>
              <w:ind w:right="981"/>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146</w:t>
            </w: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100 %</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931"/>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1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100 %</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4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(a) Securities denoted as not-rated by an NRSRO were classified as investment or non-investment grade according to the securities' respective NAIC designation.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ABS and CLO Exposures</w:t>
      </w:r>
    </w:p>
    <w:p>
      <w:pPr>
        <w:spacing w:after="0" w:line="139" w:lineRule="exact"/>
        <w:rPr>
          <w:sz w:val="20"/>
          <w:szCs w:val="20"/>
          <w:color w:val="auto"/>
        </w:rPr>
      </w:pPr>
    </w:p>
    <w:p>
      <w:pPr>
        <w:jc w:val="both"/>
        <w:ind w:right="20" w:firstLine="330"/>
        <w:spacing w:after="0" w:line="264" w:lineRule="auto"/>
        <w:rPr>
          <w:sz w:val="20"/>
          <w:szCs w:val="20"/>
          <w:color w:val="auto"/>
        </w:rPr>
      </w:pPr>
      <w:r>
        <w:rPr>
          <w:rFonts w:ascii="Arial" w:cs="Arial" w:eastAsia="Arial" w:hAnsi="Arial"/>
          <w:sz w:val="15"/>
          <w:szCs w:val="15"/>
          <w:color w:val="auto"/>
        </w:rPr>
        <w:t>Our ABS exposures are largely diversified by underlying collateral and issuer type, including automobile and home equity receivables and our CLO exposures are generally senior tranches of CLOs which have leveraged loans as their underlying collateral.</w:t>
      </w:r>
    </w:p>
    <w:p>
      <w:pPr>
        <w:spacing w:after="0" w:line="7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As of June 30, 2021, the CLO and ABS positions were trading at a net unrealized gain position of $228 million and $77 million, respectively. As of December 31, 2020, the CLO and ABS positions were trading at a net unrealized gain position of $247 million and $79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Municipal Bond Exposure</w:t>
      </w:r>
    </w:p>
    <w:p>
      <w:pPr>
        <w:spacing w:after="0" w:line="117"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Our municipal bond exposure is a combination of general obligation bonds (fair value of $266 million and an amortized cost of $254 million as of June 30, 2021) and special revenue bonds (fair value of $1,105 million and amortized cost of $1,049 million as of June 30, 2021).</w:t>
      </w:r>
    </w:p>
    <w:p>
      <w:pPr>
        <w:spacing w:after="0" w:line="7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Across all municipal bonds, the largest issuer represented 9% of the category, less than 1% of the entire portfolio and is rated NAIC 1. Our focus within municipal bonds is on NAIC 1 rated instruments, and 91%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Mortgage Loans</w:t>
      </w:r>
    </w:p>
    <w:p>
      <w:pPr>
        <w:spacing w:after="0" w:line="95" w:lineRule="exact"/>
        <w:rPr>
          <w:sz w:val="20"/>
          <w:szCs w:val="20"/>
          <w:color w:val="auto"/>
        </w:rPr>
      </w:pPr>
    </w:p>
    <w:p>
      <w:pPr>
        <w:jc w:val="both"/>
        <w:ind w:firstLine="330"/>
        <w:spacing w:after="0" w:line="269" w:lineRule="auto"/>
        <w:rPr>
          <w:sz w:val="20"/>
          <w:szCs w:val="20"/>
          <w:color w:val="auto"/>
        </w:rPr>
      </w:pPr>
      <w:r>
        <w:rPr>
          <w:rFonts w:ascii="Arial" w:cs="Arial" w:eastAsia="Arial" w:hAnsi="Arial"/>
          <w:sz w:val="14"/>
          <w:szCs w:val="14"/>
          <w:color w:val="auto"/>
        </w:rPr>
        <w:t>We rate all commercial mortgage loans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Recognized gains and losses, net in the unaudited Condensed Consolidated Statements of Earnings.</w:t>
      </w:r>
    </w:p>
    <w:p>
      <w:pPr>
        <w:spacing w:after="0" w:line="60"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LTV and DSC ratios are utilized as part of the review process described above. As of June 30, 2021, our mortgage loans on real estate portfolio had a weighted average DSC ratio of 2.4 times, and a weighted average LTV ratio of 54%. See Note E to the unaudited Condensed Consolidated Financial Statements included in Item 1 of Part I of this Report for additional information regarding our LTV and DSC ratios.</w:t>
      </w:r>
    </w:p>
    <w:p>
      <w:pPr>
        <w:spacing w:after="0" w:line="68"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F&amp;G's residential mortgage loans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Unrealized Losses</w:t>
      </w:r>
    </w:p>
    <w:p>
      <w:pPr>
        <w:spacing w:after="0" w:line="106" w:lineRule="exact"/>
        <w:rPr>
          <w:sz w:val="20"/>
          <w:szCs w:val="20"/>
          <w:color w:val="auto"/>
        </w:rPr>
      </w:pPr>
    </w:p>
    <w:p>
      <w:pPr>
        <w:ind w:right="80" w:firstLine="264"/>
        <w:spacing w:after="0" w:line="264" w:lineRule="auto"/>
        <w:rPr>
          <w:sz w:val="20"/>
          <w:szCs w:val="20"/>
          <w:color w:val="auto"/>
        </w:rPr>
      </w:pPr>
      <w:r>
        <w:rPr>
          <w:rFonts w:ascii="Arial" w:cs="Arial" w:eastAsia="Arial" w:hAnsi="Arial"/>
          <w:sz w:val="15"/>
          <w:szCs w:val="15"/>
          <w:color w:val="auto"/>
        </w:rPr>
        <w:t>The amortized cost and fair value of the fixed maturity securities and the equity securities that were in an unrealized loss position as of June 30, 2021 and December 31, 2020, were as follows (in millions):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3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w w:val="94"/>
              </w:rPr>
              <w:t>June 30, 2021</w:t>
            </w: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60" w:type="dxa"/>
            <w:vAlign w:val="bottom"/>
          </w:tcPr>
          <w:p>
            <w:pPr>
              <w:spacing w:after="0"/>
              <w:rPr>
                <w:sz w:val="9"/>
                <w:szCs w:val="9"/>
                <w:color w:val="auto"/>
              </w:rPr>
            </w:pPr>
          </w:p>
        </w:tc>
        <w:tc>
          <w:tcPr>
            <w:tcW w:w="152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w w:val="97"/>
              </w:rPr>
              <w:t>Number of securities</w:t>
            </w:r>
          </w:p>
        </w:tc>
        <w:tc>
          <w:tcPr>
            <w:tcW w:w="44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9"/>
                <w:szCs w:val="9"/>
                <w:color w:val="auto"/>
              </w:rPr>
            </w:pPr>
          </w:p>
        </w:tc>
        <w:tc>
          <w:tcPr>
            <w:tcW w:w="1040" w:type="dxa"/>
            <w:vAlign w:val="bottom"/>
            <w:gridSpan w:val="2"/>
          </w:tcPr>
          <w:p>
            <w:pPr>
              <w:jc w:val="right"/>
              <w:ind w:right="280"/>
              <w:spacing w:after="0" w:line="106" w:lineRule="exact"/>
              <w:rPr>
                <w:sz w:val="20"/>
                <w:szCs w:val="20"/>
                <w:color w:val="auto"/>
              </w:rPr>
            </w:pPr>
            <w:r>
              <w:rPr>
                <w:rFonts w:ascii="Arial" w:cs="Arial" w:eastAsia="Arial" w:hAnsi="Arial"/>
                <w:sz w:val="12"/>
                <w:szCs w:val="12"/>
                <w:b w:val="1"/>
                <w:bCs w:val="1"/>
                <w:color w:val="auto"/>
                <w:w w:val="93"/>
              </w:rPr>
              <w:t>Allowance for</w:t>
            </w:r>
          </w:p>
        </w:tc>
        <w:tc>
          <w:tcPr>
            <w:tcW w:w="42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Unrealized Losses</w:t>
            </w:r>
          </w:p>
        </w:tc>
        <w:tc>
          <w:tcPr>
            <w:tcW w:w="5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00" w:type="dxa"/>
            <w:vAlign w:val="bottom"/>
            <w:gridSpan w:val="3"/>
          </w:tcPr>
          <w:p>
            <w:pPr>
              <w:ind w:left="120"/>
              <w:spacing w:after="0"/>
              <w:rPr>
                <w:sz w:val="20"/>
                <w:szCs w:val="20"/>
                <w:color w:val="auto"/>
              </w:rPr>
            </w:pPr>
            <w:r>
              <w:rPr>
                <w:rFonts w:ascii="Arial" w:cs="Arial" w:eastAsia="Arial" w:hAnsi="Arial"/>
                <w:sz w:val="12"/>
                <w:szCs w:val="12"/>
                <w:b w:val="1"/>
                <w:bCs w:val="1"/>
                <w:color w:val="auto"/>
                <w:w w:val="99"/>
              </w:rPr>
              <w:t>Expected Credit Losses</w:t>
            </w: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760" w:type="dxa"/>
            <w:vAlign w:val="bottom"/>
            <w:tcBorders>
              <w:top w:val="single" w:sz="8" w:color="CCEEFF"/>
            </w:tcBorders>
            <w:shd w:val="clear" w:color="auto" w:fill="CCEEFF"/>
          </w:tcPr>
          <w:p>
            <w:pPr>
              <w:ind w:left="340"/>
              <w:spacing w:after="0" w:line="130" w:lineRule="exact"/>
              <w:rPr>
                <w:sz w:val="20"/>
                <w:szCs w:val="20"/>
                <w:color w:val="auto"/>
              </w:rPr>
            </w:pPr>
            <w:r>
              <w:rPr>
                <w:rFonts w:ascii="Arial" w:cs="Arial" w:eastAsia="Arial" w:hAnsi="Arial"/>
                <w:sz w:val="12"/>
                <w:szCs w:val="12"/>
                <w:color w:val="auto"/>
              </w:rPr>
              <w:t>Fixed maturity securities, available for sale:</w:t>
            </w:r>
          </w:p>
        </w:tc>
        <w:tc>
          <w:tcPr>
            <w:tcW w:w="8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540"/>
              <w:spacing w:after="0"/>
              <w:rPr>
                <w:sz w:val="20"/>
                <w:szCs w:val="20"/>
                <w:color w:val="auto"/>
              </w:rPr>
            </w:pPr>
            <w:r>
              <w:rPr>
                <w:rFonts w:ascii="Arial" w:cs="Arial" w:eastAsia="Arial" w:hAnsi="Arial"/>
                <w:sz w:val="12"/>
                <w:szCs w:val="12"/>
                <w:color w:val="auto"/>
              </w:rPr>
              <w:t>United States Government full faith and credit</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Government sponsored agencies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540"/>
              <w:spacing w:after="0"/>
              <w:rPr>
                <w:sz w:val="20"/>
                <w:szCs w:val="20"/>
                <w:color w:val="auto"/>
              </w:rPr>
            </w:pPr>
            <w:r>
              <w:rPr>
                <w:rFonts w:ascii="Arial" w:cs="Arial" w:eastAsia="Arial" w:hAnsi="Arial"/>
                <w:sz w:val="12"/>
                <w:szCs w:val="12"/>
                <w:color w:val="auto"/>
              </w:rPr>
              <w:t>United States municipalities, states and territories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277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Foreign Governments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340"/>
              <w:spacing w:after="0"/>
              <w:rPr>
                <w:sz w:val="20"/>
                <w:szCs w:val="20"/>
                <w:color w:val="auto"/>
              </w:rPr>
            </w:pPr>
            <w:r>
              <w:rPr>
                <w:rFonts w:ascii="Arial" w:cs="Arial" w:eastAsia="Arial" w:hAnsi="Arial"/>
                <w:sz w:val="12"/>
                <w:szCs w:val="12"/>
                <w:color w:val="auto"/>
              </w:rPr>
              <w:t>Corporate securities:</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Finance, insurance and real estate</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540"/>
              <w:spacing w:after="0"/>
              <w:rPr>
                <w:sz w:val="20"/>
                <w:szCs w:val="20"/>
                <w:color w:val="auto"/>
              </w:rPr>
            </w:pPr>
            <w:r>
              <w:rPr>
                <w:rFonts w:ascii="Arial" w:cs="Arial" w:eastAsia="Arial" w:hAnsi="Arial"/>
                <w:sz w:val="12"/>
                <w:szCs w:val="12"/>
                <w:color w:val="auto"/>
              </w:rPr>
              <w:t>Manufacturing, construction and mining</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Utilities, energy and related sectors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540"/>
              <w:spacing w:after="0"/>
              <w:rPr>
                <w:sz w:val="20"/>
                <w:szCs w:val="20"/>
                <w:color w:val="auto"/>
              </w:rPr>
            </w:pPr>
            <w:r>
              <w:rPr>
                <w:rFonts w:ascii="Arial" w:cs="Arial" w:eastAsia="Arial" w:hAnsi="Arial"/>
                <w:sz w:val="12"/>
                <w:szCs w:val="12"/>
                <w:color w:val="auto"/>
              </w:rPr>
              <w:t>Wholesale/retail trade</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746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Services, media and other</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340"/>
              <w:spacing w:after="0"/>
              <w:rPr>
                <w:sz w:val="20"/>
                <w:szCs w:val="20"/>
                <w:color w:val="auto"/>
              </w:rPr>
            </w:pPr>
            <w:r>
              <w:rPr>
                <w:rFonts w:ascii="Arial" w:cs="Arial" w:eastAsia="Arial" w:hAnsi="Arial"/>
                <w:sz w:val="12"/>
                <w:szCs w:val="12"/>
                <w:color w:val="auto"/>
              </w:rPr>
              <w:t>Hybrid securities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Non-agency residential mortgage backed securities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2"/>
                <w:szCs w:val="12"/>
                <w:color w:val="auto"/>
                <w:w w:val="95"/>
              </w:rPr>
              <w:t>(1)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340"/>
              <w:spacing w:after="0"/>
              <w:rPr>
                <w:sz w:val="20"/>
                <w:szCs w:val="20"/>
                <w:color w:val="auto"/>
              </w:rPr>
            </w:pPr>
            <w:r>
              <w:rPr>
                <w:rFonts w:ascii="Arial" w:cs="Arial" w:eastAsia="Arial" w:hAnsi="Arial"/>
                <w:sz w:val="12"/>
                <w:szCs w:val="12"/>
                <w:color w:val="auto"/>
              </w:rPr>
              <w:t>Commercial mortgage backed securities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ind w:left="78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Asset backed securities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1,594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376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Total fixed maturity available for sale securities</w:t>
            </w:r>
          </w:p>
        </w:tc>
        <w:tc>
          <w:tcPr>
            <w:tcW w:w="8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513</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5,162</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780"/>
              <w:spacing w:after="0"/>
              <w:rPr>
                <w:sz w:val="20"/>
                <w:szCs w:val="20"/>
                <w:color w:val="auto"/>
              </w:rPr>
            </w:pPr>
            <w:r>
              <w:rPr>
                <w:rFonts w:ascii="Arial" w:cs="Arial" w:eastAsia="Arial" w:hAnsi="Arial"/>
                <w:sz w:val="12"/>
                <w:szCs w:val="12"/>
                <w:color w:val="auto"/>
                <w:w w:val="95"/>
              </w:rPr>
              <w:t>(2)</w:t>
            </w: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4"/>
        </w:trPr>
        <w:tc>
          <w:tcPr>
            <w:tcW w:w="37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Equity securities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440"/>
              <w:spacing w:after="0"/>
              <w:rPr>
                <w:sz w:val="20"/>
                <w:szCs w:val="20"/>
                <w:color w:val="auto"/>
              </w:rPr>
            </w:pPr>
            <w:r>
              <w:rPr>
                <w:rFonts w:ascii="Arial" w:cs="Arial" w:eastAsia="Arial" w:hAnsi="Arial"/>
                <w:sz w:val="12"/>
                <w:szCs w:val="12"/>
                <w:b w:val="1"/>
                <w:bCs w:val="1"/>
                <w:color w:val="auto"/>
              </w:rPr>
              <w:t>Total investments</w:t>
            </w:r>
          </w:p>
        </w:tc>
        <w:tc>
          <w:tcPr>
            <w:tcW w:w="8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516</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5,215</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2"/>
                <w:szCs w:val="12"/>
                <w:color w:val="auto"/>
                <w:w w:val="95"/>
              </w:rPr>
              <w:t>(2)</w:t>
            </w:r>
          </w:p>
        </w:tc>
        <w:tc>
          <w:tcPr>
            <w:tcW w:w="1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3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December 31, 2020</w:t>
            </w: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60" w:type="dxa"/>
            <w:vAlign w:val="bottom"/>
          </w:tcPr>
          <w:p>
            <w:pPr>
              <w:spacing w:after="0"/>
              <w:rPr>
                <w:sz w:val="9"/>
                <w:szCs w:val="9"/>
                <w:color w:val="auto"/>
              </w:rPr>
            </w:pPr>
          </w:p>
        </w:tc>
        <w:tc>
          <w:tcPr>
            <w:tcW w:w="152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w w:val="97"/>
              </w:rPr>
              <w:t>Number of securities</w:t>
            </w:r>
          </w:p>
        </w:tc>
        <w:tc>
          <w:tcPr>
            <w:tcW w:w="44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Amortized Cost</w:t>
            </w:r>
          </w:p>
        </w:tc>
        <w:tc>
          <w:tcPr>
            <w:tcW w:w="400" w:type="dxa"/>
            <w:vAlign w:val="bottom"/>
          </w:tcPr>
          <w:p>
            <w:pPr>
              <w:spacing w:after="0"/>
              <w:rPr>
                <w:sz w:val="9"/>
                <w:szCs w:val="9"/>
                <w:color w:val="auto"/>
              </w:rPr>
            </w:pPr>
          </w:p>
        </w:tc>
        <w:tc>
          <w:tcPr>
            <w:tcW w:w="1100" w:type="dxa"/>
            <w:vAlign w:val="bottom"/>
            <w:gridSpan w:val="2"/>
          </w:tcPr>
          <w:p>
            <w:pPr>
              <w:ind w:left="120"/>
              <w:spacing w:after="0" w:line="106" w:lineRule="exact"/>
              <w:rPr>
                <w:sz w:val="20"/>
                <w:szCs w:val="20"/>
                <w:color w:val="auto"/>
              </w:rPr>
            </w:pPr>
            <w:r>
              <w:rPr>
                <w:rFonts w:ascii="Arial" w:cs="Arial" w:eastAsia="Arial" w:hAnsi="Arial"/>
                <w:sz w:val="12"/>
                <w:szCs w:val="12"/>
                <w:b w:val="1"/>
                <w:bCs w:val="1"/>
                <w:color w:val="auto"/>
              </w:rPr>
              <w:t>Allowance for</w:t>
            </w:r>
          </w:p>
        </w:tc>
        <w:tc>
          <w:tcPr>
            <w:tcW w:w="42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Unrealized Losses</w:t>
            </w:r>
          </w:p>
        </w:tc>
        <w:tc>
          <w:tcPr>
            <w:tcW w:w="5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0"/>
        </w:trPr>
        <w:tc>
          <w:tcPr>
            <w:tcW w:w="376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00" w:type="dxa"/>
            <w:vAlign w:val="bottom"/>
            <w:gridSpan w:val="3"/>
          </w:tcPr>
          <w:p>
            <w:pPr>
              <w:ind w:left="120"/>
              <w:spacing w:after="0"/>
              <w:rPr>
                <w:sz w:val="20"/>
                <w:szCs w:val="20"/>
                <w:color w:val="auto"/>
              </w:rPr>
            </w:pPr>
            <w:r>
              <w:rPr>
                <w:rFonts w:ascii="Arial" w:cs="Arial" w:eastAsia="Arial" w:hAnsi="Arial"/>
                <w:sz w:val="12"/>
                <w:szCs w:val="12"/>
                <w:b w:val="1"/>
                <w:bCs w:val="1"/>
                <w:color w:val="auto"/>
                <w:w w:val="99"/>
              </w:rPr>
              <w:t>Expected Credit Losses</w:t>
            </w: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60" w:type="dxa"/>
            <w:vAlign w:val="bottom"/>
          </w:tcPr>
          <w:p>
            <w:pPr>
              <w:ind w:left="340"/>
              <w:spacing w:after="0" w:line="129" w:lineRule="exact"/>
              <w:rPr>
                <w:sz w:val="20"/>
                <w:szCs w:val="20"/>
                <w:color w:val="auto"/>
              </w:rPr>
            </w:pPr>
            <w:r>
              <w:rPr>
                <w:rFonts w:ascii="Arial" w:cs="Arial" w:eastAsia="Arial" w:hAnsi="Arial"/>
                <w:sz w:val="12"/>
                <w:szCs w:val="12"/>
                <w:color w:val="auto"/>
              </w:rPr>
              <w:t>Fixed maturity securities, available for sale:</w:t>
            </w:r>
          </w:p>
        </w:tc>
        <w:tc>
          <w:tcPr>
            <w:tcW w:w="8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Government full faith and credit</w:t>
            </w:r>
          </w:p>
        </w:tc>
        <w:tc>
          <w:tcPr>
            <w:tcW w:w="8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540"/>
              <w:spacing w:after="0"/>
              <w:rPr>
                <w:sz w:val="20"/>
                <w:szCs w:val="20"/>
                <w:color w:val="auto"/>
              </w:rPr>
            </w:pPr>
            <w:r>
              <w:rPr>
                <w:rFonts w:ascii="Arial" w:cs="Arial" w:eastAsia="Arial" w:hAnsi="Arial"/>
                <w:sz w:val="12"/>
                <w:szCs w:val="12"/>
                <w:color w:val="auto"/>
              </w:rPr>
              <w:t>United States Government sponsored agencies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municipalities, states and territories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340"/>
              <w:spacing w:after="0"/>
              <w:rPr>
                <w:sz w:val="20"/>
                <w:szCs w:val="20"/>
                <w:color w:val="auto"/>
              </w:rPr>
            </w:pPr>
            <w:r>
              <w:rPr>
                <w:rFonts w:ascii="Arial" w:cs="Arial" w:eastAsia="Arial" w:hAnsi="Arial"/>
                <w:sz w:val="12"/>
                <w:szCs w:val="12"/>
                <w:color w:val="auto"/>
              </w:rPr>
              <w:t>Corporate securities:</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Finance, insurance and real estate</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540"/>
              <w:spacing w:after="0"/>
              <w:rPr>
                <w:sz w:val="20"/>
                <w:szCs w:val="20"/>
                <w:color w:val="auto"/>
              </w:rPr>
            </w:pPr>
            <w:r>
              <w:rPr>
                <w:rFonts w:ascii="Arial" w:cs="Arial" w:eastAsia="Arial" w:hAnsi="Arial"/>
                <w:sz w:val="12"/>
                <w:szCs w:val="12"/>
                <w:color w:val="auto"/>
              </w:rPr>
              <w:t>Utilities, energy and related sectors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Wholesale/retail trade</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540"/>
              <w:spacing w:after="0"/>
              <w:rPr>
                <w:sz w:val="20"/>
                <w:szCs w:val="20"/>
                <w:color w:val="auto"/>
              </w:rPr>
            </w:pPr>
            <w:r>
              <w:rPr>
                <w:rFonts w:ascii="Arial" w:cs="Arial" w:eastAsia="Arial" w:hAnsi="Arial"/>
                <w:sz w:val="12"/>
                <w:szCs w:val="12"/>
                <w:color w:val="auto"/>
              </w:rPr>
              <w:t>Services, media and other</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221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Hybrid securities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340"/>
              <w:spacing w:after="0"/>
              <w:rPr>
                <w:sz w:val="20"/>
                <w:szCs w:val="20"/>
                <w:color w:val="auto"/>
              </w:rPr>
            </w:pPr>
            <w:r>
              <w:rPr>
                <w:rFonts w:ascii="Arial" w:cs="Arial" w:eastAsia="Arial" w:hAnsi="Arial"/>
                <w:sz w:val="12"/>
                <w:szCs w:val="12"/>
                <w:color w:val="auto"/>
              </w:rPr>
              <w:t>Non-agency residential mortgage backed securities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ind w:left="84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 mortgage backed securities</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60" w:type="dxa"/>
            <w:vAlign w:val="bottom"/>
          </w:tcPr>
          <w:p>
            <w:pPr>
              <w:ind w:left="340"/>
              <w:spacing w:after="0"/>
              <w:rPr>
                <w:sz w:val="20"/>
                <w:szCs w:val="20"/>
                <w:color w:val="auto"/>
              </w:rPr>
            </w:pPr>
            <w:r>
              <w:rPr>
                <w:rFonts w:ascii="Arial" w:cs="Arial" w:eastAsia="Arial" w:hAnsi="Arial"/>
                <w:sz w:val="12"/>
                <w:szCs w:val="12"/>
                <w:color w:val="auto"/>
              </w:rPr>
              <w:t>Asset backed securities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517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 fixed maturity available for sale securities</w:t>
            </w:r>
          </w:p>
        </w:tc>
        <w:tc>
          <w:tcPr>
            <w:tcW w:w="8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201</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1,585</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5"/>
              </w:rPr>
              <w:t>(1)</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1"/>
        </w:trPr>
        <w:tc>
          <w:tcPr>
            <w:tcW w:w="3760" w:type="dxa"/>
            <w:vAlign w:val="bottom"/>
          </w:tcPr>
          <w:p>
            <w:pPr>
              <w:ind w:left="340"/>
              <w:spacing w:after="0"/>
              <w:rPr>
                <w:sz w:val="20"/>
                <w:szCs w:val="20"/>
                <w:color w:val="auto"/>
              </w:rPr>
            </w:pPr>
            <w:r>
              <w:rPr>
                <w:rFonts w:ascii="Arial" w:cs="Arial" w:eastAsia="Arial" w:hAnsi="Arial"/>
                <w:sz w:val="12"/>
                <w:szCs w:val="12"/>
                <w:color w:val="auto"/>
              </w:rPr>
              <w:t>Equity securities</w:t>
            </w:r>
          </w:p>
        </w:tc>
        <w:tc>
          <w:tcPr>
            <w:tcW w:w="80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 investments</w:t>
            </w:r>
          </w:p>
        </w:tc>
        <w:tc>
          <w:tcPr>
            <w:tcW w:w="8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1,601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5"/>
              </w:rPr>
              <w:t>(1)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84" w:name="page85"/>
    <w:bookmarkEnd w:id="8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330"/>
        <w:spacing w:after="0" w:line="269" w:lineRule="auto"/>
        <w:rPr>
          <w:sz w:val="20"/>
          <w:szCs w:val="20"/>
          <w:color w:val="auto"/>
        </w:rPr>
      </w:pPr>
      <w:r>
        <w:rPr>
          <w:rFonts w:ascii="Arial" w:cs="Arial" w:eastAsia="Arial" w:hAnsi="Arial"/>
          <w:sz w:val="14"/>
          <w:szCs w:val="14"/>
          <w:color w:val="auto"/>
        </w:rPr>
        <w:t>The gross unrealized loss position on the fixed maturity available-for-sale fixed and equity portfolio was $148 million and $38 million as of June 30, 2021 and December 31, 2020, respectively. Most components of the portfolio exhibited price depreciation caused by higher treasury rates, offset by narrower spreads in certain sectors. The total amortized cost of all securities in an unrealized loss position was $5,215 million and $1,601 million as of June 30, 2021 and December 31, 2020, respectively. The average market value/book value of the investment category with the largest unrealized loss position was 96% for Services, media and other as of June 30, 2021. In aggregate, Services, media and other represented 23% of the total unrealized loss position as of June 30, 2021. The average market value/book value of the investment category with the largest unrealized loss position was 97% for Asset backed securities as of December 31, 2020. In aggregate, Asset backed securities represented 47% of the total unrealized loss position as of December 31, 2020.</w:t>
      </w:r>
    </w:p>
    <w:p>
      <w:pPr>
        <w:spacing w:after="0" w:line="7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The amortized cost and fair value of fixed maturity available for sale securities under watch list analysis and the number of months in a loss position with investment grade securities (NRSRO rating of BBB/Baa or higher) as of June 30, 2021 and December 31, 2020, were as follows (dollars in millions):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48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June 30, 2021</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48"/>
        </w:trPr>
        <w:tc>
          <w:tcPr>
            <w:tcW w:w="3480" w:type="dxa"/>
            <w:vAlign w:val="bottom"/>
          </w:tcPr>
          <w:p>
            <w:pPr>
              <w:spacing w:after="0"/>
              <w:rPr>
                <w:sz w:val="12"/>
                <w:szCs w:val="12"/>
                <w:color w:val="auto"/>
              </w:rPr>
            </w:pPr>
          </w:p>
        </w:tc>
        <w:tc>
          <w:tcPr>
            <w:tcW w:w="1280" w:type="dxa"/>
            <w:vAlign w:val="bottom"/>
          </w:tcPr>
          <w:p>
            <w:pPr>
              <w:ind w:left="220"/>
              <w:spacing w:after="0"/>
              <w:rPr>
                <w:sz w:val="20"/>
                <w:szCs w:val="20"/>
                <w:color w:val="auto"/>
              </w:rPr>
            </w:pPr>
            <w:r>
              <w:rPr>
                <w:rFonts w:ascii="Arial" w:cs="Arial" w:eastAsia="Arial" w:hAnsi="Arial"/>
                <w:sz w:val="12"/>
                <w:szCs w:val="12"/>
                <w:b w:val="1"/>
                <w:bCs w:val="1"/>
                <w:color w:val="auto"/>
                <w:w w:val="87"/>
              </w:rPr>
              <w:t>Number of securities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Amortized Cost</w:t>
            </w:r>
          </w:p>
        </w:tc>
        <w:tc>
          <w:tcPr>
            <w:tcW w:w="200" w:type="dxa"/>
            <w:vAlign w:val="bottom"/>
          </w:tcPr>
          <w:p>
            <w:pPr>
              <w:spacing w:after="0"/>
              <w:rPr>
                <w:sz w:val="12"/>
                <w:szCs w:val="12"/>
                <w:color w:val="auto"/>
              </w:rPr>
            </w:pPr>
          </w:p>
        </w:tc>
        <w:tc>
          <w:tcPr>
            <w:tcW w:w="1400" w:type="dxa"/>
            <w:vAlign w:val="bottom"/>
            <w:gridSpan w:val="2"/>
          </w:tcPr>
          <w:p>
            <w:pPr>
              <w:ind w:left="280"/>
              <w:spacing w:after="0"/>
              <w:rPr>
                <w:sz w:val="20"/>
                <w:szCs w:val="20"/>
                <w:color w:val="auto"/>
              </w:rPr>
            </w:pPr>
            <w:r>
              <w:rPr>
                <w:rFonts w:ascii="Arial" w:cs="Arial" w:eastAsia="Arial" w:hAnsi="Arial"/>
                <w:sz w:val="12"/>
                <w:szCs w:val="12"/>
                <w:b w:val="1"/>
                <w:bCs w:val="1"/>
                <w:color w:val="auto"/>
              </w:rPr>
              <w:t>Fair Value</w:t>
            </w:r>
          </w:p>
        </w:tc>
        <w:tc>
          <w:tcPr>
            <w:tcW w:w="80" w:type="dxa"/>
            <w:vAlign w:val="bottom"/>
          </w:tcPr>
          <w:p>
            <w:pPr>
              <w:spacing w:after="0"/>
              <w:rPr>
                <w:sz w:val="12"/>
                <w:szCs w:val="12"/>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Allowance for Credit Loss</w:t>
            </w:r>
          </w:p>
        </w:tc>
        <w:tc>
          <w:tcPr>
            <w:tcW w:w="1340" w:type="dxa"/>
            <w:vAlign w:val="bottom"/>
            <w:gridSpan w:val="2"/>
          </w:tcPr>
          <w:p>
            <w:pPr>
              <w:jc w:val="right"/>
              <w:ind w:right="1"/>
              <w:spacing w:after="0"/>
              <w:rPr>
                <w:sz w:val="20"/>
                <w:szCs w:val="20"/>
                <w:color w:val="auto"/>
              </w:rPr>
            </w:pPr>
            <w:r>
              <w:rPr>
                <w:rFonts w:ascii="Arial" w:cs="Arial" w:eastAsia="Arial" w:hAnsi="Arial"/>
                <w:sz w:val="12"/>
                <w:szCs w:val="12"/>
                <w:b w:val="1"/>
                <w:bCs w:val="1"/>
                <w:color w:val="auto"/>
                <w:w w:val="87"/>
              </w:rPr>
              <w:t>Gross Unrealized Losses</w:t>
            </w:r>
          </w:p>
        </w:tc>
      </w:tr>
      <w:tr>
        <w:trPr>
          <w:trHeight w:val="136"/>
        </w:trPr>
        <w:tc>
          <w:tcPr>
            <w:tcW w:w="348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Investment grade:</w:t>
            </w:r>
          </w:p>
        </w:tc>
        <w:tc>
          <w:tcPr>
            <w:tcW w:w="1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151"/>
        </w:trPr>
        <w:tc>
          <w:tcPr>
            <w:tcW w:w="4760" w:type="dxa"/>
            <w:vAlign w:val="bottom"/>
            <w:gridSpan w:val="2"/>
          </w:tcPr>
          <w:p>
            <w:pPr>
              <w:ind w:left="20"/>
              <w:spacing w:after="0"/>
              <w:rPr>
                <w:sz w:val="20"/>
                <w:szCs w:val="20"/>
                <w:color w:val="auto"/>
              </w:rPr>
            </w:pPr>
            <w:r>
              <w:rPr>
                <w:rFonts w:ascii="Arial" w:cs="Arial" w:eastAsia="Arial" w:hAnsi="Arial"/>
                <w:sz w:val="12"/>
                <w:szCs w:val="12"/>
                <w:color w:val="auto"/>
              </w:rPr>
              <w:t>Less than six months</w:t>
            </w:r>
          </w:p>
        </w:tc>
        <w:tc>
          <w:tcPr>
            <w:tcW w:w="20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3"/>
                <w:szCs w:val="13"/>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6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1"/>
        </w:trPr>
        <w:tc>
          <w:tcPr>
            <w:tcW w:w="4760" w:type="dxa"/>
            <w:vAlign w:val="bottom"/>
            <w:gridSpan w:val="2"/>
          </w:tcPr>
          <w:p>
            <w:pPr>
              <w:ind w:left="20"/>
              <w:spacing w:after="0"/>
              <w:rPr>
                <w:sz w:val="20"/>
                <w:szCs w:val="20"/>
                <w:color w:val="auto"/>
              </w:rPr>
            </w:pPr>
            <w:r>
              <w:rPr>
                <w:rFonts w:ascii="Arial" w:cs="Arial" w:eastAsia="Arial" w:hAnsi="Arial"/>
                <w:sz w:val="12"/>
                <w:szCs w:val="12"/>
                <w:color w:val="auto"/>
              </w:rPr>
              <w:t>Twelve months or greater</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4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3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investment grade</w:t>
            </w:r>
          </w:p>
        </w:tc>
        <w:tc>
          <w:tcPr>
            <w:tcW w:w="128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48"/>
        </w:trPr>
        <w:tc>
          <w:tcPr>
            <w:tcW w:w="3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4"/>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Below investment grade: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1"/>
        </w:trPr>
        <w:tc>
          <w:tcPr>
            <w:tcW w:w="4760" w:type="dxa"/>
            <w:vAlign w:val="bottom"/>
            <w:gridSpan w:val="2"/>
          </w:tcPr>
          <w:p>
            <w:pPr>
              <w:ind w:left="20"/>
              <w:spacing w:after="0"/>
              <w:rPr>
                <w:sz w:val="20"/>
                <w:szCs w:val="20"/>
                <w:color w:val="auto"/>
              </w:rPr>
            </w:pPr>
            <w:r>
              <w:rPr>
                <w:rFonts w:ascii="Arial" w:cs="Arial" w:eastAsia="Arial" w:hAnsi="Arial"/>
                <w:sz w:val="12"/>
                <w:szCs w:val="12"/>
                <w:color w:val="auto"/>
              </w:rPr>
              <w:t>Less than six months</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1"/>
        </w:trPr>
        <w:tc>
          <w:tcPr>
            <w:tcW w:w="4760" w:type="dxa"/>
            <w:vAlign w:val="bottom"/>
            <w:gridSpan w:val="2"/>
          </w:tcPr>
          <w:p>
            <w:pPr>
              <w:ind w:left="20"/>
              <w:spacing w:after="0"/>
              <w:rPr>
                <w:sz w:val="20"/>
                <w:szCs w:val="20"/>
                <w:color w:val="auto"/>
              </w:rPr>
            </w:pPr>
            <w:r>
              <w:rPr>
                <w:rFonts w:ascii="Arial" w:cs="Arial" w:eastAsia="Arial" w:hAnsi="Arial"/>
                <w:sz w:val="12"/>
                <w:szCs w:val="12"/>
                <w:color w:val="auto"/>
              </w:rPr>
              <w:t>Twelve months or greater</w:t>
            </w:r>
          </w:p>
        </w:tc>
        <w:tc>
          <w:tcPr>
            <w:tcW w:w="2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8"/>
        </w:trPr>
        <w:tc>
          <w:tcPr>
            <w:tcW w:w="3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below investment grade</w:t>
            </w:r>
          </w:p>
        </w:tc>
        <w:tc>
          <w:tcPr>
            <w:tcW w:w="128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45"/>
        </w:trPr>
        <w:tc>
          <w:tcPr>
            <w:tcW w:w="4760" w:type="dxa"/>
            <w:vAlign w:val="bottom"/>
            <w:gridSpan w:val="2"/>
          </w:tcPr>
          <w:p>
            <w:pPr>
              <w:ind w:left="2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248</w:t>
            </w:r>
          </w:p>
        </w:tc>
        <w:tc>
          <w:tcPr>
            <w:tcW w:w="120" w:type="dxa"/>
            <w:vAlign w:val="bottom"/>
          </w:tcPr>
          <w:p>
            <w:pPr>
              <w:spacing w:after="0"/>
              <w:rPr>
                <w:sz w:val="12"/>
                <w:szCs w:val="12"/>
                <w:color w:val="auto"/>
              </w:rPr>
            </w:pP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224</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ind w:left="1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ind w:right="46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4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34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December 31, 2020</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47"/>
        </w:trPr>
        <w:tc>
          <w:tcPr>
            <w:tcW w:w="3480" w:type="dxa"/>
            <w:vAlign w:val="bottom"/>
            <w:shd w:val="clear" w:color="auto" w:fill="CCEEFF"/>
          </w:tcPr>
          <w:p>
            <w:pPr>
              <w:spacing w:after="0"/>
              <w:rPr>
                <w:sz w:val="12"/>
                <w:szCs w:val="12"/>
                <w:color w:val="auto"/>
              </w:rPr>
            </w:pPr>
          </w:p>
        </w:tc>
        <w:tc>
          <w:tcPr>
            <w:tcW w:w="1280" w:type="dxa"/>
            <w:vAlign w:val="bottom"/>
            <w:shd w:val="clear" w:color="auto" w:fill="CCEEFF"/>
          </w:tcPr>
          <w:p>
            <w:pPr>
              <w:ind w:left="220"/>
              <w:spacing w:after="0"/>
              <w:rPr>
                <w:sz w:val="20"/>
                <w:szCs w:val="20"/>
                <w:color w:val="auto"/>
              </w:rPr>
            </w:pPr>
            <w:r>
              <w:rPr>
                <w:rFonts w:ascii="Arial" w:cs="Arial" w:eastAsia="Arial" w:hAnsi="Arial"/>
                <w:sz w:val="12"/>
                <w:szCs w:val="12"/>
                <w:b w:val="1"/>
                <w:bCs w:val="1"/>
                <w:color w:val="auto"/>
                <w:w w:val="87"/>
              </w:rPr>
              <w:t>Number of securities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2"/>
                <w:szCs w:val="12"/>
                <w:b w:val="1"/>
                <w:bCs w:val="1"/>
                <w:color w:val="auto"/>
              </w:rPr>
              <w:t>Amortized Cost</w:t>
            </w: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2"/>
                <w:szCs w:val="12"/>
                <w:b w:val="1"/>
                <w:bCs w:val="1"/>
                <w:color w:val="auto"/>
              </w:rPr>
              <w:t>Fair Value</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Allowance for Credit Loss</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2"/>
                <w:szCs w:val="12"/>
                <w:b w:val="1"/>
                <w:bCs w:val="1"/>
                <w:color w:val="auto"/>
                <w:w w:val="87"/>
              </w:rPr>
              <w:t>Gross Unrealized Losses</w:t>
            </w:r>
          </w:p>
        </w:tc>
      </w:tr>
      <w:tr>
        <w:trPr>
          <w:trHeight w:val="132"/>
        </w:trPr>
        <w:tc>
          <w:tcPr>
            <w:tcW w:w="3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Investment grade:</w:t>
            </w:r>
          </w:p>
        </w:tc>
        <w:tc>
          <w:tcPr>
            <w:tcW w:w="1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5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than six months</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ind w:left="1260"/>
              <w:spacing w:after="0"/>
              <w:rPr>
                <w:sz w:val="20"/>
                <w:szCs w:val="20"/>
                <w:color w:val="auto"/>
              </w:rPr>
            </w:pPr>
            <w:r>
              <w:rPr>
                <w:rFonts w:ascii="Arial" w:cs="Arial" w:eastAsia="Arial" w:hAnsi="Arial"/>
                <w:sz w:val="12"/>
                <w:szCs w:val="12"/>
                <w:color w:val="auto"/>
                <w:w w:val="95"/>
              </w:rPr>
              <w:t>(6)</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ind w:left="580"/>
              <w:spacing w:after="0"/>
              <w:rPr>
                <w:sz w:val="20"/>
                <w:szCs w:val="20"/>
                <w:color w:val="auto"/>
              </w:rPr>
            </w:pPr>
            <w:r>
              <w:rPr>
                <w:rFonts w:ascii="Arial" w:cs="Arial" w:eastAsia="Arial" w:hAnsi="Arial"/>
                <w:sz w:val="12"/>
                <w:szCs w:val="12"/>
                <w:color w:val="auto"/>
                <w:w w:val="81"/>
              </w:rPr>
              <w:t>(1)</w:t>
            </w:r>
          </w:p>
        </w:tc>
      </w:tr>
      <w:tr>
        <w:trPr>
          <w:trHeight w:val="151"/>
        </w:trPr>
        <w:tc>
          <w:tcPr>
            <w:tcW w:w="4760" w:type="dxa"/>
            <w:vAlign w:val="bottom"/>
            <w:gridSpan w:val="2"/>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4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Arial" w:cs="Arial" w:eastAsia="Arial" w:hAnsi="Arial"/>
                <w:sz w:val="12"/>
                <w:szCs w:val="12"/>
                <w:color w:val="auto"/>
              </w:rPr>
              <w:t>—</w:t>
            </w:r>
          </w:p>
        </w:tc>
      </w:tr>
      <w:tr>
        <w:trPr>
          <w:trHeight w:val="15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Twelve months or greater</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r>
      <w:tr>
        <w:trPr>
          <w:trHeight w:val="142"/>
        </w:trPr>
        <w:tc>
          <w:tcPr>
            <w:tcW w:w="3480" w:type="dxa"/>
            <w:vAlign w:val="bottom"/>
            <w:tcBorders>
              <w:bottom w:val="single" w:sz="8" w:color="CCEEFF"/>
            </w:tcBorders>
          </w:tcPr>
          <w:p>
            <w:pPr>
              <w:ind w:left="180"/>
              <w:spacing w:after="0" w:line="135" w:lineRule="exact"/>
              <w:rPr>
                <w:sz w:val="20"/>
                <w:szCs w:val="20"/>
                <w:color w:val="auto"/>
              </w:rPr>
            </w:pPr>
            <w:r>
              <w:rPr>
                <w:rFonts w:ascii="Arial" w:cs="Arial" w:eastAsia="Arial" w:hAnsi="Arial"/>
                <w:sz w:val="12"/>
                <w:szCs w:val="12"/>
                <w:color w:val="auto"/>
              </w:rPr>
              <w:t>Total investment grade</w:t>
            </w:r>
          </w:p>
        </w:tc>
        <w:tc>
          <w:tcPr>
            <w:tcW w:w="1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95</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2"/>
                <w:szCs w:val="12"/>
                <w:color w:val="auto"/>
                <w:w w:val="95"/>
              </w:rPr>
              <w:t>(6)</w:t>
            </w: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2"/>
                <w:szCs w:val="12"/>
                <w:color w:val="auto"/>
                <w:w w:val="81"/>
              </w:rPr>
              <w:t>(1)</w:t>
            </w:r>
          </w:p>
        </w:tc>
      </w:tr>
      <w:tr>
        <w:trPr>
          <w:trHeight w:val="148"/>
        </w:trPr>
        <w:tc>
          <w:tcPr>
            <w:tcW w:w="34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4760" w:type="dxa"/>
            <w:vAlign w:val="bottom"/>
            <w:gridSpan w:val="2"/>
          </w:tcPr>
          <w:p>
            <w:pPr>
              <w:ind w:left="20"/>
              <w:spacing w:after="0"/>
              <w:rPr>
                <w:sz w:val="20"/>
                <w:szCs w:val="20"/>
                <w:color w:val="auto"/>
              </w:rPr>
            </w:pPr>
            <w:r>
              <w:rPr>
                <w:rFonts w:ascii="Arial" w:cs="Arial" w:eastAsia="Arial" w:hAnsi="Arial"/>
                <w:sz w:val="12"/>
                <w:szCs w:val="12"/>
                <w:b w:val="1"/>
                <w:bCs w:val="1"/>
                <w:color w:val="auto"/>
              </w:rPr>
              <w:t>Below investment grade: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than six months</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r>
      <w:tr>
        <w:trPr>
          <w:trHeight w:val="151"/>
        </w:trPr>
        <w:tc>
          <w:tcPr>
            <w:tcW w:w="4760" w:type="dxa"/>
            <w:vAlign w:val="bottom"/>
            <w:gridSpan w:val="2"/>
          </w:tcPr>
          <w:p>
            <w:pPr>
              <w:ind w:left="20"/>
              <w:spacing w:after="0"/>
              <w:rPr>
                <w:sz w:val="20"/>
                <w:szCs w:val="20"/>
                <w:color w:val="auto"/>
              </w:rPr>
            </w:pPr>
            <w:r>
              <w:rPr>
                <w:rFonts w:ascii="Arial" w:cs="Arial" w:eastAsia="Arial" w:hAnsi="Arial"/>
                <w:sz w:val="12"/>
                <w:szCs w:val="12"/>
                <w:color w:val="auto"/>
              </w:rPr>
              <w:t>Six months or more and less than twelve months</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4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Arial" w:cs="Arial" w:eastAsia="Arial" w:hAnsi="Arial"/>
                <w:sz w:val="12"/>
                <w:szCs w:val="12"/>
                <w:color w:val="auto"/>
              </w:rPr>
              <w:t>—</w:t>
            </w:r>
          </w:p>
        </w:tc>
      </w:tr>
      <w:tr>
        <w:trPr>
          <w:trHeight w:val="15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Twelve months or greater</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r>
      <w:tr>
        <w:trPr>
          <w:trHeight w:val="142"/>
        </w:trPr>
        <w:tc>
          <w:tcPr>
            <w:tcW w:w="3480" w:type="dxa"/>
            <w:vAlign w:val="bottom"/>
            <w:tcBorders>
              <w:bottom w:val="single" w:sz="8" w:color="CCEEFF"/>
            </w:tcBorders>
          </w:tcPr>
          <w:p>
            <w:pPr>
              <w:ind w:left="180"/>
              <w:spacing w:after="0" w:line="135" w:lineRule="exact"/>
              <w:rPr>
                <w:sz w:val="20"/>
                <w:szCs w:val="20"/>
                <w:color w:val="auto"/>
              </w:rPr>
            </w:pPr>
            <w:r>
              <w:rPr>
                <w:rFonts w:ascii="Arial" w:cs="Arial" w:eastAsia="Arial" w:hAnsi="Arial"/>
                <w:sz w:val="12"/>
                <w:szCs w:val="12"/>
                <w:color w:val="auto"/>
              </w:rPr>
              <w:t>Total below investment grade</w:t>
            </w:r>
          </w:p>
        </w:tc>
        <w:tc>
          <w:tcPr>
            <w:tcW w:w="1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color w:val="auto"/>
              </w:rPr>
              <w:t>—</w:t>
            </w:r>
          </w:p>
        </w:tc>
      </w:tr>
      <w:tr>
        <w:trPr>
          <w:trHeight w:val="168"/>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ind w:left="1260"/>
              <w:spacing w:after="0"/>
              <w:rPr>
                <w:sz w:val="20"/>
                <w:szCs w:val="20"/>
                <w:color w:val="auto"/>
              </w:rPr>
            </w:pPr>
            <w:r>
              <w:rPr>
                <w:rFonts w:ascii="Arial" w:cs="Arial" w:eastAsia="Arial" w:hAnsi="Arial"/>
                <w:sz w:val="12"/>
                <w:szCs w:val="12"/>
                <w:color w:val="auto"/>
                <w:w w:val="95"/>
              </w:rPr>
              <w:t>(6)</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ind w:left="580"/>
              <w:spacing w:after="0"/>
              <w:rPr>
                <w:sz w:val="20"/>
                <w:szCs w:val="20"/>
                <w:color w:val="auto"/>
              </w:rPr>
            </w:pPr>
            <w:r>
              <w:rPr>
                <w:rFonts w:ascii="Arial" w:cs="Arial" w:eastAsia="Arial" w:hAnsi="Arial"/>
                <w:sz w:val="12"/>
                <w:szCs w:val="12"/>
                <w:color w:val="auto"/>
                <w:w w:val="81"/>
              </w:rPr>
              <w:t>(1)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3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76"/>
        </w:trPr>
        <w:tc>
          <w:tcPr>
            <w:tcW w:w="34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Expected Credit Losses and Watch List</w:t>
      </w:r>
    </w:p>
    <w:p>
      <w:pPr>
        <w:spacing w:after="0" w:line="14" w:lineRule="exact"/>
        <w:rPr>
          <w:sz w:val="20"/>
          <w:szCs w:val="20"/>
          <w:color w:val="auto"/>
        </w:rPr>
      </w:pPr>
    </w:p>
    <w:p>
      <w:pPr>
        <w:jc w:val="both"/>
        <w:ind w:firstLine="330"/>
        <w:spacing w:after="0" w:line="296" w:lineRule="auto"/>
        <w:rPr>
          <w:sz w:val="20"/>
          <w:szCs w:val="20"/>
          <w:color w:val="auto"/>
        </w:rPr>
      </w:pPr>
      <w:r>
        <w:rPr>
          <w:rFonts w:ascii="Arial" w:cs="Arial" w:eastAsia="Arial" w:hAnsi="Arial"/>
          <w:sz w:val="13"/>
          <w:szCs w:val="13"/>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June 30, 2021, our watch list included seventeen securities in an unrealized loss position with an amortized cost of $248 million, allowance for expected credit losses of $0 million, unrealized losses of $24 million and a fair value of $224 million.</w:t>
      </w:r>
    </w:p>
    <w:p>
      <w:pPr>
        <w:spacing w:after="0" w:line="54"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At December 31, 2020, our watch list included four securities in an unrealized loss position with an amortized cost of $102 million, allowance for expected credit losses of $6 million, unrealized losses of $1 million and a fair value of $95 million.</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watch list excludes structured securities due to a revision of processes as a result of ASU 2016-13.</w:t>
      </w:r>
    </w:p>
    <w:p>
      <w:pPr>
        <w:spacing w:after="0" w:line="102"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There were 26 and 36 structured securities with a fair value of $38 million and $65 million to which we had potential credit exposure as of June 30, 2021 and December 31, 2020, respectively. Our analysis of these structured securities, which included cash flow testing, resulted in allowances for expected credit losses of $7 million and $3 million as of June 30, 2021 and December 31,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Exposure to Sovereign Debt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investment portfolio had no direct exposure to European sovereign debt as of June 30, 2021 and December 31,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June 30, 2021 and December 31, 2020, the Company also had no material exposure risk related to financial investments in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investment income</w:t>
      </w:r>
    </w:p>
    <w:p>
      <w:pPr>
        <w:spacing w:after="0" w:line="135"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For discussion regarding our net investment income and net investment gains (losses) refer to Note D to the unaudited Condensed Consolidated Financial Statements included in Item 1 of Part I of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AFS Securities</w:t>
      </w:r>
    </w:p>
    <w:p>
      <w:pPr>
        <w:spacing w:after="0" w:line="102"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For additional information regarding our AFS securities, including the amortized cost, gross unrealized gains (losses), and fair value as well as the amortized cost and fair value of fixed maturity AFS securities by contractual maturities, as of June 30, 2021 and December 31, 2020, refer to Note D to the unaudited Condensed Consolidated Financial Statements included in Item 1 of Part I of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Concentrations of Financial Instruments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have been no material changes in the concentrations of financial instruments described in our Annual Report on Form 10-K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Derivatives</w:t>
      </w:r>
    </w:p>
    <w:p>
      <w:pPr>
        <w:spacing w:after="0" w:line="113"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We are exposed to credit loss in the event of nonperformance by our counterparties on call options. We attempt to reduce this credit risk by purchasing such options from large, well-established financial institutions.</w:t>
      </w:r>
    </w:p>
    <w:p>
      <w:pPr>
        <w:spacing w:after="0" w:line="71" w:lineRule="exact"/>
        <w:rPr>
          <w:sz w:val="20"/>
          <w:szCs w:val="20"/>
          <w:color w:val="auto"/>
        </w:rPr>
      </w:pPr>
    </w:p>
    <w:p>
      <w:pPr>
        <w:jc w:val="both"/>
        <w:ind w:firstLine="330"/>
        <w:spacing w:after="0" w:line="264" w:lineRule="auto"/>
        <w:rPr>
          <w:sz w:val="20"/>
          <w:szCs w:val="20"/>
          <w:color w:val="auto"/>
        </w:rPr>
      </w:pPr>
      <w:r>
        <w:rPr>
          <w:rFonts w:ascii="Arial" w:cs="Arial" w:eastAsia="Arial" w:hAnsi="Arial"/>
          <w:sz w:val="15"/>
          <w:szCs w:val="15"/>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1" w:lineRule="exact"/>
        <w:rPr>
          <w:sz w:val="20"/>
          <w:szCs w:val="20"/>
          <w:color w:val="auto"/>
        </w:rPr>
      </w:pPr>
    </w:p>
    <w:p>
      <w:pPr>
        <w:jc w:val="both"/>
        <w:ind w:firstLine="330"/>
        <w:spacing w:after="0" w:line="251" w:lineRule="auto"/>
        <w:rPr>
          <w:sz w:val="20"/>
          <w:szCs w:val="20"/>
          <w:color w:val="auto"/>
        </w:rPr>
      </w:pPr>
      <w:r>
        <w:rPr>
          <w:rFonts w:ascii="Arial" w:cs="Arial" w:eastAsia="Arial" w:hAnsi="Arial"/>
          <w:sz w:val="15"/>
          <w:szCs w:val="15"/>
          <w:color w:val="auto"/>
        </w:rPr>
        <w:t>The Company is required to pay counterparties the effective federal funds rate each day for cash collateral posted to F&amp;G for daily mark to market margin changes. The Company reduces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80" w:firstLine="330"/>
        <w:spacing w:after="0" w:line="264" w:lineRule="auto"/>
        <w:rPr>
          <w:sz w:val="20"/>
          <w:szCs w:val="20"/>
          <w:color w:val="auto"/>
        </w:rPr>
      </w:pPr>
      <w:r>
        <w:rPr>
          <w:rFonts w:ascii="Arial" w:cs="Arial" w:eastAsia="Arial" w:hAnsi="Arial"/>
          <w:sz w:val="15"/>
          <w:szCs w:val="15"/>
          <w:color w:val="auto"/>
        </w:rPr>
        <w:t>See Note E to the unaudited Condensed Consolidated Financial Statements included in Item 1 of Part I of this Report for additional information regarding our derivatives and our exposure to credit loss on call options.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and Other</w:t>
      </w:r>
    </w:p>
    <w:p>
      <w:pPr>
        <w:spacing w:after="0" w:line="102" w:lineRule="exact"/>
        <w:rPr>
          <w:sz w:val="20"/>
          <w:szCs w:val="20"/>
          <w:color w:val="auto"/>
        </w:rPr>
      </w:pPr>
    </w:p>
    <w:p>
      <w:pPr>
        <w:jc w:val="both"/>
        <w:ind w:right="80" w:firstLine="330"/>
        <w:spacing w:after="0" w:line="270" w:lineRule="auto"/>
        <w:rPr>
          <w:sz w:val="20"/>
          <w:szCs w:val="20"/>
          <w:color w:val="auto"/>
        </w:rPr>
      </w:pPr>
      <w:r>
        <w:rPr>
          <w:rFonts w:ascii="Arial" w:cs="Arial" w:eastAsia="Arial" w:hAnsi="Arial"/>
          <w:sz w:val="14"/>
          <w:szCs w:val="14"/>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ind w:left="280"/>
        <w:spacing w:after="0"/>
        <w:rPr>
          <w:sz w:val="20"/>
          <w:szCs w:val="20"/>
          <w:color w:val="auto"/>
        </w:rPr>
      </w:pPr>
      <w:r>
        <w:rPr>
          <w:rFonts w:ascii="Arial" w:cs="Arial" w:eastAsia="Arial" w:hAnsi="Arial"/>
          <w:sz w:val="15"/>
          <w:szCs w:val="15"/>
          <w:color w:val="auto"/>
        </w:rPr>
        <w:t>The following table presents the results from operations of our Corporate and Other segment:</w:t>
      </w:r>
    </w:p>
    <w:p>
      <w:pPr>
        <w:spacing w:after="0" w:line="107"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546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2"/>
                <w:szCs w:val="12"/>
                <w:b w:val="1"/>
                <w:bCs w:val="1"/>
                <w:color w:val="auto"/>
              </w:rPr>
              <w:t>Six months ended June 30,</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gridSpan w:val="3"/>
          </w:tcPr>
          <w:p>
            <w:pPr>
              <w:jc w:val="right"/>
              <w:ind w:right="612"/>
              <w:spacing w:after="0"/>
              <w:rPr>
                <w:sz w:val="20"/>
                <w:szCs w:val="20"/>
                <w:color w:val="auto"/>
              </w:rPr>
            </w:pPr>
            <w:r>
              <w:rPr>
                <w:rFonts w:ascii="Arial" w:cs="Arial" w:eastAsia="Arial" w:hAnsi="Arial"/>
                <w:sz w:val="12"/>
                <w:szCs w:val="12"/>
                <w:b w:val="1"/>
                <w:bCs w:val="1"/>
                <w:color w:val="auto"/>
              </w:rPr>
              <w:t>(In millions)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2"/>
                <w:szCs w:val="12"/>
                <w:b w:val="1"/>
                <w:bCs w:val="1"/>
                <w:color w:val="auto"/>
              </w:rPr>
              <w:t>(In millions)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460" w:type="dxa"/>
            <w:vAlign w:val="bottom"/>
          </w:tcPr>
          <w:p>
            <w:pPr>
              <w:ind w:left="220"/>
              <w:spacing w:after="0"/>
              <w:rPr>
                <w:sz w:val="20"/>
                <w:szCs w:val="20"/>
                <w:color w:val="auto"/>
              </w:rPr>
            </w:pPr>
            <w:r>
              <w:rPr>
                <w:rFonts w:ascii="Arial" w:cs="Arial" w:eastAsia="Arial" w:hAnsi="Arial"/>
                <w:sz w:val="15"/>
                <w:szCs w:val="15"/>
                <w:color w:val="auto"/>
              </w:rPr>
              <w:t>Revenues: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Escrow, title-related and other fees</w:t>
            </w:r>
          </w:p>
        </w:tc>
        <w:tc>
          <w:tcPr>
            <w:tcW w:w="1040" w:type="dxa"/>
            <w:vAlign w:val="bottom"/>
            <w:shd w:val="clear" w:color="auto" w:fill="CCEEFF"/>
          </w:tcPr>
          <w:p>
            <w:pPr>
              <w:jc w:val="right"/>
              <w:ind w:right="694"/>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52"/>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4"/>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52"/>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7"/>
        </w:trPr>
        <w:tc>
          <w:tcPr>
            <w:tcW w:w="5460" w:type="dxa"/>
            <w:vAlign w:val="bottom"/>
          </w:tcPr>
          <w:p>
            <w:pPr>
              <w:ind w:left="380"/>
              <w:spacing w:after="0"/>
              <w:rPr>
                <w:sz w:val="20"/>
                <w:szCs w:val="20"/>
                <w:color w:val="auto"/>
              </w:rPr>
            </w:pPr>
            <w:r>
              <w:rPr>
                <w:rFonts w:ascii="Arial" w:cs="Arial" w:eastAsia="Arial" w:hAnsi="Arial"/>
                <w:sz w:val="15"/>
                <w:szCs w:val="15"/>
                <w:color w:val="auto"/>
              </w:rPr>
              <w:t>Interest and investment income</w:t>
            </w:r>
          </w:p>
        </w:tc>
        <w:tc>
          <w:tcPr>
            <w:tcW w:w="10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Recognized gains and losses, net</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546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Expenses:</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tcPr>
          <w:p>
            <w:pPr>
              <w:ind w:left="380"/>
              <w:spacing w:after="0"/>
              <w:rPr>
                <w:sz w:val="20"/>
                <w:szCs w:val="20"/>
                <w:color w:val="auto"/>
              </w:rPr>
            </w:pPr>
            <w:r>
              <w:rPr>
                <w:rFonts w:ascii="Arial" w:cs="Arial" w:eastAsia="Arial" w:hAnsi="Arial"/>
                <w:sz w:val="15"/>
                <w:szCs w:val="15"/>
                <w:color w:val="auto"/>
              </w:rPr>
              <w:t>Personnel costs</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operating expenses</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87"/>
        </w:trPr>
        <w:tc>
          <w:tcPr>
            <w:tcW w:w="5460" w:type="dxa"/>
            <w:vAlign w:val="bottom"/>
          </w:tcPr>
          <w:p>
            <w:pPr>
              <w:ind w:left="380"/>
              <w:spacing w:after="0"/>
              <w:rPr>
                <w:sz w:val="20"/>
                <w:szCs w:val="20"/>
                <w:color w:val="auto"/>
              </w:rPr>
            </w:pPr>
            <w:r>
              <w:rPr>
                <w:rFonts w:ascii="Arial" w:cs="Arial" w:eastAsia="Arial" w:hAnsi="Arial"/>
                <w:sz w:val="15"/>
                <w:szCs w:val="15"/>
                <w:color w:val="auto"/>
              </w:rPr>
              <w:t>Depreciation and amortization</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expense</w:t>
            </w:r>
          </w:p>
        </w:tc>
        <w:tc>
          <w:tcPr>
            <w:tcW w:w="10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8"/>
        </w:trPr>
        <w:tc>
          <w:tcPr>
            <w:tcW w:w="546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expenses</w:t>
            </w: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23"/>
        </w:trPr>
        <w:tc>
          <w:tcPr>
            <w:tcW w:w="546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Loss from continuing operations, before income taxes and equity in earnings of</w:t>
            </w:r>
          </w:p>
        </w:tc>
        <w:tc>
          <w:tcPr>
            <w:tcW w:w="1040" w:type="dxa"/>
            <w:vAlign w:val="bottom"/>
            <w:vMerge w:val="restart"/>
            <w:shd w:val="clear" w:color="auto" w:fill="CCEEFF"/>
          </w:tcPr>
          <w:p>
            <w:pPr>
              <w:jc w:val="right"/>
              <w:ind w:right="694"/>
              <w:spacing w:after="0"/>
              <w:rPr>
                <w:sz w:val="20"/>
                <w:szCs w:val="20"/>
                <w:color w:val="auto"/>
              </w:rPr>
            </w:pPr>
            <w:r>
              <w:rPr>
                <w:rFonts w:ascii="Arial" w:cs="Arial" w:eastAsia="Arial" w:hAnsi="Arial"/>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652"/>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594"/>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652"/>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4"/>
        </w:trPr>
        <w:tc>
          <w:tcPr>
            <w:tcW w:w="5460" w:type="dxa"/>
            <w:vAlign w:val="bottom"/>
            <w:tcBorders>
              <w:bottom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unconsolidated affiliates</w:t>
            </w: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jc w:val="both"/>
        <w:ind w:right="80" w:firstLine="198"/>
        <w:spacing w:after="0" w:line="264" w:lineRule="auto"/>
        <w:rPr>
          <w:sz w:val="20"/>
          <w:szCs w:val="20"/>
          <w:color w:val="auto"/>
        </w:rPr>
      </w:pPr>
      <w:r>
        <w:rPr>
          <w:rFonts w:ascii="Arial" w:cs="Arial" w:eastAsia="Arial" w:hAnsi="Arial"/>
          <w:sz w:val="15"/>
          <w:szCs w:val="15"/>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60" w:lineRule="exact"/>
        <w:rPr>
          <w:sz w:val="20"/>
          <w:szCs w:val="20"/>
          <w:color w:val="auto"/>
        </w:rPr>
      </w:pPr>
    </w:p>
    <w:p>
      <w:pPr>
        <w:jc w:val="both"/>
        <w:ind w:right="80" w:firstLine="198"/>
        <w:spacing w:after="0" w:line="302" w:lineRule="auto"/>
        <w:rPr>
          <w:sz w:val="20"/>
          <w:szCs w:val="20"/>
          <w:color w:val="auto"/>
        </w:rPr>
      </w:pPr>
      <w:r>
        <w:rPr>
          <w:rFonts w:ascii="Arial" w:cs="Arial" w:eastAsia="Arial" w:hAnsi="Arial"/>
          <w:sz w:val="13"/>
          <w:szCs w:val="13"/>
          <w:color w:val="auto"/>
        </w:rPr>
        <w:t>Total revenues in the Corporate and Other segment decreased $16 million, or 22%, in the three-month period ended June 30, 2021 and increased $37 million, or 61% in the six-month period ended June 30, 2021 from the corresponding period in 2020. The decrease in the three-month period is primarily attributable to decreased valuation gains of approximately $30 million associated with our deferred compensation plan assets in the 2021 period as compared to the corresponding period in the 2020. The increase in the six-month period is primarily attributable to year-over-year increases in valuation gains of $22 million associated with our deferred compensation plan assets compared to the corresponding period in 2020.</w:t>
      </w:r>
    </w:p>
    <w:p>
      <w:pPr>
        <w:spacing w:after="0" w:line="39" w:lineRule="exact"/>
        <w:rPr>
          <w:sz w:val="20"/>
          <w:szCs w:val="20"/>
          <w:color w:val="auto"/>
        </w:rPr>
      </w:pPr>
    </w:p>
    <w:p>
      <w:pPr>
        <w:jc w:val="both"/>
        <w:ind w:right="80" w:firstLine="198"/>
        <w:spacing w:after="0" w:line="311" w:lineRule="auto"/>
        <w:rPr>
          <w:sz w:val="20"/>
          <w:szCs w:val="20"/>
          <w:color w:val="auto"/>
        </w:rPr>
      </w:pPr>
      <w:r>
        <w:rPr>
          <w:rFonts w:ascii="Arial" w:cs="Arial" w:eastAsia="Arial" w:hAnsi="Arial"/>
          <w:sz w:val="13"/>
          <w:szCs w:val="13"/>
          <w:color w:val="auto"/>
        </w:rPr>
        <w:t>Personnel costs in the Corporate and Other segment decreased $26 million, or 45%, in the three-month period ended June 30, 2021 and increased $30 million, or 97% in the six-month period ended June 30, 2021 from the corresponding period in 2020. The decrease in the three-month period and the increase in the six-month period compared to the corresponding periods in 2020 are primarily attributable to variability in expense associated with the aforementioned valuation changes associated with our deferred compensation plan assets.</w:t>
      </w:r>
    </w:p>
    <w:p>
      <w:pPr>
        <w:spacing w:after="0" w:line="34" w:lineRule="exact"/>
        <w:rPr>
          <w:sz w:val="20"/>
          <w:szCs w:val="20"/>
          <w:color w:val="auto"/>
        </w:rPr>
      </w:pPr>
    </w:p>
    <w:p>
      <w:pPr>
        <w:jc w:val="both"/>
        <w:ind w:right="80" w:firstLine="198"/>
        <w:spacing w:after="0" w:line="297" w:lineRule="auto"/>
        <w:rPr>
          <w:sz w:val="20"/>
          <w:szCs w:val="20"/>
          <w:color w:val="auto"/>
        </w:rPr>
      </w:pPr>
      <w:r>
        <w:rPr>
          <w:rFonts w:ascii="Arial" w:cs="Arial" w:eastAsia="Arial" w:hAnsi="Arial"/>
          <w:sz w:val="13"/>
          <w:szCs w:val="13"/>
          <w:color w:val="auto"/>
        </w:rPr>
        <w:t>Other operating expenses in the Corporate and Other segment decreased $35 million, or 58%, in the three-month period ended June 30, 2021 and decreased $41 million, or 45% in the six-month period ended June 30, 2021 from the corresponding periods in 2020. The decrease in the three month period is primarily attributable to a decrease in F&amp;G transaction costs of approximately $36 million and reduced real estate brokerage expenses of $6 million in the 2021 period related to previous divestitures, partially offset by growth in our real estate technology businesses of $4 million. The decrease in the six-month period is primarily attributable to a decrease in F&amp;G transaction costs of approximately $38 million and reduced real estate brokerage expenses of $12 million in the 2021 period related to previous divestitures, partially offset by growth in our real estate technology businesses of $6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87" w:name="page88"/>
    <w:bookmarkEnd w:id="8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198"/>
        <w:spacing w:after="0" w:line="300" w:lineRule="auto"/>
        <w:rPr>
          <w:sz w:val="20"/>
          <w:szCs w:val="20"/>
          <w:color w:val="auto"/>
        </w:rPr>
      </w:pPr>
      <w:r>
        <w:rPr>
          <w:rFonts w:ascii="Arial" w:cs="Arial" w:eastAsia="Arial" w:hAnsi="Arial"/>
          <w:sz w:val="14"/>
          <w:szCs w:val="14"/>
          <w:color w:val="auto"/>
        </w:rPr>
        <w:t>Interest expense in the Corporate and Other segment increased $4 million, or 24%, in the three-month period ended June 30, 2021 and increased $12 million or 41%, in the six-month period ended June 30, 2021 from the corresponding periods in 2020. The increases are primarily attributable to increased average debt outstanding in the 2021 periods.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95" w:lineRule="exact"/>
        <w:rPr>
          <w:sz w:val="20"/>
          <w:szCs w:val="20"/>
          <w:color w:val="auto"/>
        </w:rPr>
      </w:pPr>
    </w:p>
    <w:p>
      <w:pPr>
        <w:jc w:val="both"/>
        <w:ind w:firstLine="264"/>
        <w:spacing w:after="0" w:line="271" w:lineRule="auto"/>
        <w:rPr>
          <w:sz w:val="20"/>
          <w:szCs w:val="20"/>
          <w:color w:val="auto"/>
        </w:rPr>
      </w:pPr>
      <w:r>
        <w:rPr>
          <w:rFonts w:ascii="Arial" w:cs="Arial" w:eastAsia="Arial" w:hAnsi="Arial"/>
          <w:sz w:val="14"/>
          <w:szCs w:val="14"/>
          <w:i w:val="1"/>
          <w:iCs w:val="1"/>
          <w:color w:val="auto"/>
        </w:rPr>
        <w:t xml:space="preserve">Cash Requirements. </w:t>
      </w:r>
      <w:r>
        <w:rPr>
          <w:rFonts w:ascii="Arial" w:cs="Arial" w:eastAsia="Arial" w:hAnsi="Arial"/>
          <w:sz w:val="14"/>
          <w:szCs w:val="14"/>
          <w:color w:val="auto"/>
        </w:rPr>
        <w:t>Our current cash requirements include personnel costs, operating expenses, claim payments, taxes, payments of interest and principal on our debt, capital expenditures,</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acquisitions, stock repurchases and dividends on our common stock. We paid dividends of $0.36 per share in the second quarter of 2021, or approximately $102 million to our common shareholders. On August 3, 2021, our Board of Directors declared cash dividends of $0.40 per share, payable on September 30, 2021, to FNF common shareholders of record as of September 16, 2021.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58" w:lineRule="exact"/>
        <w:rPr>
          <w:sz w:val="20"/>
          <w:szCs w:val="20"/>
          <w:color w:val="auto"/>
        </w:rPr>
      </w:pPr>
    </w:p>
    <w:p>
      <w:pPr>
        <w:jc w:val="both"/>
        <w:ind w:firstLine="264"/>
        <w:spacing w:after="0" w:line="247" w:lineRule="auto"/>
        <w:rPr>
          <w:sz w:val="20"/>
          <w:szCs w:val="20"/>
          <w:color w:val="auto"/>
        </w:rPr>
      </w:pPr>
      <w:r>
        <w:rPr>
          <w:rFonts w:ascii="Arial" w:cs="Arial" w:eastAsia="Arial" w:hAnsi="Arial"/>
          <w:sz w:val="15"/>
          <w:szCs w:val="15"/>
          <w:color w:val="auto"/>
        </w:rPr>
        <w:t>As of June 30, 2021, we had cash and cash equivalents of $3,471 million, short term investments of $435 million and available capacity under our Revolving Credit Facility of $800 million.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6"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68" w:lineRule="exact"/>
        <w:rPr>
          <w:sz w:val="20"/>
          <w:szCs w:val="20"/>
          <w:color w:val="auto"/>
        </w:rPr>
      </w:pPr>
    </w:p>
    <w:p>
      <w:pPr>
        <w:jc w:val="both"/>
        <w:ind w:firstLine="264"/>
        <w:spacing w:after="0" w:line="294" w:lineRule="auto"/>
        <w:rPr>
          <w:sz w:val="20"/>
          <w:szCs w:val="20"/>
          <w:color w:val="auto"/>
        </w:rPr>
      </w:pPr>
      <w:r>
        <w:rPr>
          <w:rFonts w:ascii="Arial" w:cs="Arial" w:eastAsia="Arial" w:hAnsi="Arial"/>
          <w:sz w:val="13"/>
          <w:szCs w:val="13"/>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2020, $2,559 million of our net assets were restricted from dividend payments without prior approval from the relevant departments of insurance. We anticipate that our title insurance subsidiaries will pay or make dividends in the remainder of 2021 of approximately $272 million. Our underwritten title companies and non-insurance subsidiaries are not regulated to the same extent as our insurance subsidiaries.</w:t>
      </w:r>
    </w:p>
    <w:p>
      <w:pPr>
        <w:spacing w:after="0" w:line="44" w:lineRule="exact"/>
        <w:rPr>
          <w:sz w:val="20"/>
          <w:szCs w:val="20"/>
          <w:color w:val="auto"/>
        </w:rPr>
      </w:pPr>
    </w:p>
    <w:p>
      <w:pPr>
        <w:jc w:val="both"/>
        <w:ind w:firstLine="264"/>
        <w:spacing w:after="0" w:line="249" w:lineRule="auto"/>
        <w:rPr>
          <w:sz w:val="20"/>
          <w:szCs w:val="20"/>
          <w:color w:val="auto"/>
        </w:rPr>
      </w:pPr>
      <w:r>
        <w:rPr>
          <w:rFonts w:ascii="Arial" w:cs="Arial" w:eastAsia="Arial" w:hAnsi="Arial"/>
          <w:sz w:val="15"/>
          <w:szCs w:val="15"/>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2"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color w:val="auto"/>
        </w:rPr>
        <w:t>Cash flow from our operations will be used for general corporate purposes including to reinvest in operations, repay debt, pay dividends, repurchase stock, pursue other strategic initiatives and/or conserve cash.</w:t>
      </w:r>
    </w:p>
    <w:p>
      <w:pPr>
        <w:spacing w:after="0" w:line="60"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i w:val="1"/>
          <w:iCs w:val="1"/>
          <w:color w:val="auto"/>
        </w:rPr>
        <w:t>Operating Cash Flow</w:t>
      </w:r>
      <w:r>
        <w:rPr>
          <w:rFonts w:ascii="Arial" w:cs="Arial" w:eastAsia="Arial" w:hAnsi="Arial"/>
          <w:sz w:val="15"/>
          <w:szCs w:val="15"/>
          <w:color w:val="auto"/>
        </w:rPr>
        <w:t>. Our cash flows provided by operations for the six months ended June 30, 2021 and 2020 totaled $1,516 million and $553 million, respectively. The increase in cash</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by operating activities in the 2021 period of $963 million is primarily attributable to the increase in pre-tax earnings, excluding non-cash valuation gains in the 2021 period and non-cash valuation losses in the 2020 period, the net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change in funds withheld from reinsurers of $460 million, increases in interest credited/index credits to contractholder account balances of $353 million and the timing of receipts and payments of prepaid assets and payables, partially offset by increased deferred policy acquisition costs and deferred sales inducements of $273 million and increased net gains on sales of investments and other assets of $317 million. The increased activity in the 2021 period is primarily a result of our acquisition of F&amp;G.</w:t>
      </w:r>
    </w:p>
    <w:p>
      <w:pPr>
        <w:spacing w:after="0" w:line="68" w:lineRule="exact"/>
        <w:rPr>
          <w:sz w:val="20"/>
          <w:szCs w:val="20"/>
          <w:color w:val="auto"/>
        </w:rPr>
      </w:pPr>
    </w:p>
    <w:p>
      <w:pPr>
        <w:jc w:val="both"/>
        <w:ind w:firstLine="264"/>
        <w:spacing w:after="0" w:line="249" w:lineRule="auto"/>
        <w:rPr>
          <w:sz w:val="20"/>
          <w:szCs w:val="20"/>
          <w:color w:val="auto"/>
        </w:rPr>
      </w:pPr>
      <w:r>
        <w:rPr>
          <w:rFonts w:ascii="Arial" w:cs="Arial" w:eastAsia="Arial" w:hAnsi="Arial"/>
          <w:sz w:val="15"/>
          <w:szCs w:val="15"/>
          <w:i w:val="1"/>
          <w:iCs w:val="1"/>
          <w:color w:val="auto"/>
        </w:rPr>
        <w:t xml:space="preserve">Investing Cash Flows. </w:t>
      </w:r>
      <w:r>
        <w:rPr>
          <w:rFonts w:ascii="Arial" w:cs="Arial" w:eastAsia="Arial" w:hAnsi="Arial"/>
          <w:sz w:val="15"/>
          <w:szCs w:val="15"/>
          <w:color w:val="auto"/>
        </w:rPr>
        <w:t>Our cash flows used in investing activities for the six months ended June 30, 2021 and 2020 were $3,118 million and $353 million, respectively. The increase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cash used in investing activities of $2,765 million in the 2021 period is primarily attributable to increased purchases of investment securities of $5,390, increases in our investments in unconsolidated affiliates of $532 million, decreased net proceeds from the sales and maturities of short-term investments of $370 million and the funding of the Alight Purchase Price of $150 million, partially offset by increased sales, calls, and maturities of investment securities of $2,663 million and decreases in net cash used in acquisitions and dispositions of $924 million. The increased activity in the 2021 period is primarily a result of our acquisition of F&amp;G.</w:t>
      </w:r>
    </w:p>
    <w:p>
      <w:pPr>
        <w:spacing w:after="0" w:line="72"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i w:val="1"/>
          <w:iCs w:val="1"/>
          <w:color w:val="auto"/>
        </w:rPr>
        <w:t xml:space="preserve">Capital Expenditures. </w:t>
      </w:r>
      <w:r>
        <w:rPr>
          <w:rFonts w:ascii="Arial" w:cs="Arial" w:eastAsia="Arial" w:hAnsi="Arial"/>
          <w:sz w:val="15"/>
          <w:szCs w:val="15"/>
          <w:color w:val="auto"/>
        </w:rPr>
        <w:t>Total capital expenditures for property and equipment and capitalized software were $54 million and $48 million for the six-month periods ended June 30, 2021 and</w:t>
      </w:r>
      <w:r>
        <w:rPr>
          <w:rFonts w:ascii="Arial" w:cs="Arial" w:eastAsia="Arial" w:hAnsi="Arial"/>
          <w:sz w:val="15"/>
          <w:szCs w:val="15"/>
          <w:i w:val="1"/>
          <w:iCs w:val="1"/>
          <w:color w:val="auto"/>
        </w:rPr>
        <w:t xml:space="preserve"> </w:t>
      </w:r>
      <w:r>
        <w:rPr>
          <w:rFonts w:ascii="Arial" w:cs="Arial" w:eastAsia="Arial" w:hAnsi="Arial"/>
          <w:sz w:val="15"/>
          <w:szCs w:val="15"/>
          <w:color w:val="auto"/>
        </w:rPr>
        <w:t>2020, respectively.</w:t>
      </w:r>
    </w:p>
    <w:p>
      <w:pPr>
        <w:spacing w:after="0" w:line="60" w:lineRule="exact"/>
        <w:rPr>
          <w:sz w:val="20"/>
          <w:szCs w:val="20"/>
          <w:color w:val="auto"/>
        </w:rPr>
      </w:pPr>
    </w:p>
    <w:p>
      <w:pPr>
        <w:jc w:val="both"/>
        <w:ind w:firstLine="264"/>
        <w:spacing w:after="0" w:line="274" w:lineRule="auto"/>
        <w:rPr>
          <w:sz w:val="20"/>
          <w:szCs w:val="20"/>
          <w:color w:val="auto"/>
        </w:rPr>
      </w:pPr>
      <w:r>
        <w:rPr>
          <w:rFonts w:ascii="Arial" w:cs="Arial" w:eastAsia="Arial" w:hAnsi="Arial"/>
          <w:sz w:val="14"/>
          <w:szCs w:val="14"/>
          <w:i w:val="1"/>
          <w:iCs w:val="1"/>
          <w:color w:val="auto"/>
        </w:rPr>
        <w:t xml:space="preserve">Financing Cash Flows. </w:t>
      </w:r>
      <w:r>
        <w:rPr>
          <w:rFonts w:ascii="Arial" w:cs="Arial" w:eastAsia="Arial" w:hAnsi="Arial"/>
          <w:sz w:val="14"/>
          <w:szCs w:val="14"/>
          <w:color w:val="auto"/>
        </w:rPr>
        <w:t>Our cash flows provided by financing activities for the six months ended June 30, 2021 and 2020 were $2,354 million and $777 million, respectively. The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in cash provided by financing activities of $1,577 million from the comparable 2020 period is primarily attributable to increased cash inflows from contractholder account deposits of $3,893 million and the net change in secured trust deposits of $276 million, partially offset by increased cash outflows from contractholder withdrawals of $1,382 million and a decrease in net borrowings of $996 million. The activity related to contractholder deposits and withdrawals in the 2021 period is a result of our acquisition of F&amp;G.</w:t>
      </w:r>
    </w:p>
    <w:p>
      <w:pPr>
        <w:spacing w:after="0" w:line="56"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i w:val="1"/>
          <w:iCs w:val="1"/>
          <w:color w:val="auto"/>
        </w:rPr>
        <w:t xml:space="preserve">Financing Arrangements. </w:t>
      </w:r>
      <w:r>
        <w:rPr>
          <w:rFonts w:ascii="Arial" w:cs="Arial" w:eastAsia="Arial" w:hAnsi="Arial"/>
          <w:sz w:val="15"/>
          <w:szCs w:val="15"/>
          <w:color w:val="auto"/>
        </w:rPr>
        <w:t>For a description of our financing arrangements see Note G</w:t>
      </w:r>
      <w:r>
        <w:rPr>
          <w:rFonts w:ascii="Arial" w:cs="Arial" w:eastAsia="Arial" w:hAnsi="Arial"/>
          <w:sz w:val="15"/>
          <w:szCs w:val="15"/>
          <w:i w:val="1"/>
          <w:iCs w:val="1"/>
          <w:color w:val="auto"/>
        </w:rPr>
        <w:t xml:space="preserve"> Notes Payable </w:t>
      </w:r>
      <w:r>
        <w:rPr>
          <w:rFonts w:ascii="Arial" w:cs="Arial" w:eastAsia="Arial" w:hAnsi="Arial"/>
          <w:sz w:val="15"/>
          <w:szCs w:val="15"/>
          <w:color w:val="auto"/>
        </w:rPr>
        <w:t>included in Item 8 of Part II of our Annual Report on Form 10-K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w:t>
      </w:r>
    </w:p>
    <w:p>
      <w:pPr>
        <w:spacing w:after="0" w:line="60" w:lineRule="exact"/>
        <w:rPr>
          <w:sz w:val="20"/>
          <w:szCs w:val="20"/>
          <w:color w:val="auto"/>
        </w:rPr>
      </w:pPr>
    </w:p>
    <w:p>
      <w:pPr>
        <w:jc w:val="both"/>
        <w:ind w:firstLine="264"/>
        <w:spacing w:after="0" w:line="267" w:lineRule="auto"/>
        <w:rPr>
          <w:sz w:val="20"/>
          <w:szCs w:val="20"/>
          <w:color w:val="auto"/>
        </w:rPr>
      </w:pPr>
      <w:r>
        <w:rPr>
          <w:rFonts w:ascii="Arial" w:cs="Arial" w:eastAsia="Arial" w:hAnsi="Arial"/>
          <w:sz w:val="14"/>
          <w:szCs w:val="14"/>
          <w:i w:val="1"/>
          <w:iCs w:val="1"/>
          <w:color w:val="auto"/>
        </w:rPr>
        <w:t>Capital Stock Transactions</w:t>
      </w:r>
      <w:r>
        <w:rPr>
          <w:rFonts w:ascii="Arial" w:cs="Arial" w:eastAsia="Arial" w:hAnsi="Arial"/>
          <w:sz w:val="14"/>
          <w:szCs w:val="14"/>
          <w:color w:val="auto"/>
        </w:rPr>
        <w:t>. On July 17, 2018, our Board of Directors approved a three-year stock repurchase program effective August 1, 2018 (the "2018 Repurchase Program") under</w:t>
      </w:r>
      <w:r>
        <w:rPr>
          <w:rFonts w:ascii="Arial" w:cs="Arial" w:eastAsia="Arial" w:hAnsi="Arial"/>
          <w:sz w:val="14"/>
          <w:szCs w:val="14"/>
          <w:i w:val="1"/>
          <w:iCs w:val="1"/>
          <w:color w:val="auto"/>
        </w:rPr>
        <w:t xml:space="preserve"> </w:t>
      </w:r>
      <w:r>
        <w:rPr>
          <w:rFonts w:ascii="Arial" w:cs="Arial" w:eastAsia="Arial" w:hAnsi="Arial"/>
          <w:sz w:val="14"/>
          <w:szCs w:val="14"/>
          <w:color w:val="auto"/>
        </w:rPr>
        <w:t>which we may purchase up to 25 million shares of our FNF common stock through July 31, 2021. We may make repurchases from time to time in the open market, in block purchases or in privately negotiated transactions, depending on market conditions and other factors. On October 28, 2020, we announced that we intend to purchase approximately $500 million of FNF common shares over the next 12 months, based on market conditions. We repurchased 4,000,000 shares of FNF common stock during the three months ended June 30, 2021 for approximately $183 million, at an average price of $45.74 per share. Subsequent to June 30, 2021 and through market close on July 31, 2021, we repurchased a total of 400,000 shares for $17 million, at an average price of $43.71 under this program. Since the original commencement of the 2018 Repurchase Program, we repurchased a total of 17,430,000 FNF common shares for $645 million, at an average price of $37.99 per share. On August 3, 2021, our Board of Directors approved the 2021 Repurchase Program under which we may purchase up to 25 million shares of our FNF common stock through July 31, 2024.</w:t>
      </w:r>
    </w:p>
    <w:p>
      <w:pPr>
        <w:spacing w:after="0" w:line="61"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i w:val="1"/>
          <w:iCs w:val="1"/>
          <w:color w:val="auto"/>
        </w:rPr>
        <w:t xml:space="preserve">Equity and Preferred Security Investments. </w:t>
      </w:r>
      <w:r>
        <w:rPr>
          <w:rFonts w:ascii="Arial" w:cs="Arial" w:eastAsia="Arial" w:hAnsi="Arial"/>
          <w:sz w:val="15"/>
          <w:szCs w:val="15"/>
          <w:color w:val="auto"/>
        </w:rPr>
        <w:t>Our equity and preferred security investments may be subject to significant volatility. Currently prevailing accounting standards require us to</w:t>
      </w:r>
      <w:r>
        <w:rPr>
          <w:rFonts w:ascii="Arial" w:cs="Arial" w:eastAsia="Arial" w:hAnsi="Arial"/>
          <w:sz w:val="15"/>
          <w:szCs w:val="15"/>
          <w:i w:val="1"/>
          <w:iCs w:val="1"/>
          <w:color w:val="auto"/>
        </w:rPr>
        <w:t xml:space="preserve"> </w:t>
      </w:r>
      <w:r>
        <w:rPr>
          <w:rFonts w:ascii="Arial" w:cs="Arial" w:eastAsia="Arial" w:hAnsi="Arial"/>
          <w:sz w:val="15"/>
          <w:szCs w:val="15"/>
          <w:color w:val="auto"/>
        </w:rPr>
        <w:t>record the change in fair value of equity and preferred security investments held as of any given period end within earnings. Our results of operations in future periods is anticipated to be subject to such volatility.</w:t>
      </w:r>
    </w:p>
    <w:p>
      <w:pPr>
        <w:spacing w:after="0" w:line="68"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5"/>
          <w:szCs w:val="15"/>
          <w:i w:val="1"/>
          <w:iCs w:val="1"/>
          <w:color w:val="auto"/>
        </w:rPr>
        <w:t xml:space="preserve">Off-Balance Sheet Arrangements. </w:t>
      </w:r>
      <w:r>
        <w:rPr>
          <w:rFonts w:ascii="Arial" w:cs="Arial" w:eastAsia="Arial" w:hAnsi="Arial"/>
          <w:sz w:val="15"/>
          <w:szCs w:val="15"/>
          <w:color w:val="auto"/>
        </w:rPr>
        <w:t>Other than our unfunded investment commitments discussed below, there have been no significant changes to our off-balance sheet arrangements since</w:t>
      </w:r>
      <w:r>
        <w:rPr>
          <w:rFonts w:ascii="Arial" w:cs="Arial" w:eastAsia="Arial" w:hAnsi="Arial"/>
          <w:sz w:val="15"/>
          <w:szCs w:val="15"/>
          <w:i w:val="1"/>
          <w:iCs w:val="1"/>
          <w:color w:val="auto"/>
        </w:rPr>
        <w:t xml:space="preserve"> </w:t>
      </w:r>
      <w:r>
        <w:rPr>
          <w:rFonts w:ascii="Arial" w:cs="Arial" w:eastAsia="Arial" w:hAnsi="Arial"/>
          <w:sz w:val="15"/>
          <w:szCs w:val="15"/>
          <w:color w:val="auto"/>
        </w:rPr>
        <w:t>our Annual Report on Form 10-K for the year ended December 31, 2020..</w:t>
      </w:r>
    </w:p>
    <w:p>
      <w:pPr>
        <w:spacing w:after="0" w:line="104" w:lineRule="exact"/>
        <w:rPr>
          <w:sz w:val="20"/>
          <w:szCs w:val="20"/>
          <w:color w:val="auto"/>
        </w:rPr>
      </w:pPr>
    </w:p>
    <w:p>
      <w:pPr>
        <w:jc w:val="both"/>
        <w:ind w:firstLine="330"/>
        <w:spacing w:after="0" w:line="254" w:lineRule="auto"/>
        <w:rPr>
          <w:sz w:val="20"/>
          <w:szCs w:val="20"/>
          <w:color w:val="auto"/>
        </w:rPr>
      </w:pPr>
      <w:r>
        <w:rPr>
          <w:rFonts w:ascii="Arial" w:cs="Arial" w:eastAsia="Arial" w:hAnsi="Arial"/>
          <w:sz w:val="15"/>
          <w:szCs w:val="15"/>
          <w:color w:val="auto"/>
        </w:rPr>
        <w:t xml:space="preserve">We have unfunded investment commitments as of June 30, 2021 based upon the timing of when investments are executed compared to when the actual investments are funded, as some investments require that funding occur over a period of months or years. Please refer to Note F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to the unaudited Condensed Consolidated Financial Statements included in Item 1 of Part I of this Report for additional details on unfunded investment commitments.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have been no material changes to our critical accounting policies described in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have been no material changes in the market risks described in our Annual Report on Form 10-K for the year ended December 31, 2020.</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8" w:lineRule="exact"/>
        <w:rPr>
          <w:sz w:val="20"/>
          <w:szCs w:val="20"/>
          <w:color w:val="auto"/>
        </w:rPr>
      </w:pPr>
    </w:p>
    <w:p>
      <w:pPr>
        <w:jc w:val="both"/>
        <w:ind w:firstLine="264"/>
        <w:spacing w:after="0" w:line="218"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169" w:lineRule="exact"/>
        <w:rPr>
          <w:sz w:val="20"/>
          <w:szCs w:val="20"/>
          <w:color w:val="auto"/>
        </w:rPr>
      </w:pPr>
    </w:p>
    <w:p>
      <w:pPr>
        <w:jc w:val="both"/>
        <w:ind w:firstLine="264"/>
        <w:spacing w:after="0" w:line="241" w:lineRule="auto"/>
        <w:rPr>
          <w:sz w:val="20"/>
          <w:szCs w:val="20"/>
          <w:color w:val="auto"/>
        </w:rPr>
      </w:pPr>
      <w:r>
        <w:rPr>
          <w:rFonts w:ascii="Arial" w:cs="Arial" w:eastAsia="Arial" w:hAnsi="Arial"/>
          <w:sz w:val="14"/>
          <w:szCs w:val="14"/>
          <w:color w:val="auto"/>
        </w:rPr>
        <w:t xml:space="preserve">In the second quarter of 2020 we completed our acquisition of F&amp;G (see Note N </w:t>
      </w:r>
      <w:r>
        <w:rPr>
          <w:rFonts w:ascii="Arial" w:cs="Arial" w:eastAsia="Arial" w:hAnsi="Arial"/>
          <w:sz w:val="14"/>
          <w:szCs w:val="14"/>
          <w:i w:val="1"/>
          <w:iCs w:val="1"/>
          <w:color w:val="auto"/>
        </w:rPr>
        <w:t>Acquisitions</w:t>
      </w:r>
      <w:r>
        <w:rPr>
          <w:rFonts w:ascii="Arial" w:cs="Arial" w:eastAsia="Arial" w:hAnsi="Arial"/>
          <w:sz w:val="14"/>
          <w:szCs w:val="14"/>
          <w:color w:val="auto"/>
        </w:rPr>
        <w:t xml:space="preserve"> to the unaudited Condensed Consolidated Financial Statements included in Item 1 of Part I of this Report for additional details on the acquisition of F&amp;G). F&amp;G's controls have been integrated into our overall internal control over financial reporting program. Other than the integration of F&amp;G into our overall internal control over financial reporting program there were no changes in our internal control over financial reporting that occurred during the quarter ended June 30, 2021 that have materially affected, or are reasonably likely to materially affect, our internal control over financial reporting, other than described above.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PART II</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95" w:lineRule="exact"/>
        <w:rPr>
          <w:sz w:val="20"/>
          <w:szCs w:val="20"/>
          <w:color w:val="auto"/>
        </w:rPr>
      </w:pPr>
    </w:p>
    <w:p>
      <w:pPr>
        <w:ind w:right="60" w:firstLine="264"/>
        <w:spacing w:after="0" w:line="264" w:lineRule="auto"/>
        <w:rPr>
          <w:sz w:val="20"/>
          <w:szCs w:val="20"/>
          <w:color w:val="auto"/>
        </w:rPr>
      </w:pPr>
      <w:r>
        <w:rPr>
          <w:rFonts w:ascii="Arial" w:cs="Arial" w:eastAsia="Arial" w:hAnsi="Arial"/>
          <w:sz w:val="15"/>
          <w:szCs w:val="15"/>
          <w:color w:val="auto"/>
        </w:rPr>
        <w:t xml:space="preserve">See discussion of legal proceedings in Note F </w:t>
      </w:r>
      <w:r>
        <w:rPr>
          <w:rFonts w:ascii="Arial" w:cs="Arial" w:eastAsia="Arial" w:hAnsi="Arial"/>
          <w:sz w:val="15"/>
          <w:szCs w:val="15"/>
          <w:i w:val="1"/>
          <w:iCs w:val="1"/>
          <w:color w:val="auto"/>
        </w:rPr>
        <w:t>Commitment and Contingencies</w:t>
      </w:r>
      <w:r>
        <w:rPr>
          <w:rFonts w:ascii="Arial" w:cs="Arial" w:eastAsia="Arial" w:hAnsi="Arial"/>
          <w:sz w:val="15"/>
          <w:szCs w:val="15"/>
          <w:color w:val="auto"/>
        </w:rPr>
        <w:t xml:space="preserve"> to the Condensed Consolidated Financial Statements included in Item 1 of Part I of this Quarterly Report, which is incorporated by reference into this Item 1 of Part II.</w:t>
      </w:r>
    </w:p>
    <w:p>
      <w:pPr>
        <w:sectPr>
          <w:pgSz w:w="11900" w:h="16838" w:orient="portrait"/>
          <w:cols w:equalWidth="0" w:num="1">
            <w:col w:w="11340"/>
          </w:cols>
          <w:pgMar w:left="300" w:top="129" w:right="259" w:bottom="1440" w:gutter="0" w:footer="0" w:header="0"/>
        </w:sect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summarizes repurchases of equity securities by FNF during the three months ended June 30, 2021:</w:t>
      </w: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380" w:type="dxa"/>
            <w:vAlign w:val="bottom"/>
            <w:vMerge w:val="restart"/>
          </w:tcPr>
          <w:p>
            <w:pPr>
              <w:spacing w:after="0"/>
              <w:rPr>
                <w:sz w:val="20"/>
                <w:szCs w:val="20"/>
                <w:color w:val="auto"/>
              </w:rPr>
            </w:pPr>
            <w:r>
              <w:rPr>
                <w:rFonts w:ascii="Arial" w:cs="Arial" w:eastAsia="Arial" w:hAnsi="Arial"/>
                <w:sz w:val="12"/>
                <w:szCs w:val="12"/>
                <w:b w:val="1"/>
                <w:bCs w:val="1"/>
                <w:color w:val="auto"/>
              </w:rPr>
              <w:t>Period</w:t>
            </w:r>
          </w:p>
        </w:tc>
        <w:tc>
          <w:tcPr>
            <w:tcW w:w="2900" w:type="dxa"/>
            <w:vAlign w:val="bottom"/>
          </w:tcPr>
          <w:p>
            <w:pPr>
              <w:jc w:val="right"/>
              <w:spacing w:after="0"/>
              <w:rPr>
                <w:sz w:val="20"/>
                <w:szCs w:val="20"/>
                <w:color w:val="auto"/>
              </w:rPr>
            </w:pPr>
            <w:r>
              <w:rPr>
                <w:rFonts w:ascii="Arial" w:cs="Arial" w:eastAsia="Arial" w:hAnsi="Arial"/>
                <w:sz w:val="12"/>
                <w:szCs w:val="12"/>
                <w:b w:val="1"/>
                <w:bCs w:val="1"/>
                <w:color w:val="auto"/>
              </w:rPr>
              <w:t>Total Number of</w:t>
            </w:r>
          </w:p>
        </w:tc>
        <w:tc>
          <w:tcPr>
            <w:tcW w:w="22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50"/>
        </w:trPr>
        <w:tc>
          <w:tcPr>
            <w:tcW w:w="2380" w:type="dxa"/>
            <w:vAlign w:val="bottom"/>
            <w:vMerge w:val="continue"/>
          </w:tcPr>
          <w:p>
            <w:pPr>
              <w:spacing w:after="0"/>
              <w:rPr>
                <w:sz w:val="13"/>
                <w:szCs w:val="13"/>
                <w:color w:val="auto"/>
              </w:rPr>
            </w:pPr>
          </w:p>
        </w:tc>
        <w:tc>
          <w:tcPr>
            <w:tcW w:w="2900" w:type="dxa"/>
            <w:vAlign w:val="bottom"/>
          </w:tcPr>
          <w:p>
            <w:pPr>
              <w:jc w:val="right"/>
              <w:spacing w:after="0"/>
              <w:rPr>
                <w:sz w:val="20"/>
                <w:szCs w:val="20"/>
                <w:color w:val="auto"/>
              </w:rPr>
            </w:pPr>
            <w:r>
              <w:rPr>
                <w:rFonts w:ascii="Arial" w:cs="Arial" w:eastAsia="Arial" w:hAnsi="Arial"/>
                <w:sz w:val="12"/>
                <w:szCs w:val="12"/>
                <w:b w:val="1"/>
                <w:bCs w:val="1"/>
                <w:color w:val="auto"/>
              </w:rPr>
              <w:t>Purchased</w:t>
            </w:r>
          </w:p>
        </w:tc>
        <w:tc>
          <w:tcPr>
            <w:tcW w:w="2220" w:type="dxa"/>
            <w:vAlign w:val="bottom"/>
          </w:tcPr>
          <w:p>
            <w:pPr>
              <w:ind w:left="760"/>
              <w:spacing w:after="0"/>
              <w:rPr>
                <w:sz w:val="20"/>
                <w:szCs w:val="20"/>
                <w:color w:val="auto"/>
              </w:rPr>
            </w:pPr>
            <w:r>
              <w:rPr>
                <w:rFonts w:ascii="Arial" w:cs="Arial" w:eastAsia="Arial" w:hAnsi="Arial"/>
                <w:sz w:val="12"/>
                <w:szCs w:val="12"/>
                <w:b w:val="1"/>
                <w:bCs w:val="1"/>
                <w:color w:val="auto"/>
                <w:w w:val="85"/>
              </w:rPr>
              <w:t>Average Price Paid 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204"/>
        <w:spacing w:after="0" w:line="264" w:lineRule="auto"/>
        <w:rPr>
          <w:sz w:val="20"/>
          <w:szCs w:val="20"/>
          <w:color w:val="auto"/>
        </w:rPr>
      </w:pPr>
      <w:r>
        <w:rPr>
          <w:rFonts w:ascii="Arial" w:cs="Arial" w:eastAsia="Arial" w:hAnsi="Arial"/>
          <w:sz w:val="9"/>
          <w:szCs w:val="9"/>
          <w:b w:val="1"/>
          <w:bCs w:val="1"/>
          <w:color w:val="auto"/>
        </w:rPr>
        <w:t>Total Number of Shares Purchased as Part of Publicly Announced Plans or Programs</w:t>
      </w:r>
    </w:p>
    <w:p>
      <w:pPr>
        <w:jc w:val="center"/>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8"/>
        <w:spacing w:after="0" w:line="264" w:lineRule="auto"/>
        <w:rPr>
          <w:sz w:val="20"/>
          <w:szCs w:val="20"/>
          <w:color w:val="auto"/>
        </w:rPr>
      </w:pPr>
      <w:r>
        <w:rPr>
          <w:rFonts w:ascii="Arial" w:cs="Arial" w:eastAsia="Arial" w:hAnsi="Arial"/>
          <w:sz w:val="9"/>
          <w:szCs w:val="9"/>
          <w:b w:val="1"/>
          <w:bCs w:val="1"/>
          <w:color w:val="auto"/>
        </w:rPr>
        <w:t>Maximum Number of Shares that May Yet Be Purchased Under the Plans or Programs</w:t>
      </w:r>
    </w:p>
    <w:p>
      <w:pPr>
        <w:ind w:left="680"/>
        <w:spacing w:after="0"/>
        <w:rPr>
          <w:sz w:val="20"/>
          <w:szCs w:val="20"/>
          <w:color w:val="auto"/>
        </w:rPr>
      </w:pPr>
      <w:r>
        <w:rPr>
          <w:rFonts w:ascii="Arial" w:cs="Arial" w:eastAsia="Arial" w:hAnsi="Arial"/>
          <w:sz w:val="12"/>
          <w:szCs w:val="12"/>
          <w:b w:val="1"/>
          <w:bCs w:val="1"/>
          <w:color w:val="auto"/>
        </w:rPr>
        <w:t>(2)</w:t>
      </w:r>
    </w:p>
    <w:p>
      <w:pPr>
        <w:spacing w:after="0" w:line="7" w:lineRule="exact"/>
        <w:rPr>
          <w:sz w:val="20"/>
          <w:szCs w:val="20"/>
          <w:color w:val="auto"/>
        </w:rPr>
      </w:pPr>
    </w:p>
    <w:p>
      <w:pPr>
        <w:sectPr>
          <w:pgSz w:w="11900" w:h="16838" w:orient="portrait"/>
          <w:cols w:equalWidth="0" w:num="3">
            <w:col w:w="7860" w:space="200"/>
            <w:col w:w="1540" w:space="200"/>
            <w:col w:w="1540"/>
          </w:cols>
          <w:pgMar w:left="300" w:top="129" w:right="259" w:bottom="1440" w:gutter="0" w:footer="0" w:header="0"/>
          <w:type w:val="continuous"/>
        </w:sectPr>
      </w:pPr>
    </w:p>
    <w:tbl>
      <w:tblPr>
        <w:tblLayout w:type="fixed"/>
        <w:tblInd w:w="280" w:type="dxa"/>
        <w:tblCellMar>
          <w:top w:w="0" w:type="dxa"/>
          <w:left w:w="0" w:type="dxa"/>
          <w:bottom w:w="0" w:type="dxa"/>
          <w:right w:w="0" w:type="dxa"/>
        </w:tblCellMar>
      </w:tblPr>
      <w:tr>
        <w:trPr>
          <w:trHeight w:val="181"/>
        </w:trPr>
        <w:tc>
          <w:tcPr>
            <w:tcW w:w="4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4/1/2021 - 4/30/2021</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41.77</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11,670,000</w:t>
            </w:r>
          </w:p>
        </w:tc>
      </w:tr>
      <w:tr>
        <w:trPr>
          <w:trHeight w:val="187"/>
        </w:trPr>
        <w:tc>
          <w:tcPr>
            <w:tcW w:w="4180" w:type="dxa"/>
            <w:vAlign w:val="bottom"/>
          </w:tcPr>
          <w:p>
            <w:pPr>
              <w:ind w:left="80"/>
              <w:spacing w:after="0"/>
              <w:rPr>
                <w:sz w:val="20"/>
                <w:szCs w:val="20"/>
                <w:color w:val="auto"/>
              </w:rPr>
            </w:pPr>
            <w:r>
              <w:rPr>
                <w:rFonts w:ascii="Arial" w:cs="Arial" w:eastAsia="Arial" w:hAnsi="Arial"/>
                <w:sz w:val="15"/>
                <w:szCs w:val="15"/>
                <w:color w:val="auto"/>
              </w:rPr>
              <w:t>5/1/2021 - 5/31/2021</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1,500,000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46.51</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1,500,000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10,170,000</w:t>
            </w:r>
          </w:p>
        </w:tc>
      </w:tr>
      <w:tr>
        <w:trPr>
          <w:trHeight w:val="187"/>
        </w:trPr>
        <w:tc>
          <w:tcPr>
            <w:tcW w:w="4180" w:type="dxa"/>
            <w:vAlign w:val="bottom"/>
            <w:shd w:val="clear" w:color="auto" w:fill="CCEEFF"/>
          </w:tcPr>
          <w:p>
            <w:pPr>
              <w:ind w:left="80"/>
              <w:spacing w:after="0"/>
              <w:rPr>
                <w:sz w:val="20"/>
                <w:szCs w:val="20"/>
                <w:color w:val="auto"/>
              </w:rPr>
            </w:pPr>
            <w:r>
              <w:rPr>
                <w:rFonts w:ascii="Arial" w:cs="Arial" w:eastAsia="Arial" w:hAnsi="Arial"/>
                <w:sz w:val="15"/>
                <w:szCs w:val="15"/>
                <w:color w:val="auto"/>
              </w:rPr>
              <w:t>6/1/2021 - 6/30/2021</w:t>
            </w:r>
          </w:p>
        </w:tc>
        <w:tc>
          <w:tcPr>
            <w:tcW w:w="100" w:type="dxa"/>
            <w:vAlign w:val="bottom"/>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2,200,000</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45.76</w:t>
            </w:r>
          </w:p>
        </w:tc>
        <w:tc>
          <w:tcPr>
            <w:tcW w:w="100" w:type="dxa"/>
            <w:vAlign w:val="bottom"/>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2,200,000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7,970,000</w:t>
            </w:r>
          </w:p>
        </w:tc>
      </w:tr>
      <w:tr>
        <w:trPr>
          <w:trHeight w:val="178"/>
        </w:trPr>
        <w:tc>
          <w:tcPr>
            <w:tcW w:w="4280" w:type="dxa"/>
            <w:vAlign w:val="bottom"/>
            <w:gridSpan w:val="2"/>
          </w:tcPr>
          <w:p>
            <w:pPr>
              <w:ind w:left="80"/>
              <w:spacing w:after="0"/>
              <w:rPr>
                <w:sz w:val="20"/>
                <w:szCs w:val="20"/>
                <w:color w:val="auto"/>
              </w:rPr>
            </w:pPr>
            <w:r>
              <w:rPr>
                <w:rFonts w:ascii="Arial" w:cs="Arial" w:eastAsia="Arial" w:hAnsi="Arial"/>
                <w:sz w:val="15"/>
                <w:szCs w:val="15"/>
                <w:color w:val="auto"/>
              </w:rPr>
              <w:t>Total</w:t>
            </w:r>
          </w:p>
        </w:tc>
        <w:tc>
          <w:tcPr>
            <w:tcW w:w="1620" w:type="dxa"/>
            <w:vAlign w:val="bottom"/>
          </w:tcPr>
          <w:p>
            <w:pPr>
              <w:jc w:val="right"/>
              <w:spacing w:after="0"/>
              <w:rPr>
                <w:sz w:val="20"/>
                <w:szCs w:val="20"/>
                <w:color w:val="auto"/>
              </w:rPr>
            </w:pPr>
            <w:r>
              <w:rPr>
                <w:rFonts w:ascii="Arial" w:cs="Arial" w:eastAsia="Arial" w:hAnsi="Arial"/>
                <w:sz w:val="15"/>
                <w:szCs w:val="15"/>
                <w:color w:val="auto"/>
              </w:rPr>
              <w:t>4,000,000</w:t>
            </w:r>
          </w:p>
        </w:tc>
        <w:tc>
          <w:tcPr>
            <w:tcW w:w="100" w:type="dxa"/>
            <w:vAlign w:val="bottom"/>
          </w:tcPr>
          <w:p>
            <w:pPr>
              <w:spacing w:after="0"/>
              <w:rPr>
                <w:sz w:val="15"/>
                <w:szCs w:val="15"/>
                <w:color w:val="auto"/>
              </w:rPr>
            </w:pPr>
          </w:p>
        </w:tc>
        <w:tc>
          <w:tcPr>
            <w:tcW w:w="700" w:type="dxa"/>
            <w:vAlign w:val="bottom"/>
          </w:tcPr>
          <w:p>
            <w:pPr>
              <w:jc w:val="right"/>
              <w:ind w:right="48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45.74</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4,000,000</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77" w:lineRule="exact"/>
        <w:rPr>
          <w:sz w:val="20"/>
          <w:szCs w:val="20"/>
          <w:color w:val="auto"/>
        </w:rPr>
      </w:pPr>
    </w:p>
    <w:p>
      <w:pPr>
        <w:ind w:left="800" w:right="60" w:hanging="528"/>
        <w:spacing w:after="0" w:line="264" w:lineRule="auto"/>
        <w:tabs>
          <w:tab w:leader="none" w:pos="643" w:val="left"/>
        </w:tabs>
        <w:numPr>
          <w:ilvl w:val="0"/>
          <w:numId w:val="24"/>
        </w:numPr>
        <w:rPr>
          <w:rFonts w:ascii="Arial" w:cs="Arial" w:eastAsia="Arial" w:hAnsi="Arial"/>
          <w:sz w:val="15"/>
          <w:szCs w:val="15"/>
          <w:color w:val="auto"/>
        </w:rPr>
      </w:pPr>
      <w:r>
        <w:rPr>
          <w:rFonts w:ascii="Arial" w:cs="Arial" w:eastAsia="Arial" w:hAnsi="Arial"/>
          <w:sz w:val="15"/>
          <w:szCs w:val="15"/>
          <w:color w:val="auto"/>
        </w:rPr>
        <w:t>On July 17, 2018, our Board of Directors approved the 2018 Repurchase Program, effective August 1, 2018, under which we may purchase up to 25 million shares of our FNF common stock through July 31, 2021.</w:t>
      </w:r>
    </w:p>
    <w:p>
      <w:pPr>
        <w:spacing w:after="0" w:line="49" w:lineRule="exact"/>
        <w:rPr>
          <w:rFonts w:ascii="Arial" w:cs="Arial" w:eastAsia="Arial" w:hAnsi="Arial"/>
          <w:sz w:val="15"/>
          <w:szCs w:val="15"/>
          <w:color w:val="auto"/>
        </w:rPr>
      </w:pPr>
    </w:p>
    <w:p>
      <w:pPr>
        <w:ind w:left="580" w:hanging="308"/>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20"/>
                <w:szCs w:val="20"/>
                <w:color w:val="auto"/>
              </w:rPr>
            </w:pPr>
            <w:r>
              <w:rPr>
                <w:rFonts w:ascii="Arial" w:cs="Arial" w:eastAsia="Arial" w:hAnsi="Arial"/>
                <w:sz w:val="15"/>
                <w:szCs w:val="15"/>
                <w:b w:val="1"/>
                <w:bCs w:val="1"/>
                <w:color w:val="auto"/>
              </w:rPr>
              <w:t>Item 6. Exhibits</w:t>
            </w:r>
          </w:p>
        </w:tc>
        <w:tc>
          <w:tcPr>
            <w:tcW w:w="5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1520" w:type="dxa"/>
            <w:vAlign w:val="bottom"/>
          </w:tcPr>
          <w:p>
            <w:pPr>
              <w:jc w:val="center"/>
              <w:ind w:right="327"/>
              <w:spacing w:after="0"/>
              <w:rPr>
                <w:sz w:val="20"/>
                <w:szCs w:val="20"/>
                <w:color w:val="auto"/>
              </w:rPr>
            </w:pPr>
            <w:r>
              <w:rPr>
                <w:rFonts w:ascii="Arial" w:cs="Arial" w:eastAsia="Arial" w:hAnsi="Arial"/>
                <w:sz w:val="15"/>
                <w:szCs w:val="15"/>
                <w:color w:val="auto"/>
                <w:w w:val="90"/>
              </w:rPr>
              <w:t>(a) Exhibits:</w:t>
            </w:r>
          </w:p>
        </w:tc>
        <w:tc>
          <w:tcPr>
            <w:tcW w:w="5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76"/>
        </w:trPr>
        <w:tc>
          <w:tcPr>
            <w:tcW w:w="1520" w:type="dxa"/>
            <w:vAlign w:val="bottom"/>
          </w:tcPr>
          <w:p>
            <w:pPr>
              <w:jc w:val="center"/>
              <w:ind w:right="347"/>
              <w:spacing w:after="0"/>
              <w:rPr>
                <w:sz w:val="20"/>
                <w:szCs w:val="20"/>
                <w:color w:val="auto"/>
              </w:rPr>
            </w:pPr>
            <w:r>
              <w:rPr>
                <w:rFonts w:ascii="Arial" w:cs="Arial" w:eastAsia="Arial" w:hAnsi="Arial"/>
                <w:sz w:val="15"/>
                <w:szCs w:val="15"/>
                <w:color w:val="auto"/>
                <w:w w:val="88"/>
              </w:rPr>
              <w:t>31.1</w:t>
            </w:r>
          </w:p>
        </w:tc>
        <w:tc>
          <w:tcPr>
            <w:tcW w:w="5880" w:type="dxa"/>
            <w:vAlign w:val="bottom"/>
            <w:tcBorders>
              <w:bottom w:val="single" w:sz="8" w:color="0000FF"/>
            </w:tcBorders>
            <w:gridSpan w:val="2"/>
          </w:tcPr>
          <w:p>
            <w:pPr>
              <w:spacing w:after="0"/>
              <w:rPr>
                <w:rFonts w:ascii="Arial" w:cs="Arial" w:eastAsia="Arial" w:hAnsi="Arial"/>
                <w:sz w:val="15"/>
                <w:szCs w:val="15"/>
                <w:color w:val="0000FF"/>
                <w:w w:val="89"/>
              </w:rPr>
            </w:pPr>
            <w:hyperlink w:anchor="page93">
              <w:r>
                <w:rPr>
                  <w:rFonts w:ascii="Arial" w:cs="Arial" w:eastAsia="Arial" w:hAnsi="Arial"/>
                  <w:sz w:val="15"/>
                  <w:szCs w:val="15"/>
                  <w:color w:val="0000FF"/>
                  <w:w w:val="89"/>
                </w:rPr>
                <w:t>Certification of Chief Executive Officer pursuant to Section 302 of the Sarbanes-Oxley Act of 2002.</w:t>
              </w:r>
            </w:hyperlink>
          </w:p>
        </w:tc>
        <w:tc>
          <w:tcPr>
            <w:tcW w:w="3240" w:type="dxa"/>
            <w:vAlign w:val="bottom"/>
            <w:gridSpan w:val="2"/>
          </w:tcPr>
          <w:p>
            <w:pPr>
              <w:spacing w:after="0"/>
              <w:rPr>
                <w:sz w:val="15"/>
                <w:szCs w:val="15"/>
                <w:color w:val="auto"/>
              </w:rPr>
            </w:pPr>
          </w:p>
        </w:tc>
      </w:tr>
      <w:tr>
        <w:trPr>
          <w:trHeight w:val="255"/>
        </w:trPr>
        <w:tc>
          <w:tcPr>
            <w:tcW w:w="1520" w:type="dxa"/>
            <w:vAlign w:val="bottom"/>
          </w:tcPr>
          <w:p>
            <w:pPr>
              <w:jc w:val="center"/>
              <w:ind w:right="347"/>
              <w:spacing w:after="0"/>
              <w:rPr>
                <w:sz w:val="20"/>
                <w:szCs w:val="20"/>
                <w:color w:val="auto"/>
              </w:rPr>
            </w:pPr>
            <w:r>
              <w:rPr>
                <w:rFonts w:ascii="Arial" w:cs="Arial" w:eastAsia="Arial" w:hAnsi="Arial"/>
                <w:sz w:val="15"/>
                <w:szCs w:val="15"/>
                <w:color w:val="auto"/>
                <w:w w:val="88"/>
              </w:rPr>
              <w:t>31.2</w:t>
            </w:r>
          </w:p>
        </w:tc>
        <w:tc>
          <w:tcPr>
            <w:tcW w:w="5840" w:type="dxa"/>
            <w:vAlign w:val="bottom"/>
            <w:tcBorders>
              <w:bottom w:val="single" w:sz="8" w:color="0000FF"/>
            </w:tcBorders>
          </w:tcPr>
          <w:p>
            <w:pPr>
              <w:spacing w:after="0"/>
              <w:rPr>
                <w:rFonts w:ascii="Arial" w:cs="Arial" w:eastAsia="Arial" w:hAnsi="Arial"/>
                <w:sz w:val="15"/>
                <w:szCs w:val="15"/>
                <w:color w:val="0000FF"/>
                <w:w w:val="89"/>
              </w:rPr>
            </w:pPr>
            <w:hyperlink w:anchor="page94">
              <w:r>
                <w:rPr>
                  <w:rFonts w:ascii="Arial" w:cs="Arial" w:eastAsia="Arial" w:hAnsi="Arial"/>
                  <w:sz w:val="15"/>
                  <w:szCs w:val="15"/>
                  <w:color w:val="0000FF"/>
                  <w:w w:val="89"/>
                </w:rPr>
                <w:t>Certification of Chief Financial Officer pursuant to Section 302 of the Sarbanes-Oxley Act of 2002.</w:t>
              </w:r>
            </w:hyperlink>
          </w:p>
        </w:tc>
        <w:tc>
          <w:tcPr>
            <w:tcW w:w="3280" w:type="dxa"/>
            <w:vAlign w:val="bottom"/>
            <w:gridSpan w:val="3"/>
          </w:tcPr>
          <w:p>
            <w:pPr>
              <w:spacing w:after="0"/>
              <w:rPr>
                <w:sz w:val="22"/>
                <w:szCs w:val="22"/>
                <w:color w:val="auto"/>
              </w:rPr>
            </w:pPr>
          </w:p>
        </w:tc>
      </w:tr>
      <w:tr>
        <w:trPr>
          <w:trHeight w:val="255"/>
        </w:trPr>
        <w:tc>
          <w:tcPr>
            <w:tcW w:w="1520" w:type="dxa"/>
            <w:vAlign w:val="bottom"/>
          </w:tcPr>
          <w:p>
            <w:pPr>
              <w:jc w:val="center"/>
              <w:ind w:right="347"/>
              <w:spacing w:after="0"/>
              <w:rPr>
                <w:sz w:val="20"/>
                <w:szCs w:val="20"/>
                <w:color w:val="auto"/>
              </w:rPr>
            </w:pPr>
            <w:r>
              <w:rPr>
                <w:rFonts w:ascii="Arial" w:cs="Arial" w:eastAsia="Arial" w:hAnsi="Arial"/>
                <w:sz w:val="15"/>
                <w:szCs w:val="15"/>
                <w:color w:val="auto"/>
                <w:w w:val="88"/>
              </w:rPr>
              <w:t>32.1</w:t>
            </w:r>
          </w:p>
        </w:tc>
        <w:tc>
          <w:tcPr>
            <w:tcW w:w="9120" w:type="dxa"/>
            <w:vAlign w:val="bottom"/>
            <w:tcBorders>
              <w:bottom w:val="single" w:sz="8" w:color="0000FF"/>
            </w:tcBorders>
            <w:gridSpan w:val="4"/>
          </w:tcPr>
          <w:p>
            <w:pPr>
              <w:spacing w:after="0"/>
              <w:rPr>
                <w:rFonts w:ascii="Arial" w:cs="Arial" w:eastAsia="Arial" w:hAnsi="Arial"/>
                <w:sz w:val="15"/>
                <w:szCs w:val="15"/>
                <w:color w:val="0000FF"/>
                <w:w w:val="89"/>
              </w:rPr>
            </w:pPr>
            <w:hyperlink w:anchor="page95">
              <w:r>
                <w:rPr>
                  <w:rFonts w:ascii="Arial" w:cs="Arial" w:eastAsia="Arial" w:hAnsi="Arial"/>
                  <w:sz w:val="15"/>
                  <w:szCs w:val="15"/>
                  <w:color w:val="0000FF"/>
                  <w:w w:val="89"/>
                </w:rPr>
                <w:t>Certification by Chief Executive Officer of Periodic Financial Reports pursuant to Section 906 of the Sarbanes-Oxley Act of 2002, 18 U.S.C. Section 1350.</w:t>
              </w:r>
            </w:hyperlink>
          </w:p>
        </w:tc>
      </w:tr>
      <w:tr>
        <w:trPr>
          <w:trHeight w:val="288"/>
        </w:trPr>
        <w:tc>
          <w:tcPr>
            <w:tcW w:w="1520" w:type="dxa"/>
            <w:vAlign w:val="bottom"/>
          </w:tcPr>
          <w:p>
            <w:pPr>
              <w:jc w:val="center"/>
              <w:ind w:right="347"/>
              <w:spacing w:after="0"/>
              <w:rPr>
                <w:sz w:val="20"/>
                <w:szCs w:val="20"/>
                <w:color w:val="auto"/>
              </w:rPr>
            </w:pPr>
            <w:r>
              <w:rPr>
                <w:rFonts w:ascii="Arial" w:cs="Arial" w:eastAsia="Arial" w:hAnsi="Arial"/>
                <w:sz w:val="15"/>
                <w:szCs w:val="15"/>
                <w:color w:val="auto"/>
                <w:w w:val="88"/>
              </w:rPr>
              <w:t>32.2</w:t>
            </w:r>
          </w:p>
        </w:tc>
        <w:tc>
          <w:tcPr>
            <w:tcW w:w="9080" w:type="dxa"/>
            <w:vAlign w:val="bottom"/>
            <w:tcBorders>
              <w:bottom w:val="single" w:sz="8" w:color="0000FF"/>
            </w:tcBorders>
            <w:gridSpan w:val="3"/>
          </w:tcPr>
          <w:p>
            <w:pPr>
              <w:spacing w:after="0"/>
              <w:rPr>
                <w:rFonts w:ascii="Arial" w:cs="Arial" w:eastAsia="Arial" w:hAnsi="Arial"/>
                <w:sz w:val="15"/>
                <w:szCs w:val="15"/>
                <w:color w:val="0000FF"/>
                <w:w w:val="89"/>
              </w:rPr>
            </w:pPr>
            <w:hyperlink w:anchor="page96">
              <w:r>
                <w:rPr>
                  <w:rFonts w:ascii="Arial" w:cs="Arial" w:eastAsia="Arial" w:hAnsi="Arial"/>
                  <w:sz w:val="15"/>
                  <w:szCs w:val="15"/>
                  <w:color w:val="0000FF"/>
                  <w:w w:val="89"/>
                </w:rPr>
                <w:t>Certification by Chief Financial Officer of Periodic Financial Reports pursuant to Section 906 of the Sarbanes-Oxley Act of 2002, 18 U.S.C. Section 1350.</w:t>
              </w:r>
            </w:hyperlink>
          </w:p>
        </w:tc>
        <w:tc>
          <w:tcPr>
            <w:tcW w:w="40" w:type="dxa"/>
            <w:vAlign w:val="bottom"/>
          </w:tcPr>
          <w:p>
            <w:pPr>
              <w:spacing w:after="0"/>
              <w:rPr>
                <w:sz w:val="24"/>
                <w:szCs w:val="24"/>
                <w:color w:val="auto"/>
              </w:rPr>
            </w:pPr>
          </w:p>
        </w:tc>
      </w:tr>
      <w:tr>
        <w:trPr>
          <w:trHeight w:val="321"/>
        </w:trPr>
        <w:tc>
          <w:tcPr>
            <w:tcW w:w="1520" w:type="dxa"/>
            <w:vAlign w:val="bottom"/>
          </w:tcPr>
          <w:p>
            <w:pPr>
              <w:jc w:val="center"/>
              <w:ind w:right="327"/>
              <w:spacing w:after="0"/>
              <w:rPr>
                <w:sz w:val="20"/>
                <w:szCs w:val="20"/>
                <w:color w:val="auto"/>
              </w:rPr>
            </w:pPr>
            <w:r>
              <w:rPr>
                <w:rFonts w:ascii="Arial" w:cs="Arial" w:eastAsia="Arial" w:hAnsi="Arial"/>
                <w:sz w:val="15"/>
                <w:szCs w:val="15"/>
                <w:color w:val="auto"/>
                <w:w w:val="88"/>
              </w:rPr>
              <w:t>101.INS</w:t>
            </w:r>
          </w:p>
        </w:tc>
        <w:tc>
          <w:tcPr>
            <w:tcW w:w="9120" w:type="dxa"/>
            <w:vAlign w:val="bottom"/>
            <w:gridSpan w:val="4"/>
          </w:tcPr>
          <w:p>
            <w:pPr>
              <w:spacing w:after="0"/>
              <w:rPr>
                <w:sz w:val="20"/>
                <w:szCs w:val="20"/>
                <w:color w:val="auto"/>
              </w:rPr>
            </w:pPr>
            <w:r>
              <w:rPr>
                <w:rFonts w:ascii="Arial" w:cs="Arial" w:eastAsia="Arial" w:hAnsi="Arial"/>
                <w:sz w:val="15"/>
                <w:szCs w:val="15"/>
                <w:color w:val="auto"/>
              </w:rPr>
              <w:t>Inline XBRL Instance Document*</w:t>
            </w:r>
          </w:p>
        </w:tc>
      </w:tr>
      <w:tr>
        <w:trPr>
          <w:trHeight w:val="450"/>
        </w:trPr>
        <w:tc>
          <w:tcPr>
            <w:tcW w:w="1520" w:type="dxa"/>
            <w:vAlign w:val="bottom"/>
          </w:tcPr>
          <w:p>
            <w:pPr>
              <w:jc w:val="center"/>
              <w:ind w:right="347"/>
              <w:spacing w:after="0"/>
              <w:rPr>
                <w:sz w:val="20"/>
                <w:szCs w:val="20"/>
                <w:color w:val="auto"/>
              </w:rPr>
            </w:pPr>
            <w:r>
              <w:rPr>
                <w:rFonts w:ascii="Arial" w:cs="Arial" w:eastAsia="Arial" w:hAnsi="Arial"/>
                <w:sz w:val="15"/>
                <w:szCs w:val="15"/>
                <w:color w:val="auto"/>
                <w:w w:val="88"/>
              </w:rPr>
              <w:t>101.SCH</w:t>
            </w:r>
          </w:p>
        </w:tc>
        <w:tc>
          <w:tcPr>
            <w:tcW w:w="9120" w:type="dxa"/>
            <w:vAlign w:val="bottom"/>
            <w:gridSpan w:val="4"/>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308"/>
        </w:trPr>
        <w:tc>
          <w:tcPr>
            <w:tcW w:w="1520" w:type="dxa"/>
            <w:vAlign w:val="bottom"/>
          </w:tcPr>
          <w:p>
            <w:pPr>
              <w:jc w:val="center"/>
              <w:ind w:right="327"/>
              <w:spacing w:after="0"/>
              <w:rPr>
                <w:sz w:val="20"/>
                <w:szCs w:val="20"/>
                <w:color w:val="auto"/>
              </w:rPr>
            </w:pPr>
            <w:r>
              <w:rPr>
                <w:rFonts w:ascii="Arial" w:cs="Arial" w:eastAsia="Arial" w:hAnsi="Arial"/>
                <w:sz w:val="15"/>
                <w:szCs w:val="15"/>
                <w:color w:val="auto"/>
                <w:w w:val="95"/>
              </w:rPr>
              <w:t>101.CAL</w:t>
            </w:r>
          </w:p>
        </w:tc>
        <w:tc>
          <w:tcPr>
            <w:tcW w:w="9120" w:type="dxa"/>
            <w:vAlign w:val="bottom"/>
            <w:gridSpan w:val="4"/>
          </w:tcPr>
          <w:p>
            <w:pPr>
              <w:spacing w:after="0"/>
              <w:rPr>
                <w:sz w:val="20"/>
                <w:szCs w:val="20"/>
                <w:color w:val="auto"/>
              </w:rPr>
            </w:pPr>
            <w:r>
              <w:rPr>
                <w:rFonts w:ascii="Arial" w:cs="Arial" w:eastAsia="Arial" w:hAnsi="Arial"/>
                <w:sz w:val="15"/>
                <w:szCs w:val="15"/>
                <w:color w:val="auto"/>
              </w:rPr>
              <w:t>Inline XBRL Taxonomy Extension Calculation Linkbase Document</w:t>
            </w:r>
          </w:p>
        </w:tc>
      </w:tr>
      <w:tr>
        <w:trPr>
          <w:trHeight w:val="308"/>
        </w:trPr>
        <w:tc>
          <w:tcPr>
            <w:tcW w:w="1520" w:type="dxa"/>
            <w:vAlign w:val="bottom"/>
          </w:tcPr>
          <w:p>
            <w:pPr>
              <w:jc w:val="center"/>
              <w:ind w:right="327"/>
              <w:spacing w:after="0"/>
              <w:rPr>
                <w:sz w:val="20"/>
                <w:szCs w:val="20"/>
                <w:color w:val="auto"/>
              </w:rPr>
            </w:pPr>
            <w:r>
              <w:rPr>
                <w:rFonts w:ascii="Arial" w:cs="Arial" w:eastAsia="Arial" w:hAnsi="Arial"/>
                <w:sz w:val="15"/>
                <w:szCs w:val="15"/>
                <w:color w:val="auto"/>
                <w:w w:val="87"/>
              </w:rPr>
              <w:t>101.DEF</w:t>
            </w:r>
          </w:p>
        </w:tc>
        <w:tc>
          <w:tcPr>
            <w:tcW w:w="9120" w:type="dxa"/>
            <w:vAlign w:val="bottom"/>
            <w:gridSpan w:val="4"/>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308"/>
        </w:trPr>
        <w:tc>
          <w:tcPr>
            <w:tcW w:w="1520" w:type="dxa"/>
            <w:vAlign w:val="bottom"/>
          </w:tcPr>
          <w:p>
            <w:pPr>
              <w:jc w:val="center"/>
              <w:ind w:right="327"/>
              <w:spacing w:after="0"/>
              <w:rPr>
                <w:sz w:val="20"/>
                <w:szCs w:val="20"/>
                <w:color w:val="auto"/>
              </w:rPr>
            </w:pPr>
            <w:r>
              <w:rPr>
                <w:rFonts w:ascii="Arial" w:cs="Arial" w:eastAsia="Arial" w:hAnsi="Arial"/>
                <w:sz w:val="15"/>
                <w:szCs w:val="15"/>
                <w:color w:val="auto"/>
                <w:w w:val="86"/>
              </w:rPr>
              <w:t>101.PRE</w:t>
            </w:r>
          </w:p>
        </w:tc>
        <w:tc>
          <w:tcPr>
            <w:tcW w:w="9120" w:type="dxa"/>
            <w:vAlign w:val="bottom"/>
            <w:gridSpan w:val="4"/>
          </w:tcPr>
          <w:p>
            <w:pPr>
              <w:spacing w:after="0"/>
              <w:rPr>
                <w:sz w:val="20"/>
                <w:szCs w:val="20"/>
                <w:color w:val="auto"/>
              </w:rPr>
            </w:pPr>
            <w:r>
              <w:rPr>
                <w:rFonts w:ascii="Arial" w:cs="Arial" w:eastAsia="Arial" w:hAnsi="Arial"/>
                <w:sz w:val="15"/>
                <w:szCs w:val="15"/>
                <w:color w:val="auto"/>
              </w:rPr>
              <w:t>Inline XBRL Taxonomy Extension Presentation Linkbase Document</w:t>
            </w:r>
          </w:p>
        </w:tc>
      </w:tr>
      <w:tr>
        <w:trPr>
          <w:trHeight w:val="308"/>
        </w:trPr>
        <w:tc>
          <w:tcPr>
            <w:tcW w:w="1520" w:type="dxa"/>
            <w:vAlign w:val="bottom"/>
          </w:tcPr>
          <w:p>
            <w:pPr>
              <w:jc w:val="center"/>
              <w:ind w:right="327"/>
              <w:spacing w:after="0"/>
              <w:rPr>
                <w:sz w:val="20"/>
                <w:szCs w:val="20"/>
                <w:color w:val="auto"/>
              </w:rPr>
            </w:pPr>
            <w:r>
              <w:rPr>
                <w:rFonts w:ascii="Arial" w:cs="Arial" w:eastAsia="Arial" w:hAnsi="Arial"/>
                <w:sz w:val="15"/>
                <w:szCs w:val="15"/>
                <w:color w:val="auto"/>
                <w:w w:val="97"/>
              </w:rPr>
              <w:t>101.LAB</w:t>
            </w:r>
          </w:p>
        </w:tc>
        <w:tc>
          <w:tcPr>
            <w:tcW w:w="9120" w:type="dxa"/>
            <w:vAlign w:val="bottom"/>
            <w:gridSpan w:val="4"/>
          </w:tcPr>
          <w:p>
            <w:pPr>
              <w:spacing w:after="0"/>
              <w:rPr>
                <w:sz w:val="20"/>
                <w:szCs w:val="20"/>
                <w:color w:val="auto"/>
              </w:rPr>
            </w:pPr>
            <w:r>
              <w:rPr>
                <w:rFonts w:ascii="Arial" w:cs="Arial" w:eastAsia="Arial" w:hAnsi="Arial"/>
                <w:sz w:val="15"/>
                <w:szCs w:val="15"/>
                <w:color w:val="auto"/>
              </w:rPr>
              <w:t>Inline XBRL Taxonomy Extension Label Linkbase Document</w:t>
            </w:r>
          </w:p>
        </w:tc>
      </w:tr>
    </w:tbl>
    <w:p>
      <w:pPr>
        <w:spacing w:after="0" w:line="121" w:lineRule="exact"/>
        <w:rPr>
          <w:sz w:val="20"/>
          <w:szCs w:val="20"/>
          <w:color w:val="auto"/>
        </w:rPr>
      </w:pPr>
    </w:p>
    <w:p>
      <w:pPr>
        <w:ind w:left="1520" w:hanging="1073"/>
        <w:spacing w:after="0"/>
        <w:tabs>
          <w:tab w:leader="none" w:pos="15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Cover Page Interactive Data File formatted in Inline XBRL and contained in Exhibit 101.</w:t>
      </w:r>
    </w:p>
    <w:p>
      <w:pPr>
        <w:spacing w:after="0" w:line="174"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2"/>
          <w:szCs w:val="12"/>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8312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40"/>
          </w:cols>
          <w:pgMar w:left="300" w:top="129" w:right="259" w:bottom="1440" w:gutter="0" w:footer="0" w:header="0"/>
          <w:type w:val="continuous"/>
        </w:sectPr>
      </w:pPr>
    </w:p>
    <w:bookmarkStart w:id="91" w:name="page92"/>
    <w:bookmarkEnd w:id="9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SIGNATURES</w:t>
      </w:r>
    </w:p>
    <w:p>
      <w:pPr>
        <w:spacing w:after="0" w:line="91" w:lineRule="exact"/>
        <w:rPr>
          <w:sz w:val="20"/>
          <w:szCs w:val="20"/>
          <w:color w:val="auto"/>
        </w:rPr>
      </w:pPr>
    </w:p>
    <w:p>
      <w:pPr>
        <w:ind w:firstLine="132"/>
        <w:spacing w:after="0" w:line="264" w:lineRule="auto"/>
        <w:rPr>
          <w:sz w:val="20"/>
          <w:szCs w:val="20"/>
          <w:color w:val="auto"/>
        </w:rPr>
      </w:pPr>
      <w:r>
        <w:rPr>
          <w:rFonts w:ascii="Arial" w:cs="Arial" w:eastAsia="Arial" w:hAnsi="Arial"/>
          <w:sz w:val="15"/>
          <w:szCs w:val="15"/>
          <w:color w:val="auto"/>
        </w:rPr>
        <w:t>Pursuant to the requirements of the Securities Exchange Act of 1934, as amended, the registrant has duly caused this report to be signed on its behalf by the undersigned thereunto duly authorized.</w:t>
      </w:r>
    </w:p>
    <w:tbl>
      <w:tblPr>
        <w:tblLayout w:type="fixed"/>
        <w:tblInd w:w="600" w:type="dxa"/>
        <w:tblCellMar>
          <w:top w:w="0" w:type="dxa"/>
          <w:left w:w="0" w:type="dxa"/>
          <w:bottom w:w="0" w:type="dxa"/>
          <w:right w:w="0" w:type="dxa"/>
        </w:tblCellMar>
      </w:tblPr>
      <w:tr>
        <w:trPr>
          <w:trHeight w:val="148"/>
        </w:trPr>
        <w:tc>
          <w:tcPr>
            <w:tcW w:w="3060" w:type="dxa"/>
            <w:vAlign w:val="bottom"/>
          </w:tcPr>
          <w:p>
            <w:pPr>
              <w:spacing w:after="0" w:line="148" w:lineRule="exact"/>
              <w:rPr>
                <w:sz w:val="20"/>
                <w:szCs w:val="20"/>
                <w:color w:val="auto"/>
              </w:rPr>
            </w:pPr>
            <w:r>
              <w:rPr>
                <w:rFonts w:ascii="Arial" w:cs="Arial" w:eastAsia="Arial" w:hAnsi="Arial"/>
                <w:sz w:val="15"/>
                <w:szCs w:val="15"/>
                <w:color w:val="auto"/>
              </w:rPr>
              <w:t>Date: August 6, 2021</w:t>
            </w:r>
          </w:p>
        </w:tc>
        <w:tc>
          <w:tcPr>
            <w:tcW w:w="6540" w:type="dxa"/>
            <w:vAlign w:val="bottom"/>
            <w:gridSpan w:val="2"/>
          </w:tcPr>
          <w:p>
            <w:pPr>
              <w:ind w:left="1800"/>
              <w:spacing w:after="0" w:line="148" w:lineRule="exact"/>
              <w:rPr>
                <w:sz w:val="20"/>
                <w:szCs w:val="20"/>
                <w:color w:val="auto"/>
              </w:rPr>
            </w:pPr>
            <w:r>
              <w:rPr>
                <w:rFonts w:ascii="Arial" w:cs="Arial" w:eastAsia="Arial" w:hAnsi="Arial"/>
                <w:sz w:val="15"/>
                <w:szCs w:val="15"/>
                <w:color w:val="auto"/>
              </w:rPr>
              <w:t>FIDELITY NATIONAL FINANCIAL, INC.</w:t>
            </w:r>
          </w:p>
        </w:tc>
      </w:tr>
      <w:tr>
        <w:trPr>
          <w:trHeight w:val="186"/>
        </w:trPr>
        <w:tc>
          <w:tcPr>
            <w:tcW w:w="3060" w:type="dxa"/>
            <w:vAlign w:val="bottom"/>
          </w:tcPr>
          <w:p>
            <w:pPr>
              <w:spacing w:after="0"/>
              <w:rPr>
                <w:sz w:val="16"/>
                <w:szCs w:val="16"/>
                <w:color w:val="auto"/>
              </w:rPr>
            </w:pPr>
          </w:p>
        </w:tc>
        <w:tc>
          <w:tcPr>
            <w:tcW w:w="6540" w:type="dxa"/>
            <w:vAlign w:val="bottom"/>
            <w:gridSpan w:val="2"/>
          </w:tcPr>
          <w:p>
            <w:pPr>
              <w:ind w:left="1800"/>
              <w:spacing w:after="0"/>
              <w:rPr>
                <w:sz w:val="20"/>
                <w:szCs w:val="20"/>
                <w:color w:val="auto"/>
              </w:rPr>
            </w:pPr>
            <w:r>
              <w:rPr>
                <w:rFonts w:ascii="Arial" w:cs="Arial" w:eastAsia="Arial" w:hAnsi="Arial"/>
                <w:sz w:val="15"/>
                <w:szCs w:val="15"/>
                <w:color w:val="auto"/>
              </w:rPr>
              <w:t>(registrant)</w:t>
            </w:r>
          </w:p>
        </w:tc>
      </w:tr>
      <w:tr>
        <w:trPr>
          <w:trHeight w:val="330"/>
        </w:trPr>
        <w:tc>
          <w:tcPr>
            <w:tcW w:w="3060" w:type="dxa"/>
            <w:vAlign w:val="bottom"/>
          </w:tcPr>
          <w:p>
            <w:pPr>
              <w:spacing w:after="0"/>
              <w:rPr>
                <w:sz w:val="24"/>
                <w:szCs w:val="24"/>
                <w:color w:val="auto"/>
              </w:rPr>
            </w:pPr>
          </w:p>
        </w:tc>
        <w:tc>
          <w:tcPr>
            <w:tcW w:w="2260" w:type="dxa"/>
            <w:vAlign w:val="bottom"/>
          </w:tcPr>
          <w:p>
            <w:pPr>
              <w:ind w:left="1800"/>
              <w:spacing w:after="0"/>
              <w:rPr>
                <w:sz w:val="20"/>
                <w:szCs w:val="20"/>
                <w:color w:val="auto"/>
              </w:rPr>
            </w:pPr>
            <w:r>
              <w:rPr>
                <w:rFonts w:ascii="Arial" w:cs="Arial" w:eastAsia="Arial" w:hAnsi="Arial"/>
                <w:sz w:val="15"/>
                <w:szCs w:val="15"/>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/s/ Anthony J. Park</w:t>
            </w:r>
          </w:p>
        </w:tc>
      </w:tr>
      <w:tr>
        <w:trPr>
          <w:trHeight w:val="178"/>
        </w:trPr>
        <w:tc>
          <w:tcPr>
            <w:tcW w:w="30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Arial" w:cs="Arial" w:eastAsia="Arial" w:hAnsi="Arial"/>
                <w:sz w:val="15"/>
                <w:szCs w:val="15"/>
                <w:color w:val="auto"/>
              </w:rPr>
              <w:t>Anthony J. Park</w:t>
            </w:r>
          </w:p>
        </w:tc>
      </w:tr>
    </w:tbl>
    <w:p>
      <w:pPr>
        <w:ind w:left="5940"/>
        <w:spacing w:after="0" w:line="215" w:lineRule="auto"/>
        <w:rPr>
          <w:sz w:val="20"/>
          <w:szCs w:val="20"/>
          <w:color w:val="auto"/>
        </w:rPr>
      </w:pPr>
      <w:r>
        <w:rPr>
          <w:rFonts w:ascii="Arial" w:cs="Arial" w:eastAsia="Arial" w:hAnsi="Arial"/>
          <w:sz w:val="15"/>
          <w:szCs w:val="15"/>
          <w:color w:val="auto"/>
        </w:rPr>
        <w:t>Chief Financial Officer</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900"/>
          </w:cols>
          <w:pgMar w:left="300" w:top="129" w:right="699" w:bottom="1440" w:gutter="0" w:footer="0" w:header="0"/>
        </w:sectPr>
      </w:pPr>
    </w:p>
    <w:bookmarkStart w:id="92" w:name="page93"/>
    <w:bookmarkEnd w:id="92"/>
    <w:p>
      <w:pPr>
        <w:jc w:val="right"/>
        <w:spacing w:after="0"/>
        <w:rPr>
          <w:sz w:val="20"/>
          <w:szCs w:val="20"/>
          <w:color w:val="auto"/>
        </w:rPr>
      </w:pPr>
      <w:r>
        <w:rPr>
          <w:rFonts w:ascii="Arial" w:cs="Arial" w:eastAsia="Arial" w:hAnsi="Arial"/>
          <w:sz w:val="15"/>
          <w:szCs w:val="15"/>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 Raymond R. Quirk, certify that:</w:t>
      </w:r>
    </w:p>
    <w:p>
      <w:pPr>
        <w:spacing w:after="0" w:line="124"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 have reviewed this annual report on Form 10-Q of Fidelity National Financial, Inc.;</w:t>
      </w:r>
    </w:p>
    <w:p>
      <w:pPr>
        <w:spacing w:after="0" w:line="135" w:lineRule="exact"/>
        <w:rPr>
          <w:rFonts w:ascii="Arial" w:cs="Arial" w:eastAsia="Arial" w:hAnsi="Arial"/>
          <w:sz w:val="15"/>
          <w:szCs w:val="15"/>
          <w:color w:val="auto"/>
        </w:rPr>
      </w:pPr>
    </w:p>
    <w:p>
      <w:pPr>
        <w:ind w:firstLine="8"/>
        <w:spacing w:after="0" w:line="264" w:lineRule="auto"/>
        <w:tabs>
          <w:tab w:leader="none" w:pos="168"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5"/>
          <w:szCs w:val="15"/>
          <w:color w:val="auto"/>
        </w:rPr>
      </w:pPr>
    </w:p>
    <w:p>
      <w:pPr>
        <w:ind w:firstLine="8"/>
        <w:spacing w:after="0" w:line="264" w:lineRule="auto"/>
        <w:tabs>
          <w:tab w:leader="none" w:pos="153"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5"/>
          <w:szCs w:val="15"/>
          <w:color w:val="auto"/>
        </w:rPr>
      </w:pPr>
    </w:p>
    <w:p>
      <w:pPr>
        <w:ind w:firstLine="8"/>
        <w:spacing w:after="0" w:line="264" w:lineRule="auto"/>
        <w:tabs>
          <w:tab w:leader="none" w:pos="14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5"/>
          <w:szCs w:val="15"/>
          <w:color w:val="auto"/>
        </w:rPr>
      </w:pPr>
    </w:p>
    <w:p>
      <w:pPr>
        <w:jc w:val="both"/>
        <w:ind w:left="1200" w:hanging="797"/>
        <w:spacing w:after="0" w:line="254" w:lineRule="auto"/>
        <w:tabs>
          <w:tab w:leader="none" w:pos="1198" w:val="left"/>
        </w:tabs>
        <w:numPr>
          <w:ilvl w:val="1"/>
          <w:numId w:val="2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200" w:hanging="797"/>
        <w:spacing w:after="0" w:line="254" w:lineRule="auto"/>
        <w:tabs>
          <w:tab w:leader="none" w:pos="1195" w:val="left"/>
        </w:tabs>
        <w:numPr>
          <w:ilvl w:val="1"/>
          <w:numId w:val="2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200" w:hanging="797"/>
        <w:spacing w:after="0" w:line="264" w:lineRule="auto"/>
        <w:tabs>
          <w:tab w:leader="none" w:pos="1198"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200" w:hanging="797"/>
        <w:spacing w:after="0" w:line="254" w:lineRule="auto"/>
        <w:tabs>
          <w:tab w:leader="none" w:pos="1195" w:val="left"/>
        </w:tabs>
        <w:numPr>
          <w:ilvl w:val="1"/>
          <w:numId w:val="2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5"/>
          <w:szCs w:val="15"/>
          <w:color w:val="auto"/>
        </w:rPr>
      </w:pPr>
    </w:p>
    <w:p>
      <w:pPr>
        <w:ind w:firstLine="8"/>
        <w:spacing w:after="0" w:line="264" w:lineRule="auto"/>
        <w:tabs>
          <w:tab w:leader="none" w:pos="1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5"/>
          <w:szCs w:val="15"/>
          <w:color w:val="auto"/>
        </w:rPr>
      </w:pPr>
    </w:p>
    <w:p>
      <w:pPr>
        <w:ind w:left="1200" w:hanging="797"/>
        <w:spacing w:after="0" w:line="264" w:lineRule="auto"/>
        <w:tabs>
          <w:tab w:leader="none" w:pos="1198" w:val="left"/>
        </w:tabs>
        <w:numPr>
          <w:ilvl w:val="1"/>
          <w:numId w:val="2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180" w:hanging="777"/>
        <w:spacing w:after="0"/>
        <w:tabs>
          <w:tab w:leader="none" w:pos="11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Date: August 6, 2021</w:t>
      </w:r>
    </w:p>
    <w:p>
      <w:pPr>
        <w:spacing w:after="0" w:line="36" w:lineRule="exact"/>
        <w:rPr>
          <w:sz w:val="20"/>
          <w:szCs w:val="20"/>
          <w:color w:val="auto"/>
        </w:rPr>
      </w:pPr>
    </w:p>
    <w:p>
      <w:pPr>
        <w:ind w:left="520"/>
        <w:spacing w:after="0"/>
        <w:tabs>
          <w:tab w:leader="none" w:pos="11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8890</wp:posOffset>
            </wp:positionV>
            <wp:extent cx="264414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Raymond R. Quirk</w:t>
      </w:r>
    </w:p>
    <w:p>
      <w:pPr>
        <w:ind w:left="114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80"/>
          </w:cols>
          <w:pgMar w:left="300" w:top="751" w:right="319" w:bottom="1440" w:gutter="0" w:footer="0" w:header="0"/>
        </w:sectPr>
      </w:pPr>
    </w:p>
    <w:bookmarkStart w:id="93" w:name="page94"/>
    <w:bookmarkEnd w:id="93"/>
    <w:p>
      <w:pPr>
        <w:jc w:val="right"/>
        <w:spacing w:after="0"/>
        <w:rPr>
          <w:sz w:val="20"/>
          <w:szCs w:val="20"/>
          <w:color w:val="auto"/>
        </w:rPr>
      </w:pPr>
      <w:r>
        <w:rPr>
          <w:rFonts w:ascii="Arial" w:cs="Arial" w:eastAsia="Arial" w:hAnsi="Arial"/>
          <w:sz w:val="15"/>
          <w:szCs w:val="15"/>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 Anthony J. Park, certify that:</w:t>
      </w:r>
    </w:p>
    <w:p>
      <w:pPr>
        <w:spacing w:after="0" w:line="124"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 have reviewed this annual report on Form 10-Q of Fidelity National Financial, Inc.;</w:t>
      </w:r>
    </w:p>
    <w:p>
      <w:pPr>
        <w:spacing w:after="0" w:line="135" w:lineRule="exact"/>
        <w:rPr>
          <w:rFonts w:ascii="Arial" w:cs="Arial" w:eastAsia="Arial" w:hAnsi="Arial"/>
          <w:sz w:val="15"/>
          <w:szCs w:val="15"/>
          <w:color w:val="auto"/>
        </w:rPr>
      </w:pPr>
    </w:p>
    <w:p>
      <w:pPr>
        <w:ind w:firstLine="8"/>
        <w:spacing w:after="0" w:line="264" w:lineRule="auto"/>
        <w:tabs>
          <w:tab w:leader="none" w:pos="168"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5"/>
          <w:szCs w:val="15"/>
          <w:color w:val="auto"/>
        </w:rPr>
      </w:pPr>
    </w:p>
    <w:p>
      <w:pPr>
        <w:ind w:firstLine="8"/>
        <w:spacing w:after="0" w:line="264" w:lineRule="auto"/>
        <w:tabs>
          <w:tab w:leader="none" w:pos="153"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5"/>
          <w:szCs w:val="15"/>
          <w:color w:val="auto"/>
        </w:rPr>
      </w:pPr>
    </w:p>
    <w:p>
      <w:pPr>
        <w:ind w:firstLine="8"/>
        <w:spacing w:after="0" w:line="264" w:lineRule="auto"/>
        <w:tabs>
          <w:tab w:leader="none" w:pos="1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5"/>
          <w:szCs w:val="15"/>
          <w:color w:val="auto"/>
        </w:rPr>
      </w:pPr>
    </w:p>
    <w:p>
      <w:pPr>
        <w:jc w:val="both"/>
        <w:ind w:left="1200" w:hanging="797"/>
        <w:spacing w:after="0" w:line="254" w:lineRule="auto"/>
        <w:tabs>
          <w:tab w:leader="none" w:pos="1198" w:val="left"/>
        </w:tabs>
        <w:numPr>
          <w:ilvl w:val="1"/>
          <w:numId w:val="2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200" w:hanging="797"/>
        <w:spacing w:after="0" w:line="254" w:lineRule="auto"/>
        <w:tabs>
          <w:tab w:leader="none" w:pos="1195" w:val="left"/>
        </w:tabs>
        <w:numPr>
          <w:ilvl w:val="1"/>
          <w:numId w:val="2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200" w:hanging="797"/>
        <w:spacing w:after="0" w:line="264" w:lineRule="auto"/>
        <w:tabs>
          <w:tab w:leader="none" w:pos="1198"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200" w:hanging="797"/>
        <w:spacing w:after="0" w:line="254" w:lineRule="auto"/>
        <w:tabs>
          <w:tab w:leader="none" w:pos="1195" w:val="left"/>
        </w:tabs>
        <w:numPr>
          <w:ilvl w:val="1"/>
          <w:numId w:val="2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5"/>
          <w:szCs w:val="15"/>
          <w:color w:val="auto"/>
        </w:rPr>
      </w:pPr>
    </w:p>
    <w:p>
      <w:pPr>
        <w:ind w:firstLine="8"/>
        <w:spacing w:after="0" w:line="264" w:lineRule="auto"/>
        <w:tabs>
          <w:tab w:leader="none" w:pos="166"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5"/>
          <w:szCs w:val="15"/>
          <w:color w:val="auto"/>
        </w:rPr>
      </w:pPr>
    </w:p>
    <w:p>
      <w:pPr>
        <w:ind w:left="1200" w:hanging="797"/>
        <w:spacing w:after="0" w:line="264" w:lineRule="auto"/>
        <w:tabs>
          <w:tab w:leader="none" w:pos="1198" w:val="left"/>
        </w:tabs>
        <w:numPr>
          <w:ilvl w:val="1"/>
          <w:numId w:val="2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180" w:hanging="777"/>
        <w:spacing w:after="0"/>
        <w:tabs>
          <w:tab w:leader="none" w:pos="11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ind w:left="1780"/>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Anthony J. Park</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160" w:type="dxa"/>
            <w:vAlign w:val="bottom"/>
          </w:tcPr>
          <w:p>
            <w:pPr>
              <w:ind w:left="20"/>
              <w:spacing w:after="0" w:line="134" w:lineRule="exact"/>
              <w:rPr>
                <w:sz w:val="20"/>
                <w:szCs w:val="20"/>
                <w:color w:val="auto"/>
              </w:rPr>
            </w:pPr>
            <w:r>
              <w:rPr>
                <w:rFonts w:ascii="Arial" w:cs="Arial" w:eastAsia="Arial" w:hAnsi="Arial"/>
                <w:sz w:val="15"/>
                <w:szCs w:val="15"/>
                <w:color w:val="auto"/>
              </w:rPr>
              <w:t>Anthony J. Park</w:t>
            </w:r>
          </w:p>
        </w:tc>
        <w:tc>
          <w:tcPr>
            <w:tcW w:w="0" w:type="dxa"/>
            <w:vAlign w:val="bottom"/>
          </w:tcPr>
          <w:p>
            <w:pPr>
              <w:spacing w:after="0"/>
              <w:rPr>
                <w:sz w:val="1"/>
                <w:szCs w:val="1"/>
                <w:color w:val="auto"/>
              </w:rPr>
            </w:pPr>
          </w:p>
        </w:tc>
      </w:tr>
      <w:tr>
        <w:trPr>
          <w:trHeight w:val="186"/>
        </w:trPr>
        <w:tc>
          <w:tcPr>
            <w:tcW w:w="2380" w:type="dxa"/>
            <w:vAlign w:val="bottom"/>
            <w:vMerge w:val="restart"/>
          </w:tcPr>
          <w:p>
            <w:pPr>
              <w:spacing w:after="0"/>
              <w:rPr>
                <w:sz w:val="20"/>
                <w:szCs w:val="20"/>
                <w:color w:val="auto"/>
              </w:rPr>
            </w:pPr>
            <w:r>
              <w:rPr>
                <w:rFonts w:ascii="Arial" w:cs="Arial" w:eastAsia="Arial" w:hAnsi="Arial"/>
                <w:sz w:val="15"/>
                <w:szCs w:val="15"/>
                <w:color w:val="auto"/>
              </w:rPr>
              <w:t>Date: August 6, 2021</w:t>
            </w:r>
          </w:p>
        </w:tc>
        <w:tc>
          <w:tcPr>
            <w:tcW w:w="4160" w:type="dxa"/>
            <w:vAlign w:val="bottom"/>
          </w:tcPr>
          <w:p>
            <w:pPr>
              <w:ind w:left="2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8"/>
        </w:trPr>
        <w:tc>
          <w:tcPr>
            <w:tcW w:w="238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1" w:right="319" w:bottom="1440" w:gutter="0" w:footer="0" w:header="0"/>
        </w:sectPr>
      </w:pPr>
    </w:p>
    <w:bookmarkStart w:id="94" w:name="page95"/>
    <w:bookmarkEnd w:id="94"/>
    <w:p>
      <w:pPr>
        <w:jc w:val="right"/>
        <w:spacing w:after="0"/>
        <w:rPr>
          <w:sz w:val="20"/>
          <w:szCs w:val="20"/>
          <w:color w:val="auto"/>
        </w:rPr>
      </w:pPr>
      <w:r>
        <w:rPr>
          <w:rFonts w:ascii="Arial" w:cs="Arial" w:eastAsia="Arial" w:hAnsi="Arial"/>
          <w:sz w:val="15"/>
          <w:szCs w:val="15"/>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PERIODIC FINANCIAL REPORTS PURSUANT TO 18 U.S.C. §1350</w:t>
      </w:r>
    </w:p>
    <w:p>
      <w:pPr>
        <w:spacing w:after="0" w:line="205" w:lineRule="exact"/>
        <w:rPr>
          <w:sz w:val="20"/>
          <w:szCs w:val="20"/>
          <w:color w:val="auto"/>
        </w:rPr>
      </w:pPr>
    </w:p>
    <w:p>
      <w:pPr>
        <w:ind w:firstLine="196"/>
        <w:spacing w:after="0" w:line="264" w:lineRule="auto"/>
        <w:rPr>
          <w:sz w:val="20"/>
          <w:szCs w:val="20"/>
          <w:color w:val="auto"/>
        </w:rPr>
      </w:pPr>
      <w:r>
        <w:rPr>
          <w:rFonts w:ascii="Arial" w:cs="Arial" w:eastAsia="Arial" w:hAnsi="Arial"/>
          <w:sz w:val="15"/>
          <w:szCs w:val="15"/>
          <w:color w:val="auto"/>
        </w:rPr>
        <w:t>The undersigned hereby certifies that he is the duly appointed and acting Chief Executive Officer of Fidelity National Financial, Inc., a Delaware corporation (the “Company”), and hereby further certifies as follows.</w:t>
      </w:r>
    </w:p>
    <w:p>
      <w:pPr>
        <w:spacing w:after="0" w:line="104" w:lineRule="exact"/>
        <w:rPr>
          <w:sz w:val="20"/>
          <w:szCs w:val="20"/>
          <w:color w:val="auto"/>
        </w:rPr>
      </w:pPr>
    </w:p>
    <w:p>
      <w:pPr>
        <w:ind w:left="740" w:hanging="732"/>
        <w:spacing w:after="0" w:line="264" w:lineRule="auto"/>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periodic report containing financial statements to which this certificate is an exhibit fully complies with the requirements of Section 13(a) or 15(d) of the Securities Exchange Act of 1934.</w:t>
      </w:r>
    </w:p>
    <w:p>
      <w:pPr>
        <w:spacing w:after="0" w:line="169" w:lineRule="exact"/>
        <w:rPr>
          <w:rFonts w:ascii="Arial" w:cs="Arial" w:eastAsia="Arial" w:hAnsi="Arial"/>
          <w:sz w:val="15"/>
          <w:szCs w:val="15"/>
          <w:color w:val="auto"/>
        </w:rPr>
      </w:pPr>
    </w:p>
    <w:p>
      <w:pPr>
        <w:ind w:left="740" w:hanging="732"/>
        <w:spacing w:after="0" w:line="264" w:lineRule="auto"/>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witness whereof, the undersigned has executed and delivered this certificate as of the date set forth opposite his signature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ind w:left="1280"/>
              <w:spacing w:after="0"/>
              <w:rPr>
                <w:sz w:val="20"/>
                <w:szCs w:val="20"/>
                <w:color w:val="auto"/>
              </w:rPr>
            </w:pPr>
            <w:r>
              <w:rPr>
                <w:rFonts w:ascii="Arial" w:cs="Arial" w:eastAsia="Arial" w:hAnsi="Arial"/>
                <w:sz w:val="15"/>
                <w:szCs w:val="15"/>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Raymond R. Quirk</w:t>
            </w:r>
          </w:p>
        </w:tc>
        <w:tc>
          <w:tcPr>
            <w:tcW w:w="0" w:type="dxa"/>
            <w:vAlign w:val="bottom"/>
          </w:tcPr>
          <w:p>
            <w:pPr>
              <w:spacing w:after="0"/>
              <w:rPr>
                <w:sz w:val="1"/>
                <w:szCs w:val="1"/>
                <w:color w:val="auto"/>
              </w:rPr>
            </w:pPr>
          </w:p>
        </w:tc>
      </w:tr>
      <w:tr>
        <w:trPr>
          <w:trHeight w:val="178"/>
        </w:trPr>
        <w:tc>
          <w:tcPr>
            <w:tcW w:w="210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Arial" w:cs="Arial" w:eastAsia="Arial" w:hAnsi="Arial"/>
                <w:sz w:val="15"/>
                <w:szCs w:val="15"/>
                <w:color w:val="auto"/>
              </w:rPr>
              <w:t>Raymond R. Quirk</w:t>
            </w:r>
          </w:p>
        </w:tc>
        <w:tc>
          <w:tcPr>
            <w:tcW w:w="0" w:type="dxa"/>
            <w:vAlign w:val="bottom"/>
          </w:tcPr>
          <w:p>
            <w:pPr>
              <w:spacing w:after="0"/>
              <w:rPr>
                <w:sz w:val="1"/>
                <w:szCs w:val="1"/>
                <w:color w:val="auto"/>
              </w:rPr>
            </w:pPr>
          </w:p>
        </w:tc>
      </w:tr>
      <w:tr>
        <w:trPr>
          <w:trHeight w:val="187"/>
        </w:trPr>
        <w:tc>
          <w:tcPr>
            <w:tcW w:w="2100" w:type="dxa"/>
            <w:vAlign w:val="bottom"/>
            <w:vMerge w:val="restart"/>
          </w:tcPr>
          <w:p>
            <w:pPr>
              <w:spacing w:after="0"/>
              <w:rPr>
                <w:sz w:val="20"/>
                <w:szCs w:val="20"/>
                <w:color w:val="auto"/>
              </w:rPr>
            </w:pPr>
            <w:r>
              <w:rPr>
                <w:rFonts w:ascii="Arial" w:cs="Arial" w:eastAsia="Arial" w:hAnsi="Arial"/>
                <w:sz w:val="15"/>
                <w:szCs w:val="15"/>
                <w:color w:val="auto"/>
              </w:rPr>
              <w:t>Date: August 6, 2021</w:t>
            </w:r>
          </w:p>
        </w:tc>
        <w:tc>
          <w:tcPr>
            <w:tcW w:w="5280" w:type="dxa"/>
            <w:vAlign w:val="bottom"/>
          </w:tcPr>
          <w:p>
            <w:pPr>
              <w:ind w:left="20"/>
              <w:spacing w:after="0"/>
              <w:rPr>
                <w:sz w:val="20"/>
                <w:szCs w:val="20"/>
                <w:color w:val="auto"/>
              </w:rPr>
            </w:pPr>
            <w:r>
              <w:rPr>
                <w:rFonts w:ascii="Arial" w:cs="Arial" w:eastAsia="Arial" w:hAnsi="Arial"/>
                <w:sz w:val="15"/>
                <w:szCs w:val="15"/>
                <w:color w:val="auto"/>
              </w:rPr>
              <w:t>Chief Executive Officer</w:t>
            </w:r>
          </w:p>
        </w:tc>
        <w:tc>
          <w:tcPr>
            <w:tcW w:w="0" w:type="dxa"/>
            <w:vAlign w:val="bottom"/>
          </w:tcPr>
          <w:p>
            <w:pPr>
              <w:spacing w:after="0"/>
              <w:rPr>
                <w:sz w:val="1"/>
                <w:szCs w:val="1"/>
                <w:color w:val="auto"/>
              </w:rPr>
            </w:pPr>
          </w:p>
        </w:tc>
      </w:tr>
      <w:tr>
        <w:trPr>
          <w:trHeight w:val="88"/>
        </w:trPr>
        <w:tc>
          <w:tcPr>
            <w:tcW w:w="210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49" w:right="319" w:bottom="1440" w:gutter="0" w:footer="0" w:header="0"/>
        </w:sectPr>
      </w:pPr>
    </w:p>
    <w:bookmarkStart w:id="95" w:name="page96"/>
    <w:bookmarkEnd w:id="95"/>
    <w:p>
      <w:pPr>
        <w:jc w:val="right"/>
        <w:spacing w:after="0"/>
        <w:rPr>
          <w:sz w:val="20"/>
          <w:szCs w:val="20"/>
          <w:color w:val="auto"/>
        </w:rPr>
      </w:pPr>
      <w:r>
        <w:rPr>
          <w:rFonts w:ascii="Arial" w:cs="Arial" w:eastAsia="Arial" w:hAnsi="Arial"/>
          <w:sz w:val="15"/>
          <w:szCs w:val="15"/>
          <w:b w:val="1"/>
          <w:bCs w:val="1"/>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PERIODIC FINANCIAL REPORTS PURSUANT TO 18 U.S.C. §1350</w:t>
      </w:r>
    </w:p>
    <w:p>
      <w:pPr>
        <w:spacing w:after="0" w:line="139" w:lineRule="exact"/>
        <w:rPr>
          <w:sz w:val="20"/>
          <w:szCs w:val="20"/>
          <w:color w:val="auto"/>
        </w:rPr>
      </w:pPr>
    </w:p>
    <w:p>
      <w:pPr>
        <w:ind w:firstLine="204"/>
        <w:spacing w:after="0" w:line="264" w:lineRule="auto"/>
        <w:rPr>
          <w:sz w:val="20"/>
          <w:szCs w:val="20"/>
          <w:color w:val="auto"/>
        </w:rPr>
      </w:pPr>
      <w:r>
        <w:rPr>
          <w:rFonts w:ascii="Arial" w:cs="Arial" w:eastAsia="Arial" w:hAnsi="Arial"/>
          <w:sz w:val="15"/>
          <w:szCs w:val="15"/>
          <w:color w:val="auto"/>
        </w:rPr>
        <w:t>The undersigned hereby certifies that he is the duly appointed and acting Chief Financial Officer of Fidelity National Financial, Inc., a Delaware corporation (the “Company”), and hereby further certifies as follows.</w:t>
      </w:r>
    </w:p>
    <w:p>
      <w:pPr>
        <w:spacing w:after="0" w:line="104" w:lineRule="exact"/>
        <w:rPr>
          <w:sz w:val="20"/>
          <w:szCs w:val="20"/>
          <w:color w:val="auto"/>
        </w:rPr>
      </w:pPr>
    </w:p>
    <w:p>
      <w:pPr>
        <w:ind w:left="740" w:hanging="732"/>
        <w:spacing w:after="0" w:line="264" w:lineRule="auto"/>
        <w:tabs>
          <w:tab w:leader="none" w:pos="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periodic report containing financial statements to which this certificate is an exhibit fully complies with the requirements of Section 13(a) or 15(d) of the Securities Exchange Act of 1934.</w:t>
      </w:r>
    </w:p>
    <w:p>
      <w:pPr>
        <w:spacing w:after="0" w:line="169" w:lineRule="exact"/>
        <w:rPr>
          <w:rFonts w:ascii="Arial" w:cs="Arial" w:eastAsia="Arial" w:hAnsi="Arial"/>
          <w:sz w:val="15"/>
          <w:szCs w:val="15"/>
          <w:color w:val="auto"/>
        </w:rPr>
      </w:pPr>
    </w:p>
    <w:p>
      <w:pPr>
        <w:ind w:left="740" w:hanging="732"/>
        <w:spacing w:after="0" w:line="264" w:lineRule="auto"/>
        <w:tabs>
          <w:tab w:leader="none" w:pos="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witness whereof, the undersigned has executed and delivered this certificate as of the date set forth opposite his signature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ind w:left="1320"/>
              <w:spacing w:after="0"/>
              <w:rPr>
                <w:sz w:val="20"/>
                <w:szCs w:val="20"/>
                <w:color w:val="auto"/>
              </w:rPr>
            </w:pPr>
            <w:r>
              <w:rPr>
                <w:rFonts w:ascii="Arial" w:cs="Arial" w:eastAsia="Arial" w:hAnsi="Arial"/>
                <w:sz w:val="15"/>
                <w:szCs w:val="15"/>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Anthony J. Park</w:t>
            </w:r>
          </w:p>
        </w:tc>
        <w:tc>
          <w:tcPr>
            <w:tcW w:w="0" w:type="dxa"/>
            <w:vAlign w:val="bottom"/>
          </w:tcPr>
          <w:p>
            <w:pPr>
              <w:spacing w:after="0"/>
              <w:rPr>
                <w:sz w:val="1"/>
                <w:szCs w:val="1"/>
                <w:color w:val="auto"/>
              </w:rPr>
            </w:pPr>
          </w:p>
        </w:tc>
      </w:tr>
      <w:tr>
        <w:trPr>
          <w:trHeight w:val="178"/>
        </w:trPr>
        <w:tc>
          <w:tcPr>
            <w:tcW w:w="204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Arial" w:cs="Arial" w:eastAsia="Arial" w:hAnsi="Arial"/>
                <w:sz w:val="15"/>
                <w:szCs w:val="15"/>
                <w:color w:val="auto"/>
              </w:rPr>
              <w:t>Anthony J. Park</w:t>
            </w:r>
          </w:p>
        </w:tc>
        <w:tc>
          <w:tcPr>
            <w:tcW w:w="0" w:type="dxa"/>
            <w:vAlign w:val="bottom"/>
          </w:tcPr>
          <w:p>
            <w:pPr>
              <w:spacing w:after="0"/>
              <w:rPr>
                <w:sz w:val="1"/>
                <w:szCs w:val="1"/>
                <w:color w:val="auto"/>
              </w:rPr>
            </w:pPr>
          </w:p>
        </w:tc>
      </w:tr>
      <w:tr>
        <w:trPr>
          <w:trHeight w:val="187"/>
        </w:trPr>
        <w:tc>
          <w:tcPr>
            <w:tcW w:w="2040" w:type="dxa"/>
            <w:vAlign w:val="bottom"/>
            <w:vMerge w:val="restart"/>
          </w:tcPr>
          <w:p>
            <w:pPr>
              <w:spacing w:after="0"/>
              <w:rPr>
                <w:sz w:val="20"/>
                <w:szCs w:val="20"/>
                <w:color w:val="auto"/>
              </w:rPr>
            </w:pPr>
            <w:r>
              <w:rPr>
                <w:rFonts w:ascii="Arial" w:cs="Arial" w:eastAsia="Arial" w:hAnsi="Arial"/>
                <w:sz w:val="15"/>
                <w:szCs w:val="15"/>
                <w:color w:val="auto"/>
              </w:rPr>
              <w:t>Date: August 6, 2021</w:t>
            </w:r>
          </w:p>
        </w:tc>
        <w:tc>
          <w:tcPr>
            <w:tcW w:w="5280" w:type="dxa"/>
            <w:vAlign w:val="bottom"/>
          </w:tcPr>
          <w:p>
            <w:pPr>
              <w:ind w:left="2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8"/>
        </w:trPr>
        <w:tc>
          <w:tcPr>
            <w:tcW w:w="204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75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Roman"/>
      <w:start w:val="2"/>
    </w:lvl>
  </w:abstractNum>
  <w:abstractNum w:abstractNumId="11">
    <w:nsid w:val="436C6125"/>
    <w:multiLevelType w:val="hybridMultilevel"/>
    <w:lvl w:ilvl="0">
      <w:lvlJc w:val="left"/>
      <w:lvlText w:val="(%1)"/>
      <w:numFmt w:val="lowerRoman"/>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lvl w:ilvl="1">
      <w:lvlJc w:val="left"/>
      <w:lvlText w:val="%2"/>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2021-08-06T17:03:35Z</dcterms:created>
  <dcterms:modified xsi:type="dcterms:W3CDTF">2021-08-06T17:03:35Z</dcterms:modified>
</cp:coreProperties>
</file>