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84" w:lineRule="exact"/>
        <w:rPr>
          <w:sz w:val="24"/>
          <w:szCs w:val="24"/>
          <w:color w:val="auto"/>
        </w:rPr>
      </w:pPr>
    </w:p>
    <w:p>
      <w:pPr>
        <w:ind w:left="2320" w:right="1080" w:hanging="1144"/>
        <w:spacing w:after="0" w:line="286" w:lineRule="auto"/>
        <w:tabs>
          <w:tab w:leader="none" w:pos="2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2320" w:right="1080" w:hanging="1108"/>
        <w:spacing w:after="0" w:line="286" w:lineRule="auto"/>
        <w:tabs>
          <w:tab w:leader="none" w:pos="2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1-32630</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FIDELITY NATIONAL FINANCIAL, INC.</w:t>
      </w:r>
    </w:p>
    <w:p>
      <w:pPr>
        <w:spacing w:after="0" w:line="53"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______________________________________________________________________________________________________________________________________________________</w:t>
      </w: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800" w:type="dxa"/>
            <w:vAlign w:val="bottom"/>
            <w:gridSpan w:val="3"/>
          </w:tcPr>
          <w:p>
            <w:pPr>
              <w:jc w:val="center"/>
              <w:ind w:right="2520"/>
              <w:spacing w:after="0"/>
              <w:rPr>
                <w:sz w:val="20"/>
                <w:szCs w:val="20"/>
                <w:color w:val="auto"/>
              </w:rPr>
            </w:pPr>
            <w:r>
              <w:rPr>
                <w:rFonts w:ascii="Times New Roman" w:cs="Times New Roman" w:eastAsia="Times New Roman" w:hAnsi="Times New Roman"/>
                <w:sz w:val="18"/>
                <w:szCs w:val="18"/>
                <w:color w:val="auto"/>
                <w:w w:val="98"/>
              </w:rPr>
              <w:t>Delaware</w:t>
            </w:r>
          </w:p>
        </w:tc>
        <w:tc>
          <w:tcPr>
            <w:tcW w:w="362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16-1725106</w:t>
            </w:r>
          </w:p>
        </w:tc>
      </w:tr>
      <w:tr>
        <w:trPr>
          <w:trHeight w:val="27"/>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18"/>
        </w:trPr>
        <w:tc>
          <w:tcPr>
            <w:tcW w:w="7800" w:type="dxa"/>
            <w:vAlign w:val="bottom"/>
            <w:gridSpan w:val="3"/>
          </w:tcPr>
          <w:p>
            <w:pPr>
              <w:jc w:val="center"/>
              <w:ind w:right="252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620" w:type="dxa"/>
            <w:vAlign w:val="bottom"/>
          </w:tcPr>
          <w:p>
            <w:pPr>
              <w:jc w:val="center"/>
              <w:ind w:right="15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800" w:type="dxa"/>
            <w:vAlign w:val="bottom"/>
            <w:gridSpan w:val="3"/>
          </w:tcPr>
          <w:p>
            <w:pPr>
              <w:jc w:val="center"/>
              <w:ind w:right="25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620" w:type="dxa"/>
            <w:vAlign w:val="bottom"/>
          </w:tcPr>
          <w:p>
            <w:pPr>
              <w:jc w:val="center"/>
              <w:ind w:right="1530"/>
              <w:spacing w:after="0"/>
              <w:rPr>
                <w:sz w:val="20"/>
                <w:szCs w:val="20"/>
                <w:color w:val="auto"/>
              </w:rPr>
            </w:pPr>
            <w:r>
              <w:rPr>
                <w:rFonts w:ascii="Times New Roman" w:cs="Times New Roman" w:eastAsia="Times New Roman" w:hAnsi="Times New Roman"/>
                <w:sz w:val="18"/>
                <w:szCs w:val="18"/>
                <w:color w:val="auto"/>
              </w:rPr>
              <w:t>Identification Number)</w:t>
            </w:r>
          </w:p>
        </w:tc>
      </w:tr>
      <w:tr>
        <w:trPr>
          <w:trHeight w:val="540"/>
        </w:trPr>
        <w:tc>
          <w:tcPr>
            <w:tcW w:w="7800" w:type="dxa"/>
            <w:vAlign w:val="bottom"/>
            <w:gridSpan w:val="3"/>
          </w:tcPr>
          <w:p>
            <w:pPr>
              <w:jc w:val="center"/>
              <w:ind w:right="2540"/>
              <w:spacing w:after="0"/>
              <w:rPr>
                <w:sz w:val="20"/>
                <w:szCs w:val="20"/>
                <w:color w:val="auto"/>
              </w:rPr>
            </w:pPr>
            <w:r>
              <w:rPr>
                <w:rFonts w:ascii="Times New Roman" w:cs="Times New Roman" w:eastAsia="Times New Roman" w:hAnsi="Times New Roman"/>
                <w:sz w:val="18"/>
                <w:szCs w:val="18"/>
                <w:color w:val="auto"/>
                <w:w w:val="99"/>
              </w:rPr>
              <w:t>601 Riverside Avenue, Jacksonville, Florida</w:t>
            </w:r>
          </w:p>
        </w:tc>
        <w:tc>
          <w:tcPr>
            <w:tcW w:w="3620" w:type="dxa"/>
            <w:vAlign w:val="bottom"/>
          </w:tcPr>
          <w:p>
            <w:pPr>
              <w:jc w:val="right"/>
              <w:ind w:right="2310"/>
              <w:spacing w:after="0"/>
              <w:rPr>
                <w:sz w:val="20"/>
                <w:szCs w:val="20"/>
                <w:color w:val="auto"/>
              </w:rPr>
            </w:pPr>
            <w:r>
              <w:rPr>
                <w:rFonts w:ascii="Times New Roman" w:cs="Times New Roman" w:eastAsia="Times New Roman" w:hAnsi="Times New Roman"/>
                <w:sz w:val="18"/>
                <w:szCs w:val="18"/>
                <w:color w:val="auto"/>
              </w:rPr>
              <w:t>32204</w:t>
            </w:r>
          </w:p>
        </w:tc>
      </w:tr>
      <w:tr>
        <w:trPr>
          <w:trHeight w:val="27"/>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37"/>
        </w:trPr>
        <w:tc>
          <w:tcPr>
            <w:tcW w:w="7800" w:type="dxa"/>
            <w:vAlign w:val="bottom"/>
            <w:gridSpan w:val="3"/>
          </w:tcPr>
          <w:p>
            <w:pPr>
              <w:jc w:val="center"/>
              <w:ind w:right="25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20" w:type="dxa"/>
            <w:vAlign w:val="bottom"/>
          </w:tcPr>
          <w:p>
            <w:pPr>
              <w:jc w:val="center"/>
              <w:ind w:right="1530"/>
              <w:spacing w:after="0"/>
              <w:rPr>
                <w:sz w:val="20"/>
                <w:szCs w:val="20"/>
                <w:color w:val="auto"/>
              </w:rPr>
            </w:pPr>
            <w:r>
              <w:rPr>
                <w:rFonts w:ascii="Times New Roman" w:cs="Times New Roman" w:eastAsia="Times New Roman" w:hAnsi="Times New Roman"/>
                <w:sz w:val="18"/>
                <w:szCs w:val="18"/>
                <w:color w:val="auto"/>
              </w:rPr>
              <w:t>(Zip Code)</w:t>
            </w:r>
          </w:p>
        </w:tc>
      </w:tr>
      <w:tr>
        <w:trPr>
          <w:trHeight w:val="256"/>
        </w:trPr>
        <w:tc>
          <w:tcPr>
            <w:tcW w:w="7800" w:type="dxa"/>
            <w:vAlign w:val="bottom"/>
            <w:gridSpan w:val="3"/>
          </w:tcPr>
          <w:p>
            <w:pPr>
              <w:jc w:val="right"/>
              <w:ind w:right="1520"/>
              <w:spacing w:after="0"/>
              <w:rPr>
                <w:sz w:val="20"/>
                <w:szCs w:val="20"/>
                <w:color w:val="auto"/>
              </w:rPr>
            </w:pPr>
            <w:r>
              <w:rPr>
                <w:rFonts w:ascii="Times New Roman" w:cs="Times New Roman" w:eastAsia="Times New Roman" w:hAnsi="Times New Roman"/>
                <w:sz w:val="18"/>
                <w:szCs w:val="18"/>
                <w:color w:val="auto"/>
              </w:rPr>
              <w:t>(904) 854-8100</w:t>
            </w:r>
          </w:p>
        </w:tc>
        <w:tc>
          <w:tcPr>
            <w:tcW w:w="3620" w:type="dxa"/>
            <w:vAlign w:val="bottom"/>
          </w:tcPr>
          <w:p>
            <w:pPr>
              <w:spacing w:after="0"/>
              <w:rPr>
                <w:sz w:val="22"/>
                <w:szCs w:val="22"/>
                <w:color w:val="auto"/>
              </w:rPr>
            </w:pPr>
          </w:p>
        </w:tc>
      </w:tr>
      <w:tr>
        <w:trPr>
          <w:trHeight w:val="130"/>
        </w:trPr>
        <w:tc>
          <w:tcPr>
            <w:tcW w:w="780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w:t>
            </w:r>
          </w:p>
        </w:tc>
        <w:tc>
          <w:tcPr>
            <w:tcW w:w="3620" w:type="dxa"/>
            <w:vAlign w:val="bottom"/>
          </w:tcPr>
          <w:p>
            <w:pPr>
              <w:spacing w:after="0"/>
              <w:rPr>
                <w:sz w:val="11"/>
                <w:szCs w:val="11"/>
                <w:color w:val="auto"/>
              </w:rPr>
            </w:pPr>
          </w:p>
        </w:tc>
      </w:tr>
      <w:tr>
        <w:trPr>
          <w:trHeight w:val="234"/>
        </w:trPr>
        <w:tc>
          <w:tcPr>
            <w:tcW w:w="7800" w:type="dxa"/>
            <w:vAlign w:val="bottom"/>
            <w:gridSpan w:val="3"/>
          </w:tcPr>
          <w:p>
            <w:pPr>
              <w:ind w:left="380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3620" w:type="dxa"/>
            <w:vAlign w:val="bottom"/>
          </w:tcPr>
          <w:p>
            <w:pPr>
              <w:spacing w:after="0"/>
              <w:rPr>
                <w:sz w:val="20"/>
                <w:szCs w:val="20"/>
                <w:color w:val="auto"/>
              </w:rPr>
            </w:pPr>
          </w:p>
        </w:tc>
      </w:tr>
    </w:tbl>
    <w:p>
      <w:pPr>
        <w:spacing w:after="0" w:line="90" w:lineRule="exact"/>
        <w:rPr>
          <w:sz w:val="24"/>
          <w:szCs w:val="24"/>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04" w:lineRule="exact"/>
        <w:rPr>
          <w:sz w:val="24"/>
          <w:szCs w:val="24"/>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04"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79" w:lineRule="exact"/>
        <w:rPr>
          <w:sz w:val="24"/>
          <w:szCs w:val="24"/>
          <w:color w:val="auto"/>
        </w:rPr>
      </w:pPr>
    </w:p>
    <w:p>
      <w:pPr>
        <w:ind w:left="40"/>
        <w:spacing w:after="0" w:line="207" w:lineRule="exact"/>
        <w:tabs>
          <w:tab w:leader="none" w:pos="3280" w:val="left"/>
          <w:tab w:leader="none" w:pos="5900" w:val="left"/>
          <w:tab w:leader="none" w:pos="926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 o</w:t>
      </w:r>
      <w:r>
        <w:rPr>
          <w:sz w:val="20"/>
          <w:szCs w:val="20"/>
          <w:color w:val="auto"/>
        </w:rPr>
        <w:tab/>
      </w:r>
      <w:r>
        <w:rPr>
          <w:rFonts w:ascii="Times New Roman" w:cs="Times New Roman" w:eastAsia="Times New Roman" w:hAnsi="Times New Roman"/>
          <w:sz w:val="18"/>
          <w:szCs w:val="18"/>
          <w:color w:val="auto"/>
        </w:rPr>
        <w:t>Non-accelerated filer o</w:t>
      </w:r>
      <w:r>
        <w:rPr>
          <w:sz w:val="20"/>
          <w:szCs w:val="20"/>
          <w:color w:val="auto"/>
        </w:rPr>
        <w:tab/>
      </w:r>
      <w:r>
        <w:rPr>
          <w:rFonts w:ascii="Times New Roman" w:cs="Times New Roman" w:eastAsia="Times New Roman" w:hAnsi="Times New Roman"/>
          <w:sz w:val="18"/>
          <w:szCs w:val="18"/>
          <w:color w:val="auto"/>
        </w:rPr>
        <w:t>Smaller reporting company o</w:t>
      </w:r>
    </w:p>
    <w:p>
      <w:pPr>
        <w:spacing w:after="0" w:line="92" w:lineRule="exact"/>
        <w:rPr>
          <w:sz w:val="24"/>
          <w:szCs w:val="24"/>
          <w:color w:val="auto"/>
        </w:rPr>
      </w:pPr>
    </w:p>
    <w:p>
      <w:pPr>
        <w:jc w:val="center"/>
        <w:ind w:left="2080"/>
        <w:spacing w:after="0"/>
        <w:rPr>
          <w:sz w:val="20"/>
          <w:szCs w:val="20"/>
          <w:color w:val="auto"/>
        </w:rPr>
      </w:pPr>
      <w:r>
        <w:rPr>
          <w:rFonts w:ascii="Times New Roman" w:cs="Times New Roman" w:eastAsia="Times New Roman" w:hAnsi="Times New Roman"/>
          <w:sz w:val="18"/>
          <w:szCs w:val="18"/>
          <w:color w:val="auto"/>
        </w:rPr>
        <w:t>(Do not check if a smaller</w:t>
      </w:r>
    </w:p>
    <w:p>
      <w:pPr>
        <w:spacing w:after="0" w:line="27" w:lineRule="exact"/>
        <w:rPr>
          <w:sz w:val="24"/>
          <w:szCs w:val="24"/>
          <w:color w:val="auto"/>
        </w:rPr>
      </w:pPr>
    </w:p>
    <w:p>
      <w:pPr>
        <w:jc w:val="center"/>
        <w:ind w:left="2080"/>
        <w:spacing w:after="0"/>
        <w:rPr>
          <w:sz w:val="20"/>
          <w:szCs w:val="20"/>
          <w:color w:val="auto"/>
        </w:rPr>
      </w:pPr>
      <w:r>
        <w:rPr>
          <w:rFonts w:ascii="Times New Roman" w:cs="Times New Roman" w:eastAsia="Times New Roman" w:hAnsi="Times New Roman"/>
          <w:sz w:val="18"/>
          <w:szCs w:val="18"/>
          <w:color w:val="auto"/>
        </w:rPr>
        <w:t>reporting company)</w:t>
      </w:r>
    </w:p>
    <w:p>
      <w:pPr>
        <w:spacing w:after="0" w:line="1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ind w:left="5220"/>
        <w:spacing w:after="0" w:line="207" w:lineRule="exact"/>
        <w:rPr>
          <w:sz w:val="20"/>
          <w:szCs w:val="20"/>
          <w:color w:val="auto"/>
        </w:rPr>
      </w:pPr>
      <w:r>
        <w:rPr>
          <w:rFonts w:ascii="Times New Roman" w:cs="Times New Roman" w:eastAsia="Times New Roman" w:hAnsi="Times New Roman"/>
          <w:sz w:val="18"/>
          <w:szCs w:val="18"/>
          <w:color w:val="auto"/>
        </w:rPr>
        <w:t xml:space="preserve">YES o NO </w:t>
      </w:r>
      <w:r>
        <w:rPr>
          <w:rFonts w:ascii="MS PGothic" w:cs="MS PGothic" w:eastAsia="MS PGothic" w:hAnsi="MS PGothic"/>
          <w:sz w:val="18"/>
          <w:szCs w:val="18"/>
          <w:color w:val="auto"/>
        </w:rPr>
        <w:t>☑</w:t>
      </w:r>
    </w:p>
    <w:p>
      <w:pPr>
        <w:spacing w:after="0" w:line="9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October 31, 2016 were:</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FNF Group Common Stock</w:t>
            </w:r>
          </w:p>
        </w:tc>
        <w:tc>
          <w:tcPr>
            <w:tcW w:w="9260" w:type="dxa"/>
            <w:vAlign w:val="bottom"/>
          </w:tcPr>
          <w:p>
            <w:pPr>
              <w:jc w:val="right"/>
              <w:ind w:right="8230"/>
              <w:spacing w:after="0"/>
              <w:rPr>
                <w:sz w:val="20"/>
                <w:szCs w:val="20"/>
                <w:color w:val="auto"/>
              </w:rPr>
            </w:pPr>
            <w:r>
              <w:rPr>
                <w:rFonts w:ascii="Times New Roman" w:cs="Times New Roman" w:eastAsia="Times New Roman" w:hAnsi="Times New Roman"/>
                <w:sz w:val="18"/>
                <w:szCs w:val="18"/>
                <w:color w:val="auto"/>
              </w:rPr>
              <w:t>271,950,614</w:t>
            </w: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FNFV Group Common Stock</w:t>
            </w:r>
          </w:p>
        </w:tc>
        <w:tc>
          <w:tcPr>
            <w:tcW w:w="9260" w:type="dxa"/>
            <w:vAlign w:val="bottom"/>
          </w:tcPr>
          <w:p>
            <w:pPr>
              <w:jc w:val="right"/>
              <w:ind w:right="8150"/>
              <w:spacing w:after="0"/>
              <w:rPr>
                <w:sz w:val="20"/>
                <w:szCs w:val="20"/>
                <w:color w:val="auto"/>
              </w:rPr>
            </w:pPr>
            <w:r>
              <w:rPr>
                <w:rFonts w:ascii="Times New Roman" w:cs="Times New Roman" w:eastAsia="Times New Roman" w:hAnsi="Times New Roman"/>
                <w:sz w:val="18"/>
                <w:szCs w:val="18"/>
                <w:color w:val="auto"/>
              </w:rPr>
              <w:t>66,606,822</w:t>
            </w:r>
          </w:p>
        </w:tc>
      </w:tr>
      <w:tr>
        <w:trPr>
          <w:trHeight w:val="372"/>
        </w:trPr>
        <w:tc>
          <w:tcPr>
            <w:tcW w:w="216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spacing w:after="0"/>
              <w:rPr>
                <w:sz w:val="24"/>
                <w:szCs w:val="24"/>
                <w:color w:val="auto"/>
              </w:rPr>
            </w:pPr>
          </w:p>
        </w:tc>
      </w:tr>
      <w:tr>
        <w:trPr>
          <w:trHeight w:val="122"/>
        </w:trPr>
        <w:tc>
          <w:tcPr>
            <w:tcW w:w="2160" w:type="dxa"/>
            <w:vAlign w:val="bottom"/>
            <w:tcBorders>
              <w:bottom w:val="single" w:sz="8" w:color="auto"/>
            </w:tcBorders>
          </w:tcPr>
          <w:p>
            <w:pPr>
              <w:spacing w:after="0"/>
              <w:rPr>
                <w:sz w:val="10"/>
                <w:szCs w:val="10"/>
                <w:color w:val="auto"/>
              </w:rPr>
            </w:pPr>
          </w:p>
        </w:tc>
        <w:tc>
          <w:tcPr>
            <w:tcW w:w="92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225" w:right="2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QUARTERLY REPORT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Quarter Ended September 30, 2016</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03"/>
        </w:trPr>
        <w:tc>
          <w:tcPr>
            <w:tcW w:w="2740" w:type="dxa"/>
            <w:vAlign w:val="bottom"/>
            <w:tcBorders>
              <w:bottom w:val="single" w:sz="8" w:color="0000FF"/>
            </w:tcBorders>
            <w:gridSpan w:val="7"/>
          </w:tcPr>
          <w:p>
            <w:pPr>
              <w:spacing w:after="0" w:line="202" w:lineRule="exact"/>
              <w:rPr>
                <w:rFonts w:ascii="Times New Roman" w:cs="Times New Roman" w:eastAsia="Times New Roman" w:hAnsi="Times New Roman"/>
                <w:sz w:val="18"/>
                <w:szCs w:val="18"/>
                <w:color w:val="0000FF"/>
                <w:w w:val="98"/>
              </w:rPr>
            </w:pPr>
            <w:hyperlink w:anchor="page3">
              <w:r>
                <w:rPr>
                  <w:rFonts w:ascii="Times New Roman" w:cs="Times New Roman" w:eastAsia="Times New Roman" w:hAnsi="Times New Roman"/>
                  <w:sz w:val="18"/>
                  <w:szCs w:val="18"/>
                  <w:color w:val="0000FF"/>
                  <w:w w:val="98"/>
                </w:rPr>
                <w:t>Part I: FINANCIAL INFORMATION</w:t>
              </w:r>
            </w:hyperlink>
          </w:p>
        </w:tc>
        <w:tc>
          <w:tcPr>
            <w:tcW w:w="7500" w:type="dxa"/>
            <w:vAlign w:val="bottom"/>
            <w:gridSpan w:val="11"/>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Item 1. Condensed Consolidated Financial Statements</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A. Condensed Consolidated Balance Sheets as of September 30, 2016 and December 31, 2015</w:t>
              </w:r>
            </w:hyperlink>
          </w:p>
        </w:tc>
        <w:tc>
          <w:tcPr>
            <w:tcW w:w="114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1</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9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 Condensed Consolidated Statements of Earnings for the three-month and nine-month periods ended September 30, 2016 and 2015</w:t>
              </w:r>
            </w:hyperlink>
          </w:p>
        </w:tc>
        <w:tc>
          <w:tcPr>
            <w:tcW w:w="114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2</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16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 Condensed Consolidated Statements of Comprehensive Earnings for the three-month and nine-month periods ended September 30,</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52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5">
              <w:r>
                <w:rPr>
                  <w:rFonts w:ascii="Times New Roman" w:cs="Times New Roman" w:eastAsia="Times New Roman" w:hAnsi="Times New Roman"/>
                  <w:sz w:val="18"/>
                  <w:szCs w:val="18"/>
                  <w:color w:val="0000EE"/>
                  <w:w w:val="97"/>
                </w:rPr>
                <w:t>2016 and 2015</w:t>
              </w:r>
            </w:hyperlink>
          </w:p>
        </w:tc>
        <w:tc>
          <w:tcPr>
            <w:tcW w:w="8580" w:type="dxa"/>
            <w:vAlign w:val="bottom"/>
            <w:tcBorders>
              <w:top w:val="single" w:sz="8" w:color="0000EE"/>
            </w:tcBorders>
            <w:gridSpan w:val="14"/>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Times New Roman" w:cs="Times New Roman" w:eastAsia="Times New Roman" w:hAnsi="Times New Roman"/>
                <w:sz w:val="18"/>
                <w:szCs w:val="18"/>
                <w:color w:val="0000FF"/>
                <w:w w:val="88"/>
              </w:rPr>
            </w:pPr>
            <w:hyperlink w:anchor="page5">
              <w:r>
                <w:rPr>
                  <w:rFonts w:ascii="Times New Roman" w:cs="Times New Roman" w:eastAsia="Times New Roman" w:hAnsi="Times New Roman"/>
                  <w:sz w:val="18"/>
                  <w:szCs w:val="18"/>
                  <w:color w:val="0000FF"/>
                  <w:w w:val="88"/>
                </w:rPr>
                <w:t>3</w:t>
              </w:r>
            </w:hyperlink>
          </w:p>
        </w:tc>
        <w:tc>
          <w:tcPr>
            <w:tcW w:w="20" w:type="dxa"/>
            <w:vAlign w:val="bottom"/>
          </w:tcPr>
          <w:p>
            <w:pPr>
              <w:spacing w:after="0"/>
              <w:rPr>
                <w:sz w:val="17"/>
                <w:szCs w:val="17"/>
                <w:color w:val="auto"/>
              </w:rPr>
            </w:pPr>
          </w:p>
        </w:tc>
      </w:tr>
      <w:tr>
        <w:trPr>
          <w:trHeight w:val="250"/>
        </w:trPr>
        <w:tc>
          <w:tcPr>
            <w:tcW w:w="520" w:type="dxa"/>
            <w:vAlign w:val="bottom"/>
          </w:tcPr>
          <w:p>
            <w:pPr>
              <w:spacing w:after="0"/>
              <w:rPr>
                <w:sz w:val="21"/>
                <w:szCs w:val="21"/>
                <w:color w:val="auto"/>
              </w:rPr>
            </w:pPr>
          </w:p>
        </w:tc>
        <w:tc>
          <w:tcPr>
            <w:tcW w:w="73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D. Condensed Consolidated Statement of Equity for the nine-month period ended September 30, 2016</w:t>
              </w:r>
            </w:hyperlink>
          </w:p>
        </w:tc>
        <w:tc>
          <w:tcPr>
            <w:tcW w:w="2360" w:type="dxa"/>
            <w:vAlign w:val="bottom"/>
            <w:gridSpan w:val="4"/>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6">
              <w:r>
                <w:rPr>
                  <w:rFonts w:ascii="Times New Roman" w:cs="Times New Roman" w:eastAsia="Times New Roman" w:hAnsi="Times New Roman"/>
                  <w:sz w:val="18"/>
                  <w:szCs w:val="18"/>
                  <w:color w:val="0000FF"/>
                  <w:w w:val="88"/>
                </w:rPr>
                <w:t>4</w:t>
              </w:r>
            </w:hyperlink>
          </w:p>
        </w:tc>
        <w:tc>
          <w:tcPr>
            <w:tcW w:w="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E. Condensed Consolidated Statements of Cash Flows for the nine-month periods ended September 30, 2016 and 2015</w:t>
              </w:r>
            </w:hyperlink>
          </w:p>
        </w:tc>
        <w:tc>
          <w:tcPr>
            <w:tcW w:w="114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5</w:t>
              </w:r>
            </w:hyperlink>
          </w:p>
        </w:tc>
      </w:tr>
      <w:tr>
        <w:trPr>
          <w:trHeight w:val="250"/>
        </w:trPr>
        <w:tc>
          <w:tcPr>
            <w:tcW w:w="520" w:type="dxa"/>
            <w:vAlign w:val="bottom"/>
          </w:tcPr>
          <w:p>
            <w:pPr>
              <w:spacing w:after="0"/>
              <w:rPr>
                <w:sz w:val="21"/>
                <w:szCs w:val="21"/>
                <w:color w:val="auto"/>
              </w:rPr>
            </w:pPr>
          </w:p>
        </w:tc>
        <w:tc>
          <w:tcPr>
            <w:tcW w:w="416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8"/>
              </w:rPr>
            </w:pPr>
            <w:hyperlink w:anchor="page9">
              <w:r>
                <w:rPr>
                  <w:rFonts w:ascii="Times New Roman" w:cs="Times New Roman" w:eastAsia="Times New Roman" w:hAnsi="Times New Roman"/>
                  <w:sz w:val="18"/>
                  <w:szCs w:val="18"/>
                  <w:color w:val="0000EE"/>
                  <w:w w:val="98"/>
                </w:rPr>
                <w:t>F. Notes to Condensed Consolidated Financial Statements</w:t>
              </w:r>
            </w:hyperlink>
          </w:p>
        </w:tc>
        <w:tc>
          <w:tcPr>
            <w:tcW w:w="4380" w:type="dxa"/>
            <w:vAlign w:val="bottom"/>
            <w:tcBorders>
              <w:top w:val="single" w:sz="8" w:color="0000EE"/>
            </w:tcBorders>
            <w:gridSpan w:val="5"/>
          </w:tcPr>
          <w:p>
            <w:pPr>
              <w:spacing w:after="0"/>
              <w:rPr>
                <w:sz w:val="21"/>
                <w:szCs w:val="21"/>
                <w:color w:val="auto"/>
              </w:rPr>
            </w:pPr>
          </w:p>
        </w:tc>
        <w:tc>
          <w:tcPr>
            <w:tcW w:w="1180" w:type="dxa"/>
            <w:vAlign w:val="bottom"/>
            <w:gridSpan w:val="3"/>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Times New Roman" w:cs="Times New Roman" w:eastAsia="Times New Roman" w:hAnsi="Times New Roman"/>
                <w:sz w:val="18"/>
                <w:szCs w:val="18"/>
                <w:color w:val="0000FF"/>
                <w:w w:val="88"/>
              </w:rPr>
            </w:pPr>
            <w:hyperlink w:anchor="page9">
              <w:r>
                <w:rPr>
                  <w:rFonts w:ascii="Times New Roman" w:cs="Times New Roman" w:eastAsia="Times New Roman" w:hAnsi="Times New Roman"/>
                  <w:sz w:val="18"/>
                  <w:szCs w:val="18"/>
                  <w:color w:val="0000FF"/>
                  <w:w w:val="88"/>
                </w:rPr>
                <w:t>6</w:t>
              </w:r>
            </w:hyperlink>
          </w:p>
        </w:tc>
        <w:tc>
          <w:tcPr>
            <w:tcW w:w="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Item 2. Management’s Discussion and Analysis of Financial Condition and Results of Operations</w:t>
              </w:r>
            </w:hyperlink>
          </w:p>
        </w:tc>
        <w:tc>
          <w:tcPr>
            <w:tcW w:w="114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26</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840" w:type="dxa"/>
            <w:vAlign w:val="bottom"/>
            <w:gridSpan w:val="10"/>
          </w:tcPr>
          <w:p>
            <w:pPr>
              <w:spacing w:after="0"/>
              <w:rPr>
                <w:rFonts w:ascii="Times New Roman" w:cs="Times New Roman" w:eastAsia="Times New Roman" w:hAnsi="Times New Roman"/>
                <w:sz w:val="18"/>
                <w:szCs w:val="18"/>
                <w:color w:val="0000FF"/>
                <w:w w:val="99"/>
              </w:rPr>
            </w:pPr>
            <w:hyperlink w:anchor="page41">
              <w:r>
                <w:rPr>
                  <w:rFonts w:ascii="Times New Roman" w:cs="Times New Roman" w:eastAsia="Times New Roman" w:hAnsi="Times New Roman"/>
                  <w:sz w:val="18"/>
                  <w:szCs w:val="18"/>
                  <w:color w:val="0000FF"/>
                  <w:w w:val="99"/>
                </w:rPr>
                <w:t>Item 3. Quantitative and Qualitative Disclosure About Market Risk</w:t>
              </w:r>
            </w:hyperlink>
          </w:p>
        </w:tc>
        <w:tc>
          <w:tcPr>
            <w:tcW w:w="2160" w:type="dxa"/>
            <w:vAlign w:val="bottom"/>
            <w:gridSpan w:val="2"/>
          </w:tcPr>
          <w:p>
            <w:pPr>
              <w:spacing w:after="0"/>
              <w:rPr>
                <w:sz w:val="21"/>
                <w:szCs w:val="21"/>
                <w:color w:val="auto"/>
              </w:rPr>
            </w:pPr>
          </w:p>
        </w:tc>
        <w:tc>
          <w:tcPr>
            <w:tcW w:w="272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1">
              <w:r>
                <w:rPr>
                  <w:rFonts w:ascii="Times New Roman" w:cs="Times New Roman" w:eastAsia="Times New Roman" w:hAnsi="Times New Roman"/>
                  <w:sz w:val="18"/>
                  <w:szCs w:val="18"/>
                  <w:color w:val="0000FF"/>
                </w:rPr>
                <w:t>38</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Times New Roman" w:cs="Times New Roman" w:eastAsia="Times New Roman" w:hAnsi="Times New Roman"/>
                <w:sz w:val="18"/>
                <w:szCs w:val="18"/>
                <w:color w:val="0000FF"/>
                <w:w w:val="97"/>
              </w:rPr>
            </w:pPr>
            <w:hyperlink w:anchor="page41">
              <w:r>
                <w:rPr>
                  <w:rFonts w:ascii="Times New Roman" w:cs="Times New Roman" w:eastAsia="Times New Roman" w:hAnsi="Times New Roman"/>
                  <w:sz w:val="18"/>
                  <w:szCs w:val="18"/>
                  <w:color w:val="0000FF"/>
                  <w:w w:val="97"/>
                </w:rPr>
                <w:t>Item 4.</w:t>
              </w:r>
            </w:hyperlink>
          </w:p>
        </w:tc>
        <w:tc>
          <w:tcPr>
            <w:tcW w:w="4320" w:type="dxa"/>
            <w:vAlign w:val="bottom"/>
            <w:gridSpan w:val="9"/>
          </w:tcPr>
          <w:p>
            <w:pPr>
              <w:ind w:left="20"/>
              <w:spacing w:after="0"/>
              <w:rPr>
                <w:rFonts w:ascii="Times New Roman" w:cs="Times New Roman" w:eastAsia="Times New Roman" w:hAnsi="Times New Roman"/>
                <w:sz w:val="18"/>
                <w:szCs w:val="18"/>
                <w:color w:val="0000FF"/>
              </w:rPr>
            </w:pPr>
            <w:hyperlink w:anchor="page41">
              <w:r>
                <w:rPr>
                  <w:rFonts w:ascii="Times New Roman" w:cs="Times New Roman" w:eastAsia="Times New Roman" w:hAnsi="Times New Roman"/>
                  <w:sz w:val="18"/>
                  <w:szCs w:val="18"/>
                  <w:color w:val="0000FF"/>
                </w:rPr>
                <w:t>Controls and Procedures</w:t>
              </w:r>
            </w:hyperlink>
          </w:p>
        </w:tc>
        <w:tc>
          <w:tcPr>
            <w:tcW w:w="488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1">
              <w:r>
                <w:rPr>
                  <w:rFonts w:ascii="Times New Roman" w:cs="Times New Roman" w:eastAsia="Times New Roman" w:hAnsi="Times New Roman"/>
                  <w:sz w:val="18"/>
                  <w:szCs w:val="18"/>
                  <w:color w:val="0000FF"/>
                </w:rPr>
                <w:t>38</w:t>
              </w:r>
            </w:hyperlink>
          </w:p>
        </w:tc>
      </w:tr>
      <w:tr>
        <w:trPr>
          <w:trHeight w:val="20"/>
        </w:trPr>
        <w:tc>
          <w:tcPr>
            <w:tcW w:w="520" w:type="dxa"/>
            <w:vAlign w:val="bottom"/>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40" w:type="dxa"/>
            <w:vAlign w:val="bottom"/>
            <w:gridSpan w:val="18"/>
          </w:tcPr>
          <w:p>
            <w:pPr>
              <w:spacing w:after="0"/>
              <w:rPr>
                <w:rFonts w:ascii="Times New Roman" w:cs="Times New Roman" w:eastAsia="Times New Roman" w:hAnsi="Times New Roman"/>
                <w:sz w:val="18"/>
                <w:szCs w:val="18"/>
                <w:color w:val="0000FF"/>
              </w:rPr>
            </w:pPr>
            <w:hyperlink w:anchor="page42">
              <w:r>
                <w:rPr>
                  <w:rFonts w:ascii="Times New Roman" w:cs="Times New Roman" w:eastAsia="Times New Roman" w:hAnsi="Times New Roman"/>
                  <w:sz w:val="18"/>
                  <w:szCs w:val="18"/>
                  <w:color w:val="0000FF"/>
                </w:rPr>
                <w:t>Part II: OTHER INFORMATION</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20" w:type="dxa"/>
            <w:vAlign w:val="bottom"/>
            <w:tcBorders>
              <w:top w:val="single" w:sz="8" w:color="0000FF"/>
            </w:tcBorders>
          </w:tcPr>
          <w:p>
            <w:pPr>
              <w:spacing w:after="0"/>
              <w:rPr>
                <w:sz w:val="21"/>
                <w:szCs w:val="21"/>
                <w:color w:val="auto"/>
              </w:rPr>
            </w:pPr>
          </w:p>
        </w:tc>
        <w:tc>
          <w:tcPr>
            <w:tcW w:w="520" w:type="dxa"/>
            <w:vAlign w:val="bottom"/>
            <w:tcBorders>
              <w:top w:val="single" w:sz="8" w:color="0000FF"/>
            </w:tcBorders>
          </w:tcPr>
          <w:p>
            <w:pPr>
              <w:spacing w:after="0"/>
              <w:rPr>
                <w:rFonts w:ascii="Times New Roman" w:cs="Times New Roman" w:eastAsia="Times New Roman" w:hAnsi="Times New Roman"/>
                <w:sz w:val="18"/>
                <w:szCs w:val="18"/>
                <w:color w:val="0000FF"/>
                <w:w w:val="97"/>
              </w:rPr>
            </w:pPr>
            <w:hyperlink w:anchor="page42">
              <w:r>
                <w:rPr>
                  <w:rFonts w:ascii="Times New Roman" w:cs="Times New Roman" w:eastAsia="Times New Roman" w:hAnsi="Times New Roman"/>
                  <w:sz w:val="18"/>
                  <w:szCs w:val="18"/>
                  <w:color w:val="0000FF"/>
                  <w:w w:val="97"/>
                </w:rPr>
                <w:t>Item 1.</w:t>
              </w:r>
            </w:hyperlink>
          </w:p>
        </w:tc>
        <w:tc>
          <w:tcPr>
            <w:tcW w:w="1360" w:type="dxa"/>
            <w:vAlign w:val="bottom"/>
            <w:tcBorders>
              <w:top w:val="single" w:sz="8" w:color="0000FF"/>
            </w:tcBorders>
            <w:gridSpan w:val="3"/>
          </w:tcPr>
          <w:p>
            <w:pPr>
              <w:ind w:left="20"/>
              <w:spacing w:after="0"/>
              <w:rPr>
                <w:rFonts w:ascii="Times New Roman" w:cs="Times New Roman" w:eastAsia="Times New Roman" w:hAnsi="Times New Roman"/>
                <w:sz w:val="18"/>
                <w:szCs w:val="18"/>
                <w:color w:val="0000FF"/>
                <w:w w:val="98"/>
              </w:rPr>
            </w:pPr>
            <w:hyperlink w:anchor="page42">
              <w:r>
                <w:rPr>
                  <w:rFonts w:ascii="Times New Roman" w:cs="Times New Roman" w:eastAsia="Times New Roman" w:hAnsi="Times New Roman"/>
                  <w:sz w:val="18"/>
                  <w:szCs w:val="18"/>
                  <w:color w:val="0000FF"/>
                  <w:w w:val="98"/>
                </w:rPr>
                <w:t>Legal Proceedings</w:t>
              </w:r>
            </w:hyperlink>
          </w:p>
        </w:tc>
        <w:tc>
          <w:tcPr>
            <w:tcW w:w="20" w:type="dxa"/>
            <w:vAlign w:val="bottom"/>
            <w:tcBorders>
              <w:top w:val="single" w:sz="8" w:color="0000FF"/>
            </w:tcBorders>
          </w:tcPr>
          <w:p>
            <w:pPr>
              <w:spacing w:after="0"/>
              <w:rPr>
                <w:sz w:val="21"/>
                <w:szCs w:val="21"/>
                <w:color w:val="auto"/>
              </w:rPr>
            </w:pPr>
          </w:p>
        </w:tc>
        <w:tc>
          <w:tcPr>
            <w:tcW w:w="7820" w:type="dxa"/>
            <w:vAlign w:val="bottom"/>
            <w:gridSpan w:val="12"/>
          </w:tcPr>
          <w:p>
            <w:pPr>
              <w:spacing w:after="0"/>
              <w:rPr>
                <w:sz w:val="21"/>
                <w:szCs w:val="21"/>
                <w:color w:val="auto"/>
              </w:rPr>
            </w:pPr>
          </w:p>
        </w:tc>
        <w:tc>
          <w:tcPr>
            <w:tcW w:w="114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2">
              <w:r>
                <w:rPr>
                  <w:rFonts w:ascii="Times New Roman" w:cs="Times New Roman" w:eastAsia="Times New Roman" w:hAnsi="Times New Roman"/>
                  <w:sz w:val="18"/>
                  <w:szCs w:val="18"/>
                  <w:color w:val="0000FF"/>
                </w:rPr>
                <w:t>39</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Times New Roman" w:cs="Times New Roman" w:eastAsia="Times New Roman" w:hAnsi="Times New Roman"/>
                <w:sz w:val="18"/>
                <w:szCs w:val="18"/>
                <w:color w:val="0000FF"/>
                <w:w w:val="97"/>
              </w:rPr>
            </w:pPr>
            <w:hyperlink w:anchor="page42">
              <w:r>
                <w:rPr>
                  <w:rFonts w:ascii="Times New Roman" w:cs="Times New Roman" w:eastAsia="Times New Roman" w:hAnsi="Times New Roman"/>
                  <w:sz w:val="18"/>
                  <w:szCs w:val="18"/>
                  <w:color w:val="0000FF"/>
                  <w:w w:val="97"/>
                </w:rPr>
                <w:t>Item 2.</w:t>
              </w:r>
            </w:hyperlink>
          </w:p>
        </w:tc>
        <w:tc>
          <w:tcPr>
            <w:tcW w:w="4320" w:type="dxa"/>
            <w:vAlign w:val="bottom"/>
            <w:gridSpan w:val="9"/>
          </w:tcPr>
          <w:p>
            <w:pPr>
              <w:ind w:left="20"/>
              <w:spacing w:after="0"/>
              <w:rPr>
                <w:rFonts w:ascii="Times New Roman" w:cs="Times New Roman" w:eastAsia="Times New Roman" w:hAnsi="Times New Roman"/>
                <w:sz w:val="18"/>
                <w:szCs w:val="18"/>
                <w:color w:val="0000FF"/>
                <w:w w:val="97"/>
              </w:rPr>
            </w:pPr>
            <w:hyperlink w:anchor="page42">
              <w:r>
                <w:rPr>
                  <w:rFonts w:ascii="Times New Roman" w:cs="Times New Roman" w:eastAsia="Times New Roman" w:hAnsi="Times New Roman"/>
                  <w:sz w:val="18"/>
                  <w:szCs w:val="18"/>
                  <w:color w:val="0000FF"/>
                  <w:w w:val="97"/>
                </w:rPr>
                <w:t>Unregistered Sales of Equity Securities and Use of Proceeds</w:t>
              </w:r>
            </w:hyperlink>
          </w:p>
        </w:tc>
        <w:tc>
          <w:tcPr>
            <w:tcW w:w="488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2">
              <w:r>
                <w:rPr>
                  <w:rFonts w:ascii="Times New Roman" w:cs="Times New Roman" w:eastAsia="Times New Roman" w:hAnsi="Times New Roman"/>
                  <w:sz w:val="18"/>
                  <w:szCs w:val="18"/>
                  <w:color w:val="0000FF"/>
                </w:rPr>
                <w:t>39</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Times New Roman" w:cs="Times New Roman" w:eastAsia="Times New Roman" w:hAnsi="Times New Roman"/>
                <w:sz w:val="18"/>
                <w:szCs w:val="18"/>
                <w:color w:val="0000FF"/>
                <w:w w:val="97"/>
              </w:rPr>
            </w:pPr>
            <w:hyperlink w:anchor="page43">
              <w:r>
                <w:rPr>
                  <w:rFonts w:ascii="Times New Roman" w:cs="Times New Roman" w:eastAsia="Times New Roman" w:hAnsi="Times New Roman"/>
                  <w:sz w:val="18"/>
                  <w:szCs w:val="18"/>
                  <w:color w:val="0000FF"/>
                  <w:w w:val="97"/>
                </w:rPr>
                <w:t>Item 6.</w:t>
              </w:r>
            </w:hyperlink>
          </w:p>
        </w:tc>
        <w:tc>
          <w:tcPr>
            <w:tcW w:w="4320" w:type="dxa"/>
            <w:vAlign w:val="bottom"/>
            <w:gridSpan w:val="9"/>
          </w:tcPr>
          <w:p>
            <w:pPr>
              <w:ind w:left="20"/>
              <w:spacing w:after="0"/>
              <w:rPr>
                <w:rFonts w:ascii="Times New Roman" w:cs="Times New Roman" w:eastAsia="Times New Roman" w:hAnsi="Times New Roman"/>
                <w:sz w:val="18"/>
                <w:szCs w:val="18"/>
                <w:color w:val="0000FF"/>
              </w:rPr>
            </w:pPr>
            <w:hyperlink w:anchor="page43">
              <w:r>
                <w:rPr>
                  <w:rFonts w:ascii="Times New Roman" w:cs="Times New Roman" w:eastAsia="Times New Roman" w:hAnsi="Times New Roman"/>
                  <w:sz w:val="18"/>
                  <w:szCs w:val="18"/>
                  <w:color w:val="0000FF"/>
                </w:rPr>
                <w:t>Exhibits</w:t>
              </w:r>
            </w:hyperlink>
          </w:p>
        </w:tc>
        <w:tc>
          <w:tcPr>
            <w:tcW w:w="488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3">
              <w:r>
                <w:rPr>
                  <w:rFonts w:ascii="Times New Roman" w:cs="Times New Roman" w:eastAsia="Times New Roman" w:hAnsi="Times New Roman"/>
                  <w:sz w:val="18"/>
                  <w:szCs w:val="18"/>
                  <w:color w:val="0000FF"/>
                </w:rPr>
                <w:t>40</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80"/>
          </w:cols>
          <w:pgMar w:left="280" w:top="36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020" w:type="dxa"/>
            <w:vAlign w:val="bottom"/>
            <w:gridSpan w:val="3"/>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9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Item 1.</w:t>
            </w:r>
          </w:p>
        </w:tc>
        <w:tc>
          <w:tcPr>
            <w:tcW w:w="84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60" w:type="dxa"/>
            <w:vAlign w:val="bottom"/>
          </w:tcPr>
          <w:p>
            <w:pPr>
              <w:jc w:val="center"/>
              <w:ind w:left="980"/>
              <w:spacing w:after="0"/>
              <w:rPr>
                <w:sz w:val="20"/>
                <w:szCs w:val="20"/>
                <w:color w:val="auto"/>
              </w:rPr>
            </w:pPr>
            <w:r>
              <w:rPr>
                <w:rFonts w:ascii="Times New Roman" w:cs="Times New Roman" w:eastAsia="Times New Roman" w:hAnsi="Times New Roman"/>
                <w:sz w:val="18"/>
                <w:szCs w:val="18"/>
                <w:b w:val="1"/>
                <w:bCs w:val="1"/>
                <w:color w:val="auto"/>
                <w:w w:val="99"/>
              </w:rPr>
              <w:t>FIDELITY NATIONAL FINANCIAL, INC. AND SUBSIDIARIES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60" w:type="dxa"/>
            <w:vAlign w:val="bottom"/>
          </w:tcPr>
          <w:p>
            <w:pPr>
              <w:jc w:val="center"/>
              <w:ind w:left="96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60" w:type="dxa"/>
            <w:vAlign w:val="bottom"/>
          </w:tcPr>
          <w:p>
            <w:pPr>
              <w:jc w:val="center"/>
              <w:ind w:left="980"/>
              <w:spacing w:after="0"/>
              <w:rPr>
                <w:sz w:val="20"/>
                <w:szCs w:val="20"/>
                <w:color w:val="auto"/>
              </w:rPr>
            </w:pPr>
            <w:r>
              <w:rPr>
                <w:rFonts w:ascii="Times New Roman" w:cs="Times New Roman" w:eastAsia="Times New Roman" w:hAnsi="Times New Roman"/>
                <w:sz w:val="14"/>
                <w:szCs w:val="14"/>
                <w:color w:val="auto"/>
              </w:rPr>
              <w:t>(Dollars in millions, except share data)</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24"/>
                <w:szCs w:val="24"/>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7"/>
        </w:trPr>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(Unaudited)</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60" w:type="dxa"/>
            <w:vAlign w:val="bottom"/>
            <w:shd w:val="clear" w:color="auto" w:fill="CCEEFF"/>
          </w:tcPr>
          <w:p>
            <w:pPr>
              <w:jc w:val="center"/>
              <w:ind w:left="9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Investments: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Fixed maturity securities available for sale, at fair value, at September 30, 2016 and December 31, 2015 includes pledged fixed</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maturity securities of $332 and $342, respectively, related to secured trust deposits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2,476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2,558</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Preferred stock available for sale, at fair value</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289</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Equity securities available for sale, at fair value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620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521</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long-term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6"/>
        </w:trPr>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Short-term investments, at September 30, 2016 and December 31, 2015 includes short-term investments of $193 and $266,</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respectively, related to secured trust deposits</w:t>
            </w:r>
          </w:p>
        </w:tc>
        <w:tc>
          <w:tcPr>
            <w:tcW w:w="120" w:type="dxa"/>
            <w:vAlign w:val="bottom"/>
          </w:tcPr>
          <w:p>
            <w:pPr>
              <w:spacing w:after="0"/>
              <w:rPr>
                <w:sz w:val="18"/>
                <w:szCs w:val="18"/>
                <w:color w:val="auto"/>
              </w:rPr>
            </w:pP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1,034</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investments</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4,475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4,853</w:t>
            </w:r>
          </w:p>
        </w:tc>
        <w:tc>
          <w:tcPr>
            <w:tcW w:w="0" w:type="dxa"/>
            <w:vAlign w:val="bottom"/>
          </w:tcPr>
          <w:p>
            <w:pPr>
              <w:spacing w:after="0"/>
              <w:rPr>
                <w:sz w:val="1"/>
                <w:szCs w:val="1"/>
                <w:color w:val="auto"/>
              </w:rPr>
            </w:pPr>
          </w:p>
        </w:tc>
      </w:tr>
      <w:tr>
        <w:trPr>
          <w:trHeight w:val="216"/>
        </w:trPr>
        <w:tc>
          <w:tcPr>
            <w:tcW w:w="90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September 30, 2016 and December 31, 2015 includes $412 and $108, respectively, of pledged cash related</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to secured trust deposits</w:t>
            </w:r>
          </w:p>
        </w:tc>
        <w:tc>
          <w:tcPr>
            <w:tcW w:w="120" w:type="dxa"/>
            <w:vAlign w:val="bottom"/>
          </w:tcPr>
          <w:p>
            <w:pPr>
              <w:spacing w:after="0"/>
              <w:rPr>
                <w:sz w:val="18"/>
                <w:szCs w:val="18"/>
                <w:color w:val="auto"/>
              </w:rPr>
            </w:pP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1,061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780</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Trade and notes receivables, net of allowance of $42 and $32, at September 30, 2016 and December 31, 2015, respectively</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496</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5,047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4,760</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615</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Capitalized software, net</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582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553</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969</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Title plants</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395</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510</w:t>
            </w:r>
          </w:p>
        </w:tc>
        <w:tc>
          <w:tcPr>
            <w:tcW w:w="0" w:type="dxa"/>
            <w:vAlign w:val="bottom"/>
          </w:tcPr>
          <w:p>
            <w:pPr>
              <w:spacing w:after="0"/>
              <w:rPr>
                <w:sz w:val="1"/>
                <w:szCs w:val="1"/>
                <w:color w:val="auto"/>
              </w:rPr>
            </w:pPr>
          </w:p>
        </w:tc>
      </w:tr>
      <w:tr>
        <w:trPr>
          <w:trHeight w:val="284"/>
        </w:trPr>
        <w:tc>
          <w:tcPr>
            <w:tcW w:w="540" w:type="dxa"/>
            <w:vAlign w:val="bottom"/>
            <w:tcBorders>
              <w:bottom w:val="single" w:sz="8" w:color="CCEEFF"/>
            </w:tcBorders>
          </w:tcPr>
          <w:p>
            <w:pPr>
              <w:spacing w:after="0"/>
              <w:rPr>
                <w:sz w:val="24"/>
                <w:szCs w:val="24"/>
                <w:color w:val="auto"/>
              </w:rPr>
            </w:pPr>
          </w:p>
        </w:tc>
        <w:tc>
          <w:tcPr>
            <w:tcW w:w="8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14,386</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13,931</w:t>
            </w:r>
          </w:p>
        </w:tc>
        <w:tc>
          <w:tcPr>
            <w:tcW w:w="0" w:type="dxa"/>
            <w:vAlign w:val="bottom"/>
          </w:tcPr>
          <w:p>
            <w:pPr>
              <w:spacing w:after="0"/>
              <w:rPr>
                <w:sz w:val="1"/>
                <w:szCs w:val="1"/>
                <w:color w:val="auto"/>
              </w:rPr>
            </w:pPr>
          </w:p>
        </w:tc>
      </w:tr>
      <w:tr>
        <w:trPr>
          <w:trHeight w:val="163"/>
        </w:trPr>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660" w:type="dxa"/>
            <w:vAlign w:val="bottom"/>
            <w:shd w:val="clear" w:color="auto" w:fill="CCEEFF"/>
          </w:tcPr>
          <w:p>
            <w:pPr>
              <w:jc w:val="center"/>
              <w:ind w:left="980"/>
              <w:spacing w:after="0" w:line="153" w:lineRule="exact"/>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1,283</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Notes payable</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2,754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2,793</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Reserve for title claim losses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1,583</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Secured trust deposits</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701</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Income taxes payable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Deferred tax liability</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594</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7,278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6,999</w:t>
            </w:r>
          </w:p>
        </w:tc>
        <w:tc>
          <w:tcPr>
            <w:tcW w:w="0" w:type="dxa"/>
            <w:vAlign w:val="bottom"/>
          </w:tcPr>
          <w:p>
            <w:pPr>
              <w:spacing w:after="0"/>
              <w:rPr>
                <w:sz w:val="1"/>
                <w:szCs w:val="1"/>
                <w:color w:val="auto"/>
              </w:rPr>
            </w:pPr>
          </w:p>
        </w:tc>
      </w:tr>
      <w:tr>
        <w:trPr>
          <w:trHeight w:val="231"/>
        </w:trPr>
        <w:tc>
          <w:tcPr>
            <w:tcW w:w="90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Redeemable non-controlling interest by 21% minority holder of ServiceLink Holdings, LLC</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344</w:t>
            </w:r>
          </w:p>
        </w:tc>
        <w:tc>
          <w:tcPr>
            <w:tcW w:w="0" w:type="dxa"/>
            <w:vAlign w:val="bottom"/>
          </w:tcPr>
          <w:p>
            <w:pPr>
              <w:spacing w:after="0"/>
              <w:rPr>
                <w:sz w:val="1"/>
                <w:szCs w:val="1"/>
                <w:color w:val="auto"/>
              </w:rPr>
            </w:pPr>
          </w:p>
        </w:tc>
      </w:tr>
      <w:tr>
        <w:trPr>
          <w:trHeight w:val="237"/>
        </w:trPr>
        <w:tc>
          <w:tcPr>
            <w:tcW w:w="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w:t>
            </w:r>
          </w:p>
        </w:tc>
        <w:tc>
          <w:tcPr>
            <w:tcW w:w="8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FNF Group common stock, $0.0001 par value; authorized 487,000,000 shares as of September 30, 2016 and December 31, 2015;</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0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outstanding of 271,896,091 and 275,781,160 as of September 30, 2016 and December 31, 2015, respectively, and issued of</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283,973,901 and 282,394,970 as of September 30, 2016 and December 31, 2015, respectively</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FNFV Group common stock, $0.0001 par value; authorized 113,000,000 shares as of September 30, 2016 and December 31, 2015;</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outstanding of 66,636,822 and 72,217,882 as of September 30, 2016 and December 31, 2015, respectively, and issued of 80,581,675</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and 80,581,466 as of September 30, 2016 and December 31, 2015, respectively</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Preferred stock, $0.0001 par value; authorized 50,000,000 shares; issued and outstanding, none</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4,839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4,795</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Retained earnings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1,374</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Accumulated other comprehensive earnings (loss)</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Less: treasury stock, 26,022,663 shares as of September 30, 2016 and 14,977,394 shares as of December 31, 2015, at cost</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Fidelity National Financial, Inc. shareholders’ equity</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5,875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5,754</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889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834</w:t>
            </w: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6,764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6,588</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redeemable non-controlling interest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14,386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13,931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60" w:type="dxa"/>
            <w:vAlign w:val="bottom"/>
            <w:vMerge w:val="restart"/>
          </w:tcPr>
          <w:p>
            <w:pPr>
              <w:jc w:val="center"/>
              <w:ind w:left="960"/>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77"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08" w:right="239" w:bottom="77"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FIDELITY NATIONAL FINANCIAL, INC. AND SUBSIDIARIES</w:t>
      </w:r>
    </w:p>
    <w:p>
      <w:pPr>
        <w:spacing w:after="0" w:line="43" w:lineRule="exact"/>
        <w:rPr>
          <w:sz w:val="20"/>
          <w:szCs w:val="20"/>
          <w:color w:val="auto"/>
        </w:rPr>
      </w:pPr>
    </w:p>
    <w:p>
      <w:pPr>
        <w:jc w:val="right"/>
        <w:ind w:right="3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w:t>
      </w:r>
    </w:p>
    <w:p>
      <w:pPr>
        <w:spacing w:after="0" w:line="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(Dollars in millions, except per share data)</w:t>
      </w:r>
    </w:p>
    <w:p>
      <w:pPr>
        <w:sectPr>
          <w:pgSz w:w="11900" w:h="16838" w:orient="portrait"/>
          <w:cols w:equalWidth="0" w:num="1">
            <w:col w:w="11400"/>
          </w:cols>
          <w:pgMar w:left="240" w:top="117" w:right="259" w:bottom="1062" w:gutter="0" w:footer="0" w:header="0"/>
        </w:sectPr>
      </w:pPr>
    </w:p>
    <w:p>
      <w:pPr>
        <w:spacing w:after="0" w:line="188" w:lineRule="exact"/>
        <w:rPr>
          <w:sz w:val="20"/>
          <w:szCs w:val="20"/>
          <w:color w:val="auto"/>
        </w:rPr>
      </w:pPr>
    </w:p>
    <w:p>
      <w:pPr>
        <w:jc w:val="center"/>
        <w:ind w:left="81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1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13335</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85" w:lineRule="exact"/>
        <w:rPr>
          <w:sz w:val="20"/>
          <w:szCs w:val="20"/>
          <w:color w:val="auto"/>
        </w:rPr>
      </w:pPr>
    </w:p>
    <w:p>
      <w:pPr>
        <w:ind w:left="8140"/>
        <w:spacing w:after="0"/>
        <w:tabs>
          <w:tab w:leader="none" w:pos="9060" w:val="left"/>
        </w:tabs>
        <w:rPr>
          <w:sz w:val="20"/>
          <w:szCs w:val="20"/>
          <w:color w:val="auto"/>
        </w:rPr>
      </w:pPr>
      <w:r>
        <w:rPr>
          <w:rFonts w:ascii="Times New Roman" w:cs="Times New Roman" w:eastAsia="Times New Roman" w:hAnsi="Times New Roman"/>
          <w:sz w:val="14"/>
          <w:szCs w:val="14"/>
          <w:b w:val="1"/>
          <w:bCs w:val="1"/>
          <w:color w:val="auto"/>
        </w:rPr>
        <w:t>2016</w:t>
      </w:r>
      <w:r>
        <w:rPr>
          <w:sz w:val="20"/>
          <w:szCs w:val="20"/>
          <w:color w:val="auto"/>
        </w:rPr>
        <w:tab/>
      </w:r>
      <w:r>
        <w:rPr>
          <w:rFonts w:ascii="Times New Roman" w:cs="Times New Roman" w:eastAsia="Times New Roman" w:hAnsi="Times New Roman"/>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24765</wp:posOffset>
            </wp:positionV>
            <wp:extent cx="1106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89"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72294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13335</wp:posOffset>
            </wp:positionV>
            <wp:extent cx="10636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4"/>
          <w:szCs w:val="14"/>
          <w:b w:val="1"/>
          <w:bCs w:val="1"/>
          <w:color w:val="auto"/>
        </w:rPr>
        <w:t>2016</w:t>
      </w:r>
      <w:r>
        <w:rPr>
          <w:sz w:val="20"/>
          <w:szCs w:val="20"/>
          <w:color w:val="auto"/>
        </w:rPr>
        <w:tab/>
      </w:r>
      <w:r>
        <w:rPr>
          <w:rFonts w:ascii="Times New Roman" w:cs="Times New Roman" w:eastAsia="Times New Roman" w:hAnsi="Times New Roman"/>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24765</wp:posOffset>
            </wp:positionV>
            <wp:extent cx="10636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66" w:lineRule="exact"/>
        <w:rPr>
          <w:sz w:val="20"/>
          <w:szCs w:val="20"/>
          <w:color w:val="auto"/>
        </w:rPr>
      </w:pPr>
    </w:p>
    <w:p>
      <w:pPr>
        <w:sectPr>
          <w:pgSz w:w="11900" w:h="16838" w:orient="portrait"/>
          <w:cols w:equalWidth="0" w:num="2">
            <w:col w:w="9400" w:space="580"/>
            <w:col w:w="1420"/>
          </w:cols>
          <w:pgMar w:left="240" w:top="117" w:right="259" w:bottom="1062" w:gutter="0" w:footer="0" w:header="0"/>
          <w:type w:val="continuous"/>
        </w:sectPr>
      </w:pPr>
    </w:p>
    <w:p>
      <w:pPr>
        <w:ind w:left="40"/>
        <w:spacing w:after="0"/>
        <w:rPr>
          <w:sz w:val="20"/>
          <w:szCs w:val="20"/>
          <w:color w:val="auto"/>
        </w:rPr>
      </w:pPr>
      <w:r>
        <w:rPr>
          <w:rFonts w:ascii="Times New Roman" w:cs="Times New Roman" w:eastAsia="Times New Roman" w:hAnsi="Times New Roman"/>
          <w:sz w:val="16"/>
          <w:szCs w:val="16"/>
          <w:color w:val="auto"/>
        </w:rPr>
        <w:t>Revenues:</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8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Direct title insurance premiums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556</w:t>
            </w:r>
          </w:p>
        </w:tc>
        <w:tc>
          <w:tcPr>
            <w:tcW w:w="12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524</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1,518</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1,488</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Agency title insurance premiums</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1,685</w:t>
            </w:r>
          </w:p>
        </w:tc>
        <w:tc>
          <w:tcPr>
            <w:tcW w:w="0" w:type="dxa"/>
            <w:vAlign w:val="bottom"/>
          </w:tcPr>
          <w:p>
            <w:pPr>
              <w:spacing w:after="0"/>
              <w:rPr>
                <w:sz w:val="1"/>
                <w:szCs w:val="1"/>
                <w:color w:val="auto"/>
              </w:rPr>
            </w:pPr>
          </w:p>
        </w:tc>
      </w:tr>
      <w:tr>
        <w:trPr>
          <w:trHeight w:val="237"/>
        </w:trPr>
        <w:tc>
          <w:tcPr>
            <w:tcW w:w="78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2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2,517</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Restaurant revenue</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1,084</w:t>
            </w:r>
          </w:p>
        </w:tc>
        <w:tc>
          <w:tcPr>
            <w:tcW w:w="0" w:type="dxa"/>
            <w:vAlign w:val="bottom"/>
          </w:tcPr>
          <w:p>
            <w:pPr>
              <w:spacing w:after="0"/>
              <w:rPr>
                <w:sz w:val="1"/>
                <w:szCs w:val="1"/>
                <w:color w:val="auto"/>
              </w:rPr>
            </w:pPr>
          </w:p>
        </w:tc>
      </w:tr>
      <w:tr>
        <w:trPr>
          <w:trHeight w:val="237"/>
        </w:trPr>
        <w:tc>
          <w:tcPr>
            <w:tcW w:w="78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2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Realized gains and losses, net</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7"/>
        </w:trPr>
        <w:tc>
          <w:tcPr>
            <w:tcW w:w="78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2,517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2,392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7,047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6,848</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Personnel costs</w:t>
            </w:r>
          </w:p>
        </w:tc>
        <w:tc>
          <w:tcPr>
            <w:tcW w:w="2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1,993</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Agent commissions</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1,279</w:t>
            </w:r>
          </w:p>
        </w:tc>
        <w:tc>
          <w:tcPr>
            <w:tcW w:w="0" w:type="dxa"/>
            <w:vAlign w:val="bottom"/>
          </w:tcPr>
          <w:p>
            <w:pPr>
              <w:spacing w:after="0"/>
              <w:rPr>
                <w:sz w:val="1"/>
                <w:szCs w:val="1"/>
                <w:color w:val="auto"/>
              </w:rPr>
            </w:pPr>
          </w:p>
        </w:tc>
      </w:tr>
      <w:tr>
        <w:trPr>
          <w:trHeight w:val="237"/>
        </w:trPr>
        <w:tc>
          <w:tcPr>
            <w:tcW w:w="78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operating expenses</w:t>
            </w:r>
          </w:p>
        </w:tc>
        <w:tc>
          <w:tcPr>
            <w:tcW w:w="2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1,439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1,424</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Cost of restaurant revenue</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921</w:t>
            </w:r>
          </w:p>
        </w:tc>
        <w:tc>
          <w:tcPr>
            <w:tcW w:w="0" w:type="dxa"/>
            <w:vAlign w:val="bottom"/>
          </w:tcPr>
          <w:p>
            <w:pPr>
              <w:spacing w:after="0"/>
              <w:rPr>
                <w:sz w:val="1"/>
                <w:szCs w:val="1"/>
                <w:color w:val="auto"/>
              </w:rPr>
            </w:pPr>
          </w:p>
        </w:tc>
      </w:tr>
      <w:tr>
        <w:trPr>
          <w:trHeight w:val="237"/>
        </w:trPr>
        <w:tc>
          <w:tcPr>
            <w:tcW w:w="78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306</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Provision for title claim losses</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37"/>
        </w:trPr>
        <w:tc>
          <w:tcPr>
            <w:tcW w:w="78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Total expenses</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6,205</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from continuing operations before income taxes and equity in losses of unconsolidated affiliates</w:t>
            </w: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643</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from continuing operations before equity in losses of unconsolidated affiliates</w:t>
            </w: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424</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losses of unconsolidated affiliates</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from continuing operations</w:t>
            </w: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408</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earnings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84"/>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earnings attributable to Fidelity National Financial, Inc. common shareholders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388</w:t>
            </w:r>
          </w:p>
        </w:tc>
        <w:tc>
          <w:tcPr>
            <w:tcW w:w="0" w:type="dxa"/>
            <w:vAlign w:val="bottom"/>
          </w:tcPr>
          <w:p>
            <w:pPr>
              <w:spacing w:after="0"/>
              <w:rPr>
                <w:sz w:val="1"/>
                <w:szCs w:val="1"/>
                <w:color w:val="auto"/>
              </w:rPr>
            </w:pPr>
          </w:p>
        </w:tc>
      </w:tr>
      <w:tr>
        <w:trPr>
          <w:trHeight w:val="109"/>
        </w:trPr>
        <w:tc>
          <w:tcPr>
            <w:tcW w:w="78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Amounts attributable to Fidelity National Financial, Inc. common shareholders</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attributable to FNF Group common shareholders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396</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earnings attributable to FNFV Group common shareholders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Basic</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per share attributable to FNF Group common shareholders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earnings per share attributable to FNFV Group common shareholders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Diluted</w:t>
            </w: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per share attributable to FNF Group common shareholders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earnings per share attributable to FNFV Group common shareholders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FNF Group common stock, basic basis</w:t>
            </w:r>
          </w:p>
        </w:tc>
        <w:tc>
          <w:tcPr>
            <w:tcW w:w="2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FNF Group common stock, diluted basis</w:t>
            </w:r>
          </w:p>
        </w:tc>
        <w:tc>
          <w:tcPr>
            <w:tcW w:w="2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paid per share FNF Group common stock</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0.59</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FNFV Group common stock, basic basis</w:t>
            </w:r>
          </w:p>
        </w:tc>
        <w:tc>
          <w:tcPr>
            <w:tcW w:w="2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FNFV Group common stock, diluted basis</w:t>
            </w:r>
          </w:p>
        </w:tc>
        <w:tc>
          <w:tcPr>
            <w:tcW w:w="2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3760"/>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17" w:right="259" w:bottom="1062" w:gutter="0" w:footer="0" w:header="0"/>
          <w:type w:val="continuous"/>
        </w:sectPr>
      </w:pP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117" w:right="259" w:bottom="1062" w:gutter="0" w:footer="0" w:header="0"/>
          <w:type w:val="continuous"/>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ind w:left="254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FIDELITY NATIONAL FINANCIAL, INC. AND SUBSIDIARIES CONDENSED CONSOLIDATED STATEMENTS OF COMPREHENSIVE EARNINGS </w:t>
      </w:r>
      <w:r>
        <w:rPr>
          <w:rFonts w:ascii="Times New Roman" w:cs="Times New Roman" w:eastAsia="Times New Roman" w:hAnsi="Times New Roman"/>
          <w:sz w:val="18"/>
          <w:szCs w:val="18"/>
          <w:color w:val="auto"/>
        </w:rPr>
        <w:t>(In millions)</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13335</wp:posOffset>
            </wp:positionV>
            <wp:extent cx="12350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85" w:lineRule="exact"/>
        <w:rPr>
          <w:sz w:val="20"/>
          <w:szCs w:val="20"/>
          <w:color w:val="auto"/>
        </w:rPr>
      </w:pPr>
    </w:p>
    <w:p>
      <w:pPr>
        <w:ind w:left="7980"/>
        <w:spacing w:after="0"/>
        <w:tabs>
          <w:tab w:leader="none" w:pos="9000" w:val="left"/>
        </w:tabs>
        <w:rPr>
          <w:sz w:val="20"/>
          <w:szCs w:val="20"/>
          <w:color w:val="auto"/>
        </w:rPr>
      </w:pPr>
      <w:r>
        <w:rPr>
          <w:rFonts w:ascii="Times New Roman" w:cs="Times New Roman" w:eastAsia="Times New Roman" w:hAnsi="Times New Roman"/>
          <w:sz w:val="14"/>
          <w:szCs w:val="14"/>
          <w:b w:val="1"/>
          <w:bCs w:val="1"/>
          <w:color w:val="auto"/>
        </w:rPr>
        <w:t>2016</w:t>
      </w:r>
      <w:r>
        <w:rPr>
          <w:sz w:val="20"/>
          <w:szCs w:val="20"/>
          <w:color w:val="auto"/>
        </w:rPr>
        <w:tab/>
      </w:r>
      <w:r>
        <w:rPr>
          <w:rFonts w:ascii="Times New Roman" w:cs="Times New Roman" w:eastAsia="Times New Roman" w:hAnsi="Times New Roman"/>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24765</wp:posOffset>
            </wp:positionV>
            <wp:extent cx="12350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89"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13335</wp:posOffset>
            </wp:positionV>
            <wp:extent cx="10807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4"/>
          <w:szCs w:val="14"/>
          <w:b w:val="1"/>
          <w:bCs w:val="1"/>
          <w:color w:val="auto"/>
        </w:rPr>
        <w:t>2016</w:t>
      </w:r>
      <w:r>
        <w:rPr>
          <w:sz w:val="20"/>
          <w:szCs w:val="20"/>
          <w:color w:val="auto"/>
        </w:rPr>
        <w:tab/>
      </w:r>
      <w:r>
        <w:rPr>
          <w:rFonts w:ascii="Times New Roman" w:cs="Times New Roman" w:eastAsia="Times New Roman" w:hAnsi="Times New Roman"/>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24765</wp:posOffset>
            </wp:positionV>
            <wp:extent cx="10807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9" w:lineRule="exact"/>
        <w:rPr>
          <w:sz w:val="20"/>
          <w:szCs w:val="20"/>
          <w:color w:val="auto"/>
        </w:rPr>
      </w:pPr>
    </w:p>
    <w:p>
      <w:pPr>
        <w:sectPr>
          <w:pgSz w:w="11900" w:h="16838" w:orient="portrait"/>
          <w:cols w:equalWidth="0" w:num="2">
            <w:col w:w="9300" w:space="680"/>
            <w:col w:w="1440"/>
          </w:cols>
          <w:pgMar w:left="240" w:top="117" w:right="239" w:bottom="1440" w:gutter="0" w:footer="0" w:header="0"/>
          <w:type w:val="continuous"/>
        </w:sectPr>
      </w:pPr>
    </w:p>
    <w:tbl>
      <w:tblPr>
        <w:tblLayout w:type="fixed"/>
        <w:tblInd w:w="0" w:type="dxa"/>
        <w:tblCellMar>
          <w:top w:w="0" w:type="dxa"/>
          <w:left w:w="0" w:type="dxa"/>
          <w:bottom w:w="0" w:type="dxa"/>
          <w:right w:w="0" w:type="dxa"/>
        </w:tblCellMar>
      </w:tblPr>
      <w:tr>
        <w:trPr>
          <w:trHeight w:val="260"/>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earnings (loss):</w:t>
            </w: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Unrealized gain (loss) on investments and other financial instruments, net (excluding investments in</w:t>
            </w: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unconsolidated affiliates) (1)</w:t>
            </w:r>
          </w:p>
        </w:tc>
        <w:tc>
          <w:tcPr>
            <w:tcW w:w="3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Unrealized (loss) gain on investments in unconsolidated affiliates (2)</w:t>
            </w:r>
          </w:p>
        </w:tc>
        <w:tc>
          <w:tcPr>
            <w:tcW w:w="3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Unrealized gain (loss) on foreign currency translation (3)</w:t>
            </w: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Reclassification adjustments for change in unrealized gains and losses included in net earnings (4)</w:t>
            </w:r>
          </w:p>
        </w:tc>
        <w:tc>
          <w:tcPr>
            <w:tcW w:w="3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Minimum pension liability adjustment (5)</w:t>
            </w:r>
          </w:p>
        </w:tc>
        <w:tc>
          <w:tcPr>
            <w:tcW w:w="3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earnings (loss)</w:t>
            </w:r>
          </w:p>
        </w:tc>
        <w:tc>
          <w:tcPr>
            <w:tcW w:w="3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earnings</w:t>
            </w: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Comprehensive earnings attributable to non-controlling interests</w:t>
            </w:r>
          </w:p>
        </w:tc>
        <w:tc>
          <w:tcPr>
            <w:tcW w:w="3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earnings attributable to Fidelity National Financial, Inc. common shareholders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earnings attributable to FNF Group common shareholders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(loss) earnings attributable to FNFV Group common shareholders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980" w:hanging="972"/>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(benefit) of $4 million and $(12) million for the three-month periods ended September 30, 2016 and 2015, respectively, and $33 million and $(18) million for the nine-month periods ended September 30, 2016 and 2015, respectively.</w:t>
      </w:r>
    </w:p>
    <w:p>
      <w:pPr>
        <w:spacing w:after="0" w:line="107" w:lineRule="exact"/>
        <w:rPr>
          <w:rFonts w:ascii="Times New Roman" w:cs="Times New Roman" w:eastAsia="Times New Roman" w:hAnsi="Times New Roman"/>
          <w:sz w:val="18"/>
          <w:szCs w:val="18"/>
          <w:color w:val="auto"/>
        </w:rPr>
      </w:pPr>
    </w:p>
    <w:p>
      <w:pPr>
        <w:ind w:left="980" w:hanging="972"/>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expense of $(1) million and $(12) million for the three-month periods ended September 30, 2016 and 2015, respectively, and $8 million and $(15) million for the nine-month periods ended September 30, 2016 and 2015, respectively.</w:t>
      </w:r>
    </w:p>
    <w:p>
      <w:pPr>
        <w:spacing w:after="0" w:line="107" w:lineRule="exact"/>
        <w:rPr>
          <w:rFonts w:ascii="Times New Roman" w:cs="Times New Roman" w:eastAsia="Times New Roman" w:hAnsi="Times New Roman"/>
          <w:sz w:val="18"/>
          <w:szCs w:val="18"/>
          <w:color w:val="auto"/>
        </w:rPr>
      </w:pPr>
    </w:p>
    <w:p>
      <w:pPr>
        <w:ind w:left="980" w:hanging="972"/>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(benefit) of less than $1 million and $(1) million for the three-month periods ended September 30, 2016 and 2015, respectively, and $3 million and $(6) million for the nine-month periods ended September 30, 2016 and 2015, respectively.</w:t>
      </w:r>
    </w:p>
    <w:p>
      <w:pPr>
        <w:spacing w:after="0" w:line="107" w:lineRule="exact"/>
        <w:rPr>
          <w:rFonts w:ascii="Times New Roman" w:cs="Times New Roman" w:eastAsia="Times New Roman" w:hAnsi="Times New Roman"/>
          <w:sz w:val="18"/>
          <w:szCs w:val="18"/>
          <w:color w:val="auto"/>
        </w:rPr>
      </w:pPr>
    </w:p>
    <w:p>
      <w:pPr>
        <w:ind w:left="980" w:hanging="97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of $1 million for the three-month period ended September 30, 2016.</w:t>
      </w:r>
    </w:p>
    <w:p>
      <w:pPr>
        <w:spacing w:after="0" w:line="171" w:lineRule="exact"/>
        <w:rPr>
          <w:rFonts w:ascii="Times New Roman" w:cs="Times New Roman" w:eastAsia="Times New Roman" w:hAnsi="Times New Roman"/>
          <w:sz w:val="18"/>
          <w:szCs w:val="18"/>
          <w:color w:val="auto"/>
        </w:rPr>
      </w:pPr>
    </w:p>
    <w:p>
      <w:pPr>
        <w:ind w:left="980" w:hanging="97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of $2 million for the three and nine-month periods ended September 30, 2015.</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7" w:right="239" w:bottom="1440" w:gutter="0" w:footer="0" w:header="0"/>
          <w:type w:val="continuous"/>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60" w:type="dxa"/>
            <w:vAlign w:val="bottom"/>
            <w:tcBorders>
              <w:bottom w:val="single" w:sz="8" w:color="auto"/>
            </w:tcBorders>
            <w:gridSpan w:val="14"/>
          </w:tcPr>
          <w:p>
            <w:pPr>
              <w:ind w:left="560"/>
              <w:spacing w:after="0"/>
              <w:rPr>
                <w:sz w:val="20"/>
                <w:szCs w:val="20"/>
                <w:color w:val="auto"/>
              </w:rPr>
            </w:pPr>
            <w:r>
              <w:rPr>
                <w:rFonts w:ascii="Times New Roman" w:cs="Times New Roman" w:eastAsia="Times New Roman" w:hAnsi="Times New Roman"/>
                <w:sz w:val="13"/>
                <w:szCs w:val="13"/>
                <w:b w:val="1"/>
                <w:bCs w:val="1"/>
                <w:color w:val="auto"/>
              </w:rPr>
              <w:t>Fidelity National Financial, Inc. Common Shareholders</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54"/>
        </w:trPr>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FNF</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3"/>
          </w:tcPr>
          <w:p>
            <w:pPr>
              <w:ind w:left="380"/>
              <w:spacing w:after="0"/>
              <w:rPr>
                <w:sz w:val="20"/>
                <w:szCs w:val="20"/>
                <w:color w:val="auto"/>
              </w:rPr>
            </w:pPr>
            <w:r>
              <w:rPr>
                <w:rFonts w:ascii="Times New Roman" w:cs="Times New Roman" w:eastAsia="Times New Roman" w:hAnsi="Times New Roman"/>
                <w:sz w:val="13"/>
                <w:szCs w:val="13"/>
                <w:b w:val="1"/>
                <w:bCs w:val="1"/>
                <w:color w:val="auto"/>
                <w:w w:val="92"/>
              </w:rPr>
              <w:t>FNFV</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0"/>
        </w:trPr>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4"/>
          </w:tcPr>
          <w:p>
            <w:pPr>
              <w:jc w:val="center"/>
              <w:ind w:left="257"/>
              <w:spacing w:after="0"/>
              <w:rPr>
                <w:sz w:val="20"/>
                <w:szCs w:val="20"/>
                <w:color w:val="auto"/>
              </w:rPr>
            </w:pPr>
            <w:r>
              <w:rPr>
                <w:rFonts w:ascii="Times New Roman" w:cs="Times New Roman" w:eastAsia="Times New Roman" w:hAnsi="Times New Roman"/>
                <w:sz w:val="13"/>
                <w:szCs w:val="13"/>
                <w:b w:val="1"/>
                <w:bCs w:val="1"/>
                <w:color w:val="auto"/>
                <w:w w:val="97"/>
              </w:rPr>
              <w:t>Group</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Group</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Redeemable</w:t>
            </w:r>
          </w:p>
        </w:tc>
      </w:tr>
      <w:tr>
        <w:trPr>
          <w:trHeight w:val="270"/>
        </w:trPr>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4"/>
          </w:tcPr>
          <w:p>
            <w:pPr>
              <w:jc w:val="center"/>
              <w:ind w:left="237"/>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5"/>
          </w:tcPr>
          <w:p>
            <w:pPr>
              <w:ind w:left="30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23"/>
                <w:szCs w:val="2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220" w:type="dxa"/>
            <w:vAlign w:val="bottom"/>
            <w:gridSpan w:val="4"/>
          </w:tcPr>
          <w:p>
            <w:pPr>
              <w:ind w:left="32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00" w:type="dxa"/>
            <w:vAlign w:val="bottom"/>
          </w:tcPr>
          <w:p>
            <w:pPr>
              <w:spacing w:after="0"/>
              <w:rPr>
                <w:sz w:val="23"/>
                <w:szCs w:val="2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Non-</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Non-</w:t>
            </w:r>
          </w:p>
        </w:tc>
      </w:tr>
      <w:tr>
        <w:trPr>
          <w:trHeight w:val="280"/>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4"/>
          </w:tcPr>
          <w:p>
            <w:pPr>
              <w:jc w:val="center"/>
              <w:ind w:left="23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3"/>
          </w:tcPr>
          <w:p>
            <w:pPr>
              <w:ind w:left="4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12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1220" w:type="dxa"/>
            <w:vAlign w:val="bottom"/>
            <w:gridSpan w:val="4"/>
          </w:tcPr>
          <w:p>
            <w:pPr>
              <w:ind w:left="4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controlling</w:t>
            </w:r>
          </w:p>
        </w:tc>
        <w:tc>
          <w:tcPr>
            <w:tcW w:w="12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24"/>
                <w:szCs w:val="24"/>
                <w:color w:val="auto"/>
              </w:rPr>
            </w:pPr>
          </w:p>
        </w:tc>
        <w:tc>
          <w:tcPr>
            <w:tcW w:w="78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controlling</w:t>
            </w:r>
          </w:p>
        </w:tc>
      </w:tr>
      <w:tr>
        <w:trPr>
          <w:trHeight w:val="264"/>
        </w:trPr>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22"/>
                <w:szCs w:val="22"/>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Interests</w:t>
            </w:r>
          </w:p>
        </w:tc>
      </w:tr>
      <w:tr>
        <w:trPr>
          <w:trHeight w:val="249"/>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Balance, December 31, 2015</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81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w w:val="96"/>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4,795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1,374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tcPr>
          <w:p>
            <w:pPr>
              <w:spacing w:after="0"/>
              <w:rPr>
                <w:sz w:val="21"/>
                <w:szCs w:val="21"/>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(346)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834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6,588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344</w:t>
            </w:r>
          </w:p>
        </w:tc>
      </w:tr>
      <w:tr>
        <w:trPr>
          <w:trHeight w:val="278"/>
        </w:trPr>
        <w:tc>
          <w:tcPr>
            <w:tcW w:w="2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62"/>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Treasury stock repurchased</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2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Other comprehensive earnings —</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35"/>
        </w:trPr>
        <w:tc>
          <w:tcPr>
            <w:tcW w:w="208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unrealized gain (loss) on investments</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80"/>
        </w:trPr>
        <w:tc>
          <w:tcPr>
            <w:tcW w:w="2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and other financial instruments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144"/>
        </w:trPr>
        <w:tc>
          <w:tcPr>
            <w:tcW w:w="20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Other comprehensive earnings —</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208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unrealized gain on investments in</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72"/>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unconsolidated affiliates</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2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Other comprehensive earnings —</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35"/>
        </w:trPr>
        <w:tc>
          <w:tcPr>
            <w:tcW w:w="208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unrealized gain on foreign currency</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80"/>
        </w:trPr>
        <w:tc>
          <w:tcPr>
            <w:tcW w:w="2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translation</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62"/>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Stock-based compensation</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2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Shares withheld for taxes and in</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80"/>
        </w:trPr>
        <w:tc>
          <w:tcPr>
            <w:tcW w:w="2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treasury</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62"/>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Dividends declared</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2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Acquisitions of non-controlling</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80"/>
        </w:trPr>
        <w:tc>
          <w:tcPr>
            <w:tcW w:w="2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interests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144"/>
        </w:trPr>
        <w:tc>
          <w:tcPr>
            <w:tcW w:w="20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Subsidiary dividends declared to</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72"/>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non-controlling interests</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72"/>
        </w:trPr>
        <w:tc>
          <w:tcPr>
            <w:tcW w:w="2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earnings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427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459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42"/>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Balance, September 30, 2016</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81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w w:val="96"/>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4,839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1,629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21"/>
                <w:szCs w:val="21"/>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(595)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889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6,764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344</w:t>
            </w:r>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7" w:right="239" w:bottom="1440" w:gutter="0" w:footer="0" w:header="0"/>
        </w:sectPr>
      </w:pPr>
    </w:p>
    <w:bookmarkStart w:id="6" w:name="page7"/>
    <w:bookmarkEnd w:id="6"/>
    <w:p>
      <w:pPr>
        <w:spacing w:after="0" w:line="62"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gridSpan w:val="4"/>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5"/>
        </w:trPr>
        <w:tc>
          <w:tcPr>
            <w:tcW w:w="9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9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196"/>
        </w:trPr>
        <w:tc>
          <w:tcPr>
            <w:tcW w:w="9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20" w:type="dxa"/>
            <w:vAlign w:val="bottom"/>
          </w:tcPr>
          <w:p>
            <w:pPr>
              <w:spacing w:after="0"/>
              <w:rPr>
                <w:sz w:val="17"/>
                <w:szCs w:val="17"/>
                <w:color w:val="auto"/>
              </w:rPr>
            </w:pPr>
          </w:p>
        </w:tc>
      </w:tr>
      <w:tr>
        <w:trPr>
          <w:trHeight w:val="275"/>
        </w:trPr>
        <w:tc>
          <w:tcPr>
            <w:tcW w:w="9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65"/>
        </w:trPr>
        <w:tc>
          <w:tcPr>
            <w:tcW w:w="9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earnings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408</w:t>
            </w:r>
          </w:p>
        </w:tc>
      </w:tr>
      <w:tr>
        <w:trPr>
          <w:trHeight w:val="275"/>
        </w:trPr>
        <w:tc>
          <w:tcPr>
            <w:tcW w:w="9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Adjustments to reconcile net earnings to net cash provided by operating activities:</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65"/>
        </w:trPr>
        <w:tc>
          <w:tcPr>
            <w:tcW w:w="93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306</w:t>
            </w:r>
          </w:p>
        </w:tc>
      </w:tr>
      <w:tr>
        <w:trPr>
          <w:trHeight w:val="275"/>
        </w:trPr>
        <w:tc>
          <w:tcPr>
            <w:tcW w:w="9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Equity in losses of unconsolidated affiliates</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w:t>
            </w:r>
          </w:p>
        </w:tc>
      </w:tr>
      <w:tr>
        <w:trPr>
          <w:trHeight w:val="265"/>
        </w:trPr>
        <w:tc>
          <w:tcPr>
            <w:tcW w:w="93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(Gain) loss on sales of investments and other assets, net</w:t>
            </w:r>
          </w:p>
        </w:tc>
        <w:tc>
          <w:tcPr>
            <w:tcW w:w="1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r>
      <w:tr>
        <w:trPr>
          <w:trHeight w:val="275"/>
        </w:trPr>
        <w:tc>
          <w:tcPr>
            <w:tcW w:w="9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Gain on sale of Cascade Timberlands</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65"/>
        </w:trPr>
        <w:tc>
          <w:tcPr>
            <w:tcW w:w="93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Impairment of assets</w:t>
            </w: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r>
      <w:tr>
        <w:trPr>
          <w:trHeight w:val="275"/>
        </w:trPr>
        <w:tc>
          <w:tcPr>
            <w:tcW w:w="9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Stock-based compensation cost</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w:t>
            </w:r>
          </w:p>
        </w:tc>
      </w:tr>
      <w:tr>
        <w:trPr>
          <w:trHeight w:val="265"/>
        </w:trPr>
        <w:tc>
          <w:tcPr>
            <w:tcW w:w="9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Changes in assets and liabilities, net of effects from acquisitions:</w:t>
            </w: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5"/>
        </w:trPr>
        <w:tc>
          <w:tcPr>
            <w:tcW w:w="9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Net change in pledged cash, pledged investments, and secured trust deposits</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65"/>
        </w:trPr>
        <w:tc>
          <w:tcPr>
            <w:tcW w:w="93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Net increase in trade receivables</w:t>
            </w:r>
          </w:p>
        </w:tc>
        <w:tc>
          <w:tcPr>
            <w:tcW w:w="1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275"/>
        </w:trPr>
        <w:tc>
          <w:tcPr>
            <w:tcW w:w="9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Net increase in prepaid expenses and other assets</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265"/>
        </w:trPr>
        <w:tc>
          <w:tcPr>
            <w:tcW w:w="93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Net decrease in accounts payable, accrued liabilities, deferred revenue and other</w:t>
            </w:r>
          </w:p>
        </w:tc>
        <w:tc>
          <w:tcPr>
            <w:tcW w:w="1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75"/>
        </w:trPr>
        <w:tc>
          <w:tcPr>
            <w:tcW w:w="9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Net increase (decrease) in reserve for title claim losses</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65"/>
        </w:trPr>
        <w:tc>
          <w:tcPr>
            <w:tcW w:w="93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4"/>
                <w:szCs w:val="14"/>
                <w:color w:val="auto"/>
              </w:rPr>
              <w:t>Net change in income taxes</w:t>
            </w: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67</w:t>
            </w:r>
          </w:p>
        </w:tc>
      </w:tr>
      <w:tr>
        <w:trPr>
          <w:trHeight w:val="255"/>
        </w:trPr>
        <w:tc>
          <w:tcPr>
            <w:tcW w:w="9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745</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673</w:t>
            </w:r>
          </w:p>
        </w:tc>
      </w:tr>
      <w:tr>
        <w:trPr>
          <w:trHeight w:val="245"/>
        </w:trPr>
        <w:tc>
          <w:tcPr>
            <w:tcW w:w="9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5"/>
        </w:trPr>
        <w:tc>
          <w:tcPr>
            <w:tcW w:w="9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sales of investment securities available for sale</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712</w:t>
            </w:r>
          </w:p>
        </w:tc>
      </w:tr>
      <w:tr>
        <w:trPr>
          <w:trHeight w:val="265"/>
        </w:trPr>
        <w:tc>
          <w:tcPr>
            <w:tcW w:w="9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calls and maturities of investment securities available for sale</w:t>
            </w: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245</w:t>
            </w:r>
          </w:p>
        </w:tc>
      </w:tr>
      <w:tr>
        <w:trPr>
          <w:trHeight w:val="275"/>
        </w:trPr>
        <w:tc>
          <w:tcPr>
            <w:tcW w:w="9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sales of other assets</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r>
      <w:tr>
        <w:trPr>
          <w:trHeight w:val="265"/>
        </w:trPr>
        <w:tc>
          <w:tcPr>
            <w:tcW w:w="9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the sale of cost method and other investments</w:t>
            </w: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9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Additions to property and equipment and capitalized software</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r>
      <w:tr>
        <w:trPr>
          <w:trHeight w:val="265"/>
        </w:trPr>
        <w:tc>
          <w:tcPr>
            <w:tcW w:w="9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Purchases of investment securities available for sale</w:t>
            </w:r>
          </w:p>
        </w:tc>
        <w:tc>
          <w:tcPr>
            <w:tcW w:w="1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w:t>
            </w:r>
          </w:p>
        </w:tc>
      </w:tr>
      <w:tr>
        <w:trPr>
          <w:trHeight w:val="275"/>
        </w:trPr>
        <w:tc>
          <w:tcPr>
            <w:tcW w:w="9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proceeds from (purchases of) short-term investment securities</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r>
      <w:tr>
        <w:trPr>
          <w:trHeight w:val="265"/>
        </w:trPr>
        <w:tc>
          <w:tcPr>
            <w:tcW w:w="9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Purchases of other long-term investments</w:t>
            </w:r>
          </w:p>
        </w:tc>
        <w:tc>
          <w:tcPr>
            <w:tcW w:w="1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75"/>
        </w:trPr>
        <w:tc>
          <w:tcPr>
            <w:tcW w:w="9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Contributions to investments in unconsolidated affiliates</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265"/>
        </w:trPr>
        <w:tc>
          <w:tcPr>
            <w:tcW w:w="9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Distributions from unconsolidated affiliates</w:t>
            </w: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175</w:t>
            </w:r>
          </w:p>
        </w:tc>
      </w:tr>
      <w:tr>
        <w:trPr>
          <w:trHeight w:val="275"/>
        </w:trPr>
        <w:tc>
          <w:tcPr>
            <w:tcW w:w="9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other investing activities</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65"/>
        </w:trPr>
        <w:tc>
          <w:tcPr>
            <w:tcW w:w="9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Acquisition of Commissions, Inc., net of cash acquired</w:t>
            </w:r>
          </w:p>
        </w:tc>
        <w:tc>
          <w:tcPr>
            <w:tcW w:w="1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9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Acquisition of eLynx Holdings, Inc., net of cash acquired</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9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Acquisition of BPG Holdings, LLC, net of cash acquired</w:t>
            </w:r>
          </w:p>
        </w:tc>
        <w:tc>
          <w:tcPr>
            <w:tcW w:w="1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75"/>
        </w:trPr>
        <w:tc>
          <w:tcPr>
            <w:tcW w:w="9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sale of Cascade Timberlands</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w:t>
            </w:r>
          </w:p>
        </w:tc>
      </w:tr>
      <w:tr>
        <w:trPr>
          <w:trHeight w:val="265"/>
        </w:trPr>
        <w:tc>
          <w:tcPr>
            <w:tcW w:w="93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 acquisitions/disposals of businesses, net of cash acquired</w:t>
            </w: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255"/>
        </w:trPr>
        <w:tc>
          <w:tcPr>
            <w:tcW w:w="9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r>
      <w:tr>
        <w:trPr>
          <w:trHeight w:val="245"/>
        </w:trPr>
        <w:tc>
          <w:tcPr>
            <w:tcW w:w="9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5"/>
        </w:trPr>
        <w:tc>
          <w:tcPr>
            <w:tcW w:w="9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Borrowings</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1,352</w:t>
            </w:r>
          </w:p>
        </w:tc>
      </w:tr>
      <w:tr>
        <w:trPr>
          <w:trHeight w:val="265"/>
        </w:trPr>
        <w:tc>
          <w:tcPr>
            <w:tcW w:w="9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Debt service payments</w:t>
            </w:r>
          </w:p>
        </w:tc>
        <w:tc>
          <w:tcPr>
            <w:tcW w:w="1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w:t>
            </w:r>
          </w:p>
        </w:tc>
      </w:tr>
      <w:tr>
        <w:trPr>
          <w:trHeight w:val="275"/>
        </w:trPr>
        <w:tc>
          <w:tcPr>
            <w:tcW w:w="9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Additional investment in non-controlling interest</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65"/>
        </w:trPr>
        <w:tc>
          <w:tcPr>
            <w:tcW w:w="9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Black Knight IPO</w:t>
            </w:r>
          </w:p>
        </w:tc>
        <w:tc>
          <w:tcPr>
            <w:tcW w:w="1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475</w:t>
            </w:r>
          </w:p>
        </w:tc>
      </w:tr>
      <w:tr>
        <w:trPr>
          <w:trHeight w:val="275"/>
        </w:trPr>
        <w:tc>
          <w:tcPr>
            <w:tcW w:w="9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Dividends paid</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r>
      <w:tr>
        <w:trPr>
          <w:trHeight w:val="265"/>
        </w:trPr>
        <w:tc>
          <w:tcPr>
            <w:tcW w:w="9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Subsidiary dividends paid to non-controlling interest shareholders</w:t>
            </w:r>
          </w:p>
        </w:tc>
        <w:tc>
          <w:tcPr>
            <w:tcW w:w="1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75"/>
        </w:trPr>
        <w:tc>
          <w:tcPr>
            <w:tcW w:w="9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w:t>
            </w:r>
          </w:p>
        </w:tc>
      </w:tr>
      <w:tr>
        <w:trPr>
          <w:trHeight w:val="265"/>
        </w:trPr>
        <w:tc>
          <w:tcPr>
            <w:tcW w:w="9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Equity and debt issuance costs</w:t>
            </w:r>
          </w:p>
        </w:tc>
        <w:tc>
          <w:tcPr>
            <w:tcW w:w="1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75"/>
        </w:trPr>
        <w:tc>
          <w:tcPr>
            <w:tcW w:w="9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Distributions by Black Knight to member</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65"/>
        </w:trPr>
        <w:tc>
          <w:tcPr>
            <w:tcW w:w="9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Payment of contingent consideration for prior period acquisitions</w:t>
            </w:r>
          </w:p>
        </w:tc>
        <w:tc>
          <w:tcPr>
            <w:tcW w:w="1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9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Payment for withholding taxes on stock-based compensation for shares withheld from participants and in treasury</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93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w:t>
            </w:r>
          </w:p>
        </w:tc>
      </w:tr>
      <w:tr>
        <w:trPr>
          <w:trHeight w:val="250"/>
        </w:trPr>
        <w:tc>
          <w:tcPr>
            <w:tcW w:w="9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50"/>
        </w:trPr>
        <w:tc>
          <w:tcPr>
            <w:tcW w:w="9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(decrease) increase in cash and cash equivalents, excluding pledged cash related to secured trust deposits</w:t>
            </w:r>
          </w:p>
        </w:tc>
        <w:tc>
          <w:tcPr>
            <w:tcW w:w="160" w:type="dxa"/>
            <w:vAlign w:val="bottom"/>
          </w:tcPr>
          <w:p>
            <w:pPr>
              <w:spacing w:after="0"/>
              <w:rPr>
                <w:sz w:val="21"/>
                <w:szCs w:val="21"/>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206</w:t>
            </w:r>
          </w:p>
        </w:tc>
      </w:tr>
      <w:tr>
        <w:trPr>
          <w:trHeight w:val="270"/>
        </w:trPr>
        <w:tc>
          <w:tcPr>
            <w:tcW w:w="9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excluding pledged cash related to secured trust deposits at beginning of period</w:t>
            </w: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564</w:t>
            </w:r>
          </w:p>
        </w:tc>
      </w:tr>
      <w:tr>
        <w:trPr>
          <w:trHeight w:val="282"/>
        </w:trPr>
        <w:tc>
          <w:tcPr>
            <w:tcW w:w="9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Cash and cash equivalents, excluding pledged cash related to secured trust deposits at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770</w:t>
            </w:r>
          </w:p>
        </w:tc>
      </w:tr>
      <w:tr>
        <w:trPr>
          <w:trHeight w:val="146"/>
        </w:trPr>
        <w:tc>
          <w:tcPr>
            <w:tcW w:w="9360" w:type="dxa"/>
            <w:vAlign w:val="bottom"/>
            <w:shd w:val="clear" w:color="auto" w:fill="CCEEFF"/>
          </w:tcPr>
          <w:p>
            <w:pPr>
              <w:ind w:left="40"/>
              <w:spacing w:after="0" w:line="146" w:lineRule="exact"/>
              <w:rPr>
                <w:sz w:val="20"/>
                <w:szCs w:val="20"/>
                <w:color w:val="auto"/>
              </w:rPr>
            </w:pPr>
            <w:r>
              <w:rPr>
                <w:rFonts w:ascii="Times New Roman" w:cs="Times New Roman" w:eastAsia="Times New Roman" w:hAnsi="Times New Roman"/>
                <w:sz w:val="14"/>
                <w:szCs w:val="14"/>
                <w:color w:val="auto"/>
              </w:rPr>
              <w:t>Supplemental cash flow information:</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26"/>
        </w:trPr>
        <w:tc>
          <w:tcPr>
            <w:tcW w:w="93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ectPr>
          <w:pgSz w:w="11900" w:h="16900" w:orient="portrait"/>
          <w:cols w:equalWidth="0" w:num="1">
            <w:col w:w="11420"/>
          </w:cols>
          <w:pgMar w:left="240" w:top="117" w:right="239" w:bottom="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93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Income taxes paid, net</w:t>
            </w:r>
          </w:p>
        </w:tc>
        <w:tc>
          <w:tcPr>
            <w:tcW w:w="4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148</w:t>
            </w:r>
          </w:p>
        </w:tc>
      </w:tr>
      <w:tr>
        <w:trPr>
          <w:trHeight w:val="210"/>
        </w:trPr>
        <w:tc>
          <w:tcPr>
            <w:tcW w:w="9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paid</w:t>
            </w: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92</w:t>
            </w:r>
          </w:p>
        </w:tc>
      </w:tr>
      <w:tr>
        <w:trPr>
          <w:trHeight w:val="20"/>
        </w:trPr>
        <w:tc>
          <w:tcPr>
            <w:tcW w:w="9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41"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 Basis of Financial Statements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unaudited financial information in this report includes the accounts of Fidelity National Financial, Inc. and its subsidiaries (collectively, “we,” “us,” “our,” or “FNF”) prepared in accordance with U.S. generally accepted accounting principles ("GAAP") and the instructions to Form 10-Q and Article 10 of Regulation S-X. All adjustments considered necessary for a fair presentation have been included. All adjustments made were of a normal, recurring nature. This report should be read in conjunction with our Annual Report on Form 10-K (our "Annual Report") for the year ended December 31, 2015.</w:t>
      </w:r>
    </w:p>
    <w:p>
      <w:pPr>
        <w:spacing w:after="0" w:line="72" w:lineRule="exact"/>
        <w:rPr>
          <w:sz w:val="20"/>
          <w:szCs w:val="20"/>
          <w:color w:val="auto"/>
        </w:rPr>
      </w:pPr>
    </w:p>
    <w:p>
      <w:pPr>
        <w:ind w:right="800" w:firstLine="324"/>
        <w:spacing w:after="0" w:line="407" w:lineRule="auto"/>
        <w:rPr>
          <w:sz w:val="20"/>
          <w:szCs w:val="20"/>
          <w:color w:val="auto"/>
        </w:rPr>
      </w:pPr>
      <w:r>
        <w:rPr>
          <w:rFonts w:ascii="Times New Roman" w:cs="Times New Roman" w:eastAsia="Times New Roman" w:hAnsi="Times New Roman"/>
          <w:sz w:val="18"/>
          <w:szCs w:val="18"/>
          <w:color w:val="auto"/>
        </w:rPr>
        <w:t xml:space="preserve">Certain reclassifications have been made in the 2015 Condensed Consolidated Financial Statements to conform to classifications used in 2016. </w:t>
      </w:r>
      <w:r>
        <w:rPr>
          <w:rFonts w:ascii="Times New Roman" w:cs="Times New Roman" w:eastAsia="Times New Roman" w:hAnsi="Times New Roman"/>
          <w:sz w:val="18"/>
          <w:szCs w:val="18"/>
          <w:b w:val="1"/>
          <w:bCs w:val="1"/>
          <w:i w:val="1"/>
          <w:iCs w:val="1"/>
          <w:color w:val="auto"/>
        </w:rPr>
        <w:t>Description of the Business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organized our business into two groups, FNF Group and FNF Ventures ("FNFV").</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Through FNF Group, we are a leading provider of (i) title insurance, escrow and other title-related services, including trust activities, trustee sales guarantees, recordings and reconveyances and home warranty insurance and (ii) technology and transaction services to the real estate and mortgage industries. FNF is the nation’s largest title insurance company operating through its title insurance underwriters - Fidelity National Title Insurance Company, Chicago Title Insurance Company, Commonwealth Land Title Insurance Company,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FNF also provides industry-leading mortgage technology solutions, including MSP®, the leading residential mortgage servicing technology platform in the U.S., through its majority-owned subsidiary, Black Knight Financial Services, Inc. ("Black Knight").</w:t>
      </w:r>
    </w:p>
    <w:p>
      <w:pPr>
        <w:spacing w:after="0" w:line="13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Through our FNFV group, we own majority and minority equity investment stakes in a number of entities, including American Blue Ribbon Holdings, LLC ("ABRH"), Ceridian HCM, Inc. ("Ceridian"), and Digital Insurance, Inc. ("Digital Insurance").</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2016, we had the following reporting segments: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FNF Group</w:t>
      </w:r>
    </w:p>
    <w:p>
      <w:pPr>
        <w:spacing w:after="0" w:line="169" w:lineRule="exact"/>
        <w:rPr>
          <w:sz w:val="20"/>
          <w:szCs w:val="20"/>
          <w:color w:val="auto"/>
        </w:rPr>
      </w:pPr>
    </w:p>
    <w:p>
      <w:pPr>
        <w:jc w:val="both"/>
        <w:ind w:left="660" w:hanging="409"/>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Title. </w:t>
      </w:r>
      <w:r>
        <w:rPr>
          <w:rFonts w:ascii="Times New Roman" w:cs="Times New Roman" w:eastAsia="Times New Roman" w:hAnsi="Times New Roman"/>
          <w:sz w:val="18"/>
          <w:szCs w:val="18"/>
          <w:color w:val="auto"/>
        </w:rPr>
        <w:t>This segment consists of the operations of our title insurance underwriters and related businesses. This segment provides core title insurance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escrow and other title-related services including trust activities, trustee sales guarantees, recordings and reconveyances, and home warranty insurance. This segment also includes our transaction services business, which includes other title-related services used in the production and management of mortgage loans, including mortgage loans that experience default.</w:t>
      </w:r>
    </w:p>
    <w:p>
      <w:pPr>
        <w:spacing w:after="0" w:line="126" w:lineRule="exact"/>
        <w:rPr>
          <w:rFonts w:ascii="Times New Roman" w:cs="Times New Roman" w:eastAsia="Times New Roman" w:hAnsi="Times New Roman"/>
          <w:sz w:val="18"/>
          <w:szCs w:val="18"/>
          <w:color w:val="auto"/>
        </w:rPr>
      </w:pPr>
    </w:p>
    <w:p>
      <w:pPr>
        <w:jc w:val="both"/>
        <w:ind w:left="660" w:hanging="409"/>
        <w:spacing w:after="0" w:line="26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Black Knight. </w:t>
      </w:r>
      <w:r>
        <w:rPr>
          <w:rFonts w:ascii="Times New Roman" w:cs="Times New Roman" w:eastAsia="Times New Roman" w:hAnsi="Times New Roman"/>
          <w:sz w:val="18"/>
          <w:szCs w:val="18"/>
          <w:color w:val="auto"/>
        </w:rPr>
        <w:t>This segment consists of the operations of Black Knight, which, through leading software systems and information solutions,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mission critical technology and data and analytics services that facilitate and automate many of the business processes across the life cycle of a mortgage.</w:t>
      </w:r>
    </w:p>
    <w:p>
      <w:pPr>
        <w:spacing w:after="0" w:line="119" w:lineRule="exact"/>
        <w:rPr>
          <w:rFonts w:ascii="Times New Roman" w:cs="Times New Roman" w:eastAsia="Times New Roman" w:hAnsi="Times New Roman"/>
          <w:sz w:val="18"/>
          <w:szCs w:val="18"/>
          <w:color w:val="auto"/>
        </w:rPr>
      </w:pPr>
    </w:p>
    <w:p>
      <w:pPr>
        <w:ind w:left="660" w:hanging="409"/>
        <w:spacing w:after="0" w:line="28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FNF Group Corporate and Other. </w:t>
      </w:r>
      <w:r>
        <w:rPr>
          <w:rFonts w:ascii="Times New Roman" w:cs="Times New Roman" w:eastAsia="Times New Roman" w:hAnsi="Times New Roman"/>
          <w:sz w:val="18"/>
          <w:szCs w:val="18"/>
          <w:color w:val="auto"/>
        </w:rPr>
        <w:t>This segment consists of the operations of the parent holding company, certain other unallocated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overhead expenses, and other real estate and insurance-related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FNFV</w:t>
      </w:r>
    </w:p>
    <w:p>
      <w:pPr>
        <w:spacing w:after="0" w:line="169" w:lineRule="exact"/>
        <w:rPr>
          <w:sz w:val="20"/>
          <w:szCs w:val="20"/>
          <w:color w:val="auto"/>
        </w:rPr>
      </w:pPr>
    </w:p>
    <w:p>
      <w:pPr>
        <w:jc w:val="both"/>
        <w:ind w:left="660" w:hanging="409"/>
        <w:spacing w:after="0" w:line="261" w:lineRule="auto"/>
        <w:tabs>
          <w:tab w:leader="none" w:pos="6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Restaurant Group. </w:t>
      </w:r>
      <w:r>
        <w:rPr>
          <w:rFonts w:ascii="Times New Roman" w:cs="Times New Roman" w:eastAsia="Times New Roman" w:hAnsi="Times New Roman"/>
          <w:sz w:val="18"/>
          <w:szCs w:val="18"/>
          <w:color w:val="auto"/>
        </w:rPr>
        <w:t>This segment consists of the operations of ABRH, in which we hold a 55% ownership interest. ABRH and its affiliates 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owners and operators of the O'Charley's, Ninety Nine Restaurants, Village Inn, Bakers Square, and Legendary Baking restaurant and food service concepts. This segment also included the results of operations of J. Alexander's, Inc. ("J. Alexander's") through the date it was distributed to FNFV shareholders, September 28, 2015, and the Max &amp; Erma's concept, which was sold pursuant to an Asset Purchase Agreement on January 25, 2016.</w:t>
      </w:r>
    </w:p>
    <w:p>
      <w:pPr>
        <w:spacing w:after="0" w:line="126" w:lineRule="exact"/>
        <w:rPr>
          <w:rFonts w:ascii="Times New Roman" w:cs="Times New Roman" w:eastAsia="Times New Roman" w:hAnsi="Times New Roman"/>
          <w:sz w:val="18"/>
          <w:szCs w:val="18"/>
          <w:i w:val="1"/>
          <w:iCs w:val="1"/>
          <w:color w:val="auto"/>
        </w:rPr>
      </w:pPr>
    </w:p>
    <w:p>
      <w:pPr>
        <w:ind w:left="660" w:right="20" w:hanging="409"/>
        <w:spacing w:after="0" w:line="284" w:lineRule="auto"/>
        <w:tabs>
          <w:tab w:leader="none" w:pos="6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FNFV Corporate and Other. </w:t>
      </w:r>
      <w:r>
        <w:rPr>
          <w:rFonts w:ascii="Times New Roman" w:cs="Times New Roman" w:eastAsia="Times New Roman" w:hAnsi="Times New Roman"/>
          <w:sz w:val="18"/>
          <w:szCs w:val="18"/>
          <w:color w:val="auto"/>
        </w:rPr>
        <w:t>This segment primarily consists of our share in the operations of certain equity investments, including Ceridian,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consolidated investments, including Digital Insurance, in which we own 96%, and other smaller operations which are not title-related.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7"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23, 2016, FNF Group completed its acquisition of Commissions, Inc. ("CINC"), a leading provider of web-based real estate marketing and customer relationship management software for elite Realtors® and agent teams across North America, for $229 million. CINC’s product offerings include software, marketing and services designed to enhance the productivity and sales results of elite Realtors® and agent teams through lead generation and proactive lead management. See Note B for further discussion.</w:t>
      </w:r>
    </w:p>
    <w:p>
      <w:pPr>
        <w:spacing w:after="0" w:line="4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second quarter of 2016 we invested $30 million in CF Corporation (“CF Corp”, NYSE: CFCOU), a blank check company co-founded by William P. Foley, the Chairman of our Board of Directors. Mr. Foley also serves as the Co-Executive Chairman of CF Corp. As of September 30, 2016, our investment in CF Corp has a fair value of $31 million and is included in Equity securities available for sale on the corresponding Condensed Consolidated Balance Sheet.</w:t>
      </w:r>
    </w:p>
    <w:p>
      <w:pPr>
        <w:spacing w:after="0" w:line="4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16, 2016, Black Knight completed its acquisition of eLynx Holdings, Inc. ("eLynx"), a leading lending document and data delivery platform, for $115 million. eLynx helps clients in the financial services and real estate industries electronically capture and manage documents and associated data throughout the document lifecycle. This acquisition positions Black Knight to electronically support the full mortgage origination process. See Note B for further discussion.</w:t>
      </w:r>
    </w:p>
    <w:p>
      <w:pPr>
        <w:spacing w:after="0" w:line="4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May 2, 2016, we purchased certain shares of common and preferred stock of Ceridian Holding, LLC, the ultimate parent of Ceridian, from third-party minority interest holders for $17 million. As a result of this purchase, our ownership of Ceridian increased from 32% to 33%.</w:t>
      </w:r>
    </w:p>
    <w:p>
      <w:pPr>
        <w:spacing w:after="0" w:line="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On April 29, 2016, pursuant to the terms of a certain “synthetic lease” agreement, dated as of June 29, 2004, as amended on June 27, 2011, and further described under </w:t>
      </w:r>
      <w:r>
        <w:rPr>
          <w:rFonts w:ascii="Times New Roman" w:cs="Times New Roman" w:eastAsia="Times New Roman" w:hAnsi="Times New Roman"/>
          <w:sz w:val="18"/>
          <w:szCs w:val="18"/>
          <w:i w:val="1"/>
          <w:iCs w:val="1"/>
          <w:color w:val="auto"/>
        </w:rPr>
        <w:t>Off-Balance Sheet Arrangements</w:t>
      </w:r>
      <w:r>
        <w:rPr>
          <w:rFonts w:ascii="Times New Roman" w:cs="Times New Roman" w:eastAsia="Times New Roman" w:hAnsi="Times New Roman"/>
          <w:sz w:val="18"/>
          <w:szCs w:val="18"/>
          <w:color w:val="auto"/>
        </w:rPr>
        <w:t xml:space="preserve"> in Item 2 of Part I of this Quarterly Report, we exercised our option to purchase the land and various real property improvements associated with our corporate campus and headquarters in Jacksonville, Florida from SunTrust Bank for $71 million.</w:t>
      </w:r>
    </w:p>
    <w:p>
      <w:pPr>
        <w:spacing w:after="0" w:line="4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30, 2016, Ceridian HCM Holding, Inc., a wholly-owned subsidiary of Ceridian, completed its offering (the "Offering") of senior convertible preferred shares for aggregate proceeds of $150 million. As part of the Offering, FNF purchased a number of shares equal to its pro-rata ownership in Ceridian for $47 million. FNF's ownership percentage in Ceridian did not change as a result of the transaction.</w:t>
      </w:r>
    </w:p>
    <w:p>
      <w:pPr>
        <w:spacing w:after="0" w:line="4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18, 2016 our Board of Directors approved a new FNFV Group three-year stock repurchase program, effective March 1, 2016, under which we may repurchase up to 15 million shares of FNFV Group common stock. Purchases may be made from time to time by us in the open market at prevailing market prices or in privately negotiated transactions through February 28, 2019.</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Basic earnings per share, as presented on the Condensed Consolidated Statement of Earnings, is computed by dividing net earnings available to common shareholders in a given period by the weighted average number of common shares outstanding during such period. 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stock options, shares of restricted stock, convertible debt instruments and certain other convertible share based payments which have been treated as common share equivalents for purposes of calculating diluted earnings per share for periods in which positive earnings have been reported.</w:t>
      </w:r>
    </w:p>
    <w:p>
      <w:pPr>
        <w:spacing w:after="0" w:line="8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net earnings of Black Knight in our calculation of diluted earnings per share is adjusted for dilution related to certain Black Knight restricted stock granted to employees in accordance with ASC 260-10-55-20. We calculate the ratio of the Class B shares we hold to the total weighted average diluted shares of Black Knight outstanding and multiply such ratio by Black Knight's net earnings. The result is used as a substitution for Black Knight's net earnings attributable to FNF included in our consolidated net earnings in the numerator for our diluted earnings per share calculation. As the result had no effect for the three or nine-months ended September 30, 2016, there were no adjustments made to net earnings attributable to FNF in our calculation of diluted earnings per share. There are no adjustments to earnings attributable to FNF in our calculation of basic earnings per share. There are no adjustments made to net earnings attributable to FNFV in our calculation of basic or diluted earnings per share.</w:t>
      </w:r>
    </w:p>
    <w:p>
      <w:pPr>
        <w:spacing w:after="0" w:line="8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Options or other instruments which provide the ability to purchase shares of our common stock that are antidilutive are excluded from the computation of diluted earnings per share. There were 2 million antidilutive options outstanding during both the three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7"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nine-months ended September 30, 2016. There were no antidilutive options outstanding during the three or nine-month periods ended September 30, 2015.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0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ASU No. 2014-09, </w:t>
      </w:r>
      <w:r>
        <w:rPr>
          <w:rFonts w:ascii="Times New Roman" w:cs="Times New Roman" w:eastAsia="Times New Roman" w:hAnsi="Times New Roman"/>
          <w:sz w:val="18"/>
          <w:szCs w:val="18"/>
          <w:i w:val="1"/>
          <w:iCs w:val="1"/>
          <w:color w:val="auto"/>
        </w:rPr>
        <w:t>Revenue from Contracts with Customers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606)</w:t>
      </w:r>
      <w:r>
        <w:rPr>
          <w:rFonts w:ascii="Times New Roman" w:cs="Times New Roman" w:eastAsia="Times New Roman" w:hAnsi="Times New Roman"/>
          <w:sz w:val="18"/>
          <w:szCs w:val="18"/>
          <w:color w:val="auto"/>
        </w:rPr>
        <w:t>. This ASU provides a new comprehensive revenue recognition model that requires companies to recognize revenue to depict the transfer of goods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services to a customer at an amount that reflects the consideration it expects to receive in exchange for those goods or services. This update also requires additional disclosure about the nature, amount, timing and uncertainty of revenue and cash flows arising from customer contracts. This update permits the use of either the retrospective or cumulative effect transition method. ASU No. 2016-08, </w:t>
      </w:r>
      <w:r>
        <w:rPr>
          <w:rFonts w:ascii="Times New Roman" w:cs="Times New Roman" w:eastAsia="Times New Roman" w:hAnsi="Times New Roman"/>
          <w:sz w:val="18"/>
          <w:szCs w:val="18"/>
          <w:i w:val="1"/>
          <w:iCs w:val="1"/>
          <w:color w:val="auto"/>
        </w:rPr>
        <w:t>Revenue from Contracts with Customers (Topic 606): Principal versus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Agent Considerations </w:t>
      </w:r>
      <w:r>
        <w:rPr>
          <w:rFonts w:ascii="Times New Roman" w:cs="Times New Roman" w:eastAsia="Times New Roman" w:hAnsi="Times New Roman"/>
          <w:sz w:val="18"/>
          <w:szCs w:val="18"/>
          <w:color w:val="auto"/>
        </w:rPr>
        <w:t>was issued by FASB in March 2016 to clarify the principal versus agent considerations within ASU 2014-09. ASU 2016-10</w:t>
      </w:r>
      <w:r>
        <w:rPr>
          <w:rFonts w:ascii="Times New Roman" w:cs="Times New Roman" w:eastAsia="Times New Roman" w:hAnsi="Times New Roman"/>
          <w:sz w:val="18"/>
          <w:szCs w:val="18"/>
          <w:i w:val="1"/>
          <w:iCs w:val="1"/>
          <w:color w:val="auto"/>
        </w:rPr>
        <w:t xml:space="preserve"> Revenue from Contracts with Customers (Topic 606): Identifying Performance Obligations and Licensing </w:t>
      </w:r>
      <w:r>
        <w:rPr>
          <w:rFonts w:ascii="Times New Roman" w:cs="Times New Roman" w:eastAsia="Times New Roman" w:hAnsi="Times New Roman"/>
          <w:sz w:val="18"/>
          <w:szCs w:val="18"/>
          <w:color w:val="auto"/>
        </w:rPr>
        <w:t>was issued by the FASB in April 2016 to clarify how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determine whether goods and services are separately identifiable and thus accounted for as separate performance obligations. ASU 2016-12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(Topic 606): Narrow-Scope Improvements and Practical Expedients </w:t>
      </w:r>
      <w:r>
        <w:rPr>
          <w:rFonts w:ascii="Times New Roman" w:cs="Times New Roman" w:eastAsia="Times New Roman" w:hAnsi="Times New Roman"/>
          <w:sz w:val="18"/>
          <w:szCs w:val="18"/>
          <w:color w:val="auto"/>
        </w:rPr>
        <w:t>was issued by the FASB in May 2016 to clarify certain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aforementioned updates and to add practical expedients for contracts at various stages of completion. We are evaluating the effect this new guidance will have on our consolidated financial statements and related disclosures. We have not yet selected a transition method nor have we determined the effect of the standard on our ongoing financial reporting. Upon issuance of ASU 2015-14, the effective date of ASU 2014-09 was deferred to annual and interim periods beginning on or after December 15, 2017.</w:t>
      </w:r>
    </w:p>
    <w:p>
      <w:pPr>
        <w:spacing w:after="0" w:line="8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In February 2015, the FASB issued ASU No. 2015-02 </w:t>
      </w:r>
      <w:r>
        <w:rPr>
          <w:rFonts w:ascii="Times New Roman" w:cs="Times New Roman" w:eastAsia="Times New Roman" w:hAnsi="Times New Roman"/>
          <w:sz w:val="18"/>
          <w:szCs w:val="18"/>
          <w:i w:val="1"/>
          <w:iCs w:val="1"/>
          <w:color w:val="auto"/>
        </w:rPr>
        <w:t>Consolidation (Topic 810): Amendments to the Consolidation Analysis</w:t>
      </w:r>
      <w:r>
        <w:rPr>
          <w:rFonts w:ascii="Times New Roman" w:cs="Times New Roman" w:eastAsia="Times New Roman" w:hAnsi="Times New Roman"/>
          <w:sz w:val="18"/>
          <w:szCs w:val="18"/>
          <w:color w:val="auto"/>
        </w:rPr>
        <w:t xml:space="preserve">. This ASU changes the way reporting enterprises evaluate whether (a) they should consolidate limited partnerships and similar entities, (b) fees paid to a decision maker or service provider are variable interests in a variable interest entity (VIE), and (c) variable interests in a VIE held by related parties of the reporting enterprise require the reporting enterprise to consolidate the VIE. The ASU eliminates the ASU 2010-10 deferral of the ASU 2009-17 VIE consolidation requirements for certain investment companies and similar entities. In addition, the ASU excludes money market funds that are required to comply with Rule 2a-7 of the Investment Company Act of 1940, as amended, or that operate under requirements similar to those in Rule 2a-7 from the GAAP consolidation requirements. The ASU also significantly changes how to evaluate voting rights for entities that are not similar to limited partnerships when determining whether the entity is a VIE, which may affect entities for which the decision making rights are conveyed though a contractual arrangement. The update allows for the application of the amendments using a modified retrospective approach by recording a cumulative-effect adjustment to equity as of the beginning of the fiscal year of adoption or retrospective application for prior periods. This update is effective for annual and interim periods beginning on or after December 15, 2015. We adopted the update as of March 31, 2016. The update did not have a material effect on our financial position or results of operations. In October 2016, the FASB issued ASU No. 2016-17 </w:t>
      </w:r>
      <w:r>
        <w:rPr>
          <w:rFonts w:ascii="Times New Roman" w:cs="Times New Roman" w:eastAsia="Times New Roman" w:hAnsi="Times New Roman"/>
          <w:sz w:val="18"/>
          <w:szCs w:val="18"/>
          <w:i w:val="1"/>
          <w:iCs w:val="1"/>
          <w:color w:val="auto"/>
        </w:rPr>
        <w:t>Consolidation (Topic 810): Interests Held through Related Parties That Are under Common Control,</w:t>
      </w:r>
      <w:r>
        <w:rPr>
          <w:rFonts w:ascii="Times New Roman" w:cs="Times New Roman" w:eastAsia="Times New Roman" w:hAnsi="Times New Roman"/>
          <w:sz w:val="18"/>
          <w:szCs w:val="18"/>
          <w:color w:val="auto"/>
        </w:rPr>
        <w:t xml:space="preserve"> which clarified certain aspects of assessing a VIE for consolidation as a decision maker when related party interests exist. This update is effective for annual periods beginning after December 15, 2016, including interim periods within those fiscal years. As we have already adopted ASU 2015-02, the ASU requires that adjustments resulting from adoption, if any, be applied retrospectively to all relevant prior periods presented beginning with the fiscal year in which the amendments in ASU 2015-02 initially were applied. The update will not have a material effect on our financial position or results of operations and no adjustments were made to prior periods.</w:t>
      </w:r>
    </w:p>
    <w:p>
      <w:pPr>
        <w:spacing w:after="0" w:line="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May 2015, the FASB issued ASU No. 2015-09 </w:t>
      </w:r>
      <w:r>
        <w:rPr>
          <w:rFonts w:ascii="Times New Roman" w:cs="Times New Roman" w:eastAsia="Times New Roman" w:hAnsi="Times New Roman"/>
          <w:sz w:val="18"/>
          <w:szCs w:val="18"/>
          <w:i w:val="1"/>
          <w:iCs w:val="1"/>
          <w:color w:val="auto"/>
        </w:rPr>
        <w:t>Financial Services - Insurance (Topic 944): Disclosures about Short-Duration Contracts</w:t>
      </w:r>
      <w:r>
        <w:rPr>
          <w:rFonts w:ascii="Times New Roman" w:cs="Times New Roman" w:eastAsia="Times New Roman" w:hAnsi="Times New Roman"/>
          <w:sz w:val="18"/>
          <w:szCs w:val="18"/>
          <w:color w:val="auto"/>
        </w:rPr>
        <w:t>. The amendments in this ASU require insurance entities to disclose for annual reporting periods additional information about the liability for unpaid claims and claim adjustment expenses related to short-duration contracts. The amendments also require insurance entities to disclose information about significant changes in methodologies and assumptions used to calculate the liability for unpaid claims and claim adjustment expenses. This update is effective for annual periods beginning after December 15, 2015, and interim periods within annual periods beginning after December 15, 2016, with early application permitted. This update will not have a significant effect on our ongoing financial reporting as our primary insurance products are not short-duration contracts. Except for certain disclosure requirements, the Company does not expect the adoption of this guidance to impact its condensed consolidated financial statements.</w:t>
      </w:r>
    </w:p>
    <w:p>
      <w:pPr>
        <w:spacing w:after="0" w:line="7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September 2015, the FASB issued ASU No. 2015-16 </w:t>
      </w:r>
      <w:r>
        <w:rPr>
          <w:rFonts w:ascii="Times New Roman" w:cs="Times New Roman" w:eastAsia="Times New Roman" w:hAnsi="Times New Roman"/>
          <w:sz w:val="18"/>
          <w:szCs w:val="18"/>
          <w:i w:val="1"/>
          <w:iCs w:val="1"/>
          <w:color w:val="auto"/>
        </w:rPr>
        <w:t>Business Combinations (Topic 805): Simplifying the Accounting for Measurement-Period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The amendments in this ASU require that an acquirer recognize adjustments to provisional amounts that are identified during the measurement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the reporting period in which the adjustment amounts are determined. The acquirer will be required to record, in the same period’s financial statements, the effect on earnings of changes in depreciation, amortization, or other income effects, if any, as a result of the change to the provisional amounts, calculated as if the accounting had been completed at the acquisition date. Entities will also be required to present separately on the face of the income statement</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7"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 disclose in the notes the portion of the amount recorded in current-period earnings by line item that would have been recorded in previous reporting periods if the adjustment to the provisional amounts had been recognized as of the acquisition date. The amendments in this ASU are effective for fiscal years beginning after December 15, 2015, including interim periods within those fiscal years. The ASU requires the prospective application of the amendments for adjustments to provisional amounts that occur after its effective date. We adopted the update as of March 31, 2016. The update did not have a material effect on our financial position or results of operations.</w:t>
      </w:r>
    </w:p>
    <w:p>
      <w:pPr>
        <w:spacing w:after="0" w:line="7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January 2016, the FASB issued ASU No. 2016-01 </w:t>
      </w:r>
      <w:r>
        <w:rPr>
          <w:rFonts w:ascii="Times New Roman" w:cs="Times New Roman" w:eastAsia="Times New Roman" w:hAnsi="Times New Roman"/>
          <w:sz w:val="18"/>
          <w:szCs w:val="18"/>
          <w:i w:val="1"/>
          <w:iCs w:val="1"/>
          <w:color w:val="auto"/>
        </w:rPr>
        <w:t>Financial Instruments - Overall (Subtopic 825-10): Recognition and Measurement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 and Financial Liabilities</w:t>
      </w:r>
      <w:r>
        <w:rPr>
          <w:rFonts w:ascii="Times New Roman" w:cs="Times New Roman" w:eastAsia="Times New Roman" w:hAnsi="Times New Roman"/>
          <w:sz w:val="18"/>
          <w:szCs w:val="18"/>
          <w:color w:val="auto"/>
        </w:rPr>
        <w:t>. The primary amendments required by the ASU include: requiring equity investments with readily determinable fair values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measured at fair value through net income rather than through other comprehensive income; allowing entities with equity investments without readily determinable fair values to report the investments at cost, adjusted for changes in observable prices, less impairment; requiring entities that elect the fair value option for financial liabilities to report the change in fair value attributable to instrument-specific credit risk in other comprehensive income; and clarifying that entities should assess the need for a valuation allowance on a deferred tax asset related to available-for-sale debt securities in combination with other deferred tax assets. The amendments in this ASU are effective for fiscal years beginning after December 15, 2017, including interim periods within those fiscal years. The ASU requires a cumulative-effect adjustment of the balance sheet as of the beginning of the year of adoption. Early adoption of the ASU is not permitted, except for the provision related to financial liabilities for which the fair value option has been elected. We are currently evaluating the effect this new guidance will have on our consolidated financial statements and related disclosures and have not yet concluded on its effects.</w:t>
      </w:r>
    </w:p>
    <w:p>
      <w:pPr>
        <w:spacing w:after="0" w:line="7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The amendments in this ASU introduce broad changes to the accounting and reporting for leases by lessees. The main provisions of the new standard include: clarifications to the definitions of a lease, components of leases, and criteria for determining lease classification; requiring virtually all leased assets, including operating leases and related liabilities, to be reflected on the lessee's balance sheet; and expanding and adding to the required disclosures for lessees. This update is effective for annual and interim periods beginning after December 15, 2018, including interim periods within those fiscal years. Early application of the standard is permitted. The ASU requires a modified retrospective approach to transitioning which allows for the use of practical expedients to effectively account for leases commenced prior to the effective date in accordance with previous GAAP, except that lessees are required to recognize a right-of-use asset and a lease liability for all operating leases at each reporting date based on the present value of the remaining minimum rental payments that were tracked and disclosed under previous GAAP. We are currently evaluating the effect this new guidance will have on our consolidated financial statements and related disclosures and have not yet concluded on its effects.</w:t>
      </w:r>
    </w:p>
    <w:p>
      <w:pPr>
        <w:spacing w:after="0" w:line="8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2016-04 </w:t>
      </w:r>
      <w:r>
        <w:rPr>
          <w:rFonts w:ascii="Times New Roman" w:cs="Times New Roman" w:eastAsia="Times New Roman" w:hAnsi="Times New Roman"/>
          <w:sz w:val="18"/>
          <w:szCs w:val="18"/>
          <w:i w:val="1"/>
          <w:iCs w:val="1"/>
          <w:color w:val="auto"/>
        </w:rPr>
        <w:t>Liabilities - Extinguishment of Liabilities (Subtopic 405-20): Recognition of Breakage for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Prepaid Stored-Value Products</w:t>
      </w:r>
      <w:r>
        <w:rPr>
          <w:rFonts w:ascii="Times New Roman" w:cs="Times New Roman" w:eastAsia="Times New Roman" w:hAnsi="Times New Roman"/>
          <w:sz w:val="18"/>
          <w:szCs w:val="18"/>
          <w:color w:val="auto"/>
        </w:rPr>
        <w:t>. The primary amendment in this ASU will provide guidance for derecognition of prepaid stored-value product liabilities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 certain criteria and was designed to alleviate diversity in practice under current GAAP. This update is effective for annual and interim periods beginning after December 15, 2017, including interim periods within those fiscal years. We do not expect this update to have a significant effect on our ongoing financial reporting as we do not have a significant liability for prepaid stored-value products. However, we are still evaluating the totality of the effects the update will have on our consolidated financial statements and related disclosures.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2016-07 </w:t>
      </w:r>
      <w:r>
        <w:rPr>
          <w:rFonts w:ascii="Times New Roman" w:cs="Times New Roman" w:eastAsia="Times New Roman" w:hAnsi="Times New Roman"/>
          <w:sz w:val="18"/>
          <w:szCs w:val="18"/>
          <w:i w:val="1"/>
          <w:iCs w:val="1"/>
          <w:color w:val="auto"/>
        </w:rPr>
        <w:t>Investments - Equity Method and Joint Ventures (Topic 323): Simplifying the Transition to the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Method of Accounting</w:t>
      </w:r>
      <w:r>
        <w:rPr>
          <w:rFonts w:ascii="Times New Roman" w:cs="Times New Roman" w:eastAsia="Times New Roman" w:hAnsi="Times New Roman"/>
          <w:sz w:val="18"/>
          <w:szCs w:val="18"/>
          <w:color w:val="auto"/>
        </w:rPr>
        <w:t>. The primary amendment in this ASU is to eliminate the requirement to retroactively adopt the equity method of accounting.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update is effective for annual and interim periods beginning after December 15, 2016, including interim periods within those fiscal years. We adopted the update as of March 31, 2016. The update did not have a material effect on our financial position or results of operations.</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Compensation - Stock Compensation (Topic 718): Improvements to 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This standard makes several modifications to ASC Topic 718 related to the accounting for forfeitures, employer tax withholding on share-based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the financial statement presentation of excess tax benefits or deficiencies. ASU No. 2016-09 also clarifies the statement of cash flows presentation for certain components of share-based awards. The standard is effective for interim and annual reporting periods beginning after December 15, 2016, with early adoption permitted. We adopted this ASU as of March 31, 2016. For the three and nine-month periods ended September 30, 2016 we have recorded $3 million and $13 million, respectively, in income tax benefit related to the tax effects associated with the exercise of stock options within Income tax expense on the Condensed Consolidated Statement of Earnings. There was no impact to opening equity for the nine-month period ended September 30, 2016. There was no impact to net earnings for the three or nine-month periods ended September 30, 2015. The Condensed Consolidated Statement of Cash Flows for the nine-month period ended September 30, 2015 has been restated to conform with the current period, which resulted in an increase to both cash flows provided by operations and cash flows used in financing activities of $13 million for the period. We did not change our accounting policy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7"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estimating expected forfeitures of stock compensation.</w:t>
      </w:r>
    </w:p>
    <w:p>
      <w:pPr>
        <w:spacing w:after="0" w:line="11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 Credit Losses: Measurement of Credit Losses on Financial Instruments</w:t>
      </w:r>
      <w:r>
        <w:rPr>
          <w:rFonts w:ascii="Times New Roman" w:cs="Times New Roman" w:eastAsia="Times New Roman" w:hAnsi="Times New Roman"/>
          <w:sz w:val="18"/>
          <w:szCs w:val="18"/>
          <w:color w:val="auto"/>
        </w:rPr>
        <w:t>. The amendments in this ASU introduce broad changes to accounting for credit impairment of financial instruments. The primary updates include the introduction of a new current expected credit loss ("CECL") model that is based on expected rather than incurred losses and amendments to the accounting for impairment of debt securities available for sale. This update is effective for annual periods beginning after December 15, 2019, including interim periods within those fiscal years. Early adoption is permitted for annual periods beginning after December 15, 2018, including interim periods within those fiscal years. We are currently evaluating the effect this new guidance will have on our consolidated financial statements and related disclosures and have not yet concluded on its effects.</w:t>
      </w:r>
    </w:p>
    <w:p>
      <w:pPr>
        <w:spacing w:after="0" w:line="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w:t>
      </w:r>
      <w:r>
        <w:rPr>
          <w:rFonts w:ascii="Times New Roman" w:cs="Times New Roman" w:eastAsia="Times New Roman" w:hAnsi="Times New Roman"/>
          <w:sz w:val="18"/>
          <w:szCs w:val="18"/>
          <w:i w:val="1"/>
          <w:iCs w:val="1"/>
          <w:color w:val="auto"/>
        </w:rPr>
        <w:t>Statement of Cash Flows (Topic 230): Classification of Certain Cash Receipts and Cash Payments</w:t>
      </w:r>
      <w:r>
        <w:rPr>
          <w:rFonts w:ascii="Times New Roman" w:cs="Times New Roman" w:eastAsia="Times New Roman" w:hAnsi="Times New Roman"/>
          <w:sz w:val="18"/>
          <w:szCs w:val="18"/>
          <w:color w:val="auto"/>
        </w:rPr>
        <w:t>. The amendments in this ASU introduce clarifications to the presentation of certain cash receipts and cash payments in the statement of cash flows. The primary updates include additions and clarifications of the classification of cash flows related to certain debt repayment activities, contingent consideration payments related to business combinations, proceeds from insurance policies, distributions from equity method investees, and cash flows related to securitized receivables. This update is effective for annual periods beginning after December 15, 2017, including interim periods within those fiscal years. Early adoption of this ASU is permitted, including in interim periods. The ASU requires retrospective application to all prior periods presented upon adoption. We are currently evaluating the effect this new guidance will have on our consolidated financial statements and related disclosures and have not yet concluded on its effects.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Acquisitions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FNF Group Corporate and Other</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23, 2016, FNF Group completed its acquisition of Commissions, Inc. ("CINC"), a leading provider of web-based real estate marketing and customer relationship management software for elite Realtors® and agent teams across North America, for $229 million. CINC’s product offerings include software, marketing and services designed to enhance the productivity and sales results of elite Realtors® and agent teams through lead generation and proactive lead management. CINC's financial position and results of operations from the acquisition date are included in our Core Corporate and Other segment. The acquisition does not meet the definition of "significant" pursuant to Article 3 of Regulation S-X (§210.3-05). Further, the results of operations are not material to our financial statements. Further details on the acquisition are discussed below.</w:t>
      </w:r>
    </w:p>
    <w:p>
      <w:pPr>
        <w:spacing w:after="0" w:line="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FNF Group paid total consideration, net of cash received, of $229 million in exchange for 95% of the equity interests of CINC. The total consideration paid was as follows (in millions):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0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w:t>
            </w:r>
          </w:p>
        </w:tc>
      </w:tr>
      <w:tr>
        <w:trPr>
          <w:trHeight w:val="243"/>
        </w:trPr>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Cash Acquired</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102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10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consideration paid</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r>
      <w:tr>
        <w:trPr>
          <w:trHeight w:val="20"/>
        </w:trPr>
        <w:tc>
          <w:tcPr>
            <w:tcW w:w="10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purchase price has been initially allocated to CINC's assets acquired and liabilities assumed based on our best estimates of their fair values as of the acquisition date. Goodwill has been recorded based on the amount that the purchase price exceeds the fair value of the net assets acquired. These estimates are preliminary and subject to adjustments as we complete our valuation process with respect to computer software, other intangible assets, accounts payable and accrued liabilities, taxes and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7"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3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total purchase price consideration and the preliminary fair value amounts recognized for the assets acquired and liabilities assumed as of the acquisition date (in millions):</w:t>
      </w:r>
    </w:p>
    <w:p>
      <w:pPr>
        <w:spacing w:after="0" w:line="212"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9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7"/>
        </w:trPr>
        <w:tc>
          <w:tcPr>
            <w:tcW w:w="9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9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w:t>
            </w:r>
          </w:p>
        </w:tc>
      </w:tr>
      <w:tr>
        <w:trPr>
          <w:trHeight w:val="237"/>
        </w:trPr>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 acquired</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251</w:t>
            </w:r>
          </w:p>
        </w:tc>
      </w:tr>
      <w:tr>
        <w:trPr>
          <w:trHeight w:val="27"/>
        </w:trPr>
        <w:tc>
          <w:tcPr>
            <w:tcW w:w="9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9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9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9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15"/>
        </w:trPr>
        <w:tc>
          <w:tcPr>
            <w:tcW w:w="988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spacing w:after="0"/>
              <w:rPr>
                <w:sz w:val="10"/>
                <w:szCs w:val="10"/>
                <w:color w:val="auto"/>
              </w:rPr>
            </w:pPr>
          </w:p>
        </w:tc>
      </w:tr>
      <w:tr>
        <w:trPr>
          <w:trHeight w:val="237"/>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9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98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liabilities and equity assumed</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r>
      <w:tr>
        <w:trPr>
          <w:trHeight w:val="264"/>
        </w:trPr>
        <w:tc>
          <w:tcPr>
            <w:tcW w:w="98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spacing w:after="0"/>
              <w:rPr>
                <w:sz w:val="22"/>
                <w:szCs w:val="22"/>
                <w:color w:val="auto"/>
              </w:rPr>
            </w:pPr>
          </w:p>
        </w:tc>
      </w:tr>
      <w:tr>
        <w:trPr>
          <w:trHeight w:val="257"/>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229</w:t>
            </w:r>
          </w:p>
        </w:tc>
      </w:tr>
      <w:tr>
        <w:trPr>
          <w:trHeight w:val="20"/>
        </w:trPr>
        <w:tc>
          <w:tcPr>
            <w:tcW w:w="9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gross carrying value and weighted average estimated useful lives of Computer software and Other intangible assets acquired in the CINC acquisition consist of the following (dollars 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Estimated Useful Life</w:t>
            </w:r>
          </w:p>
        </w:tc>
        <w:tc>
          <w:tcPr>
            <w:tcW w:w="0" w:type="dxa"/>
            <w:vAlign w:val="bottom"/>
          </w:tcPr>
          <w:p>
            <w:pPr>
              <w:spacing w:after="0"/>
              <w:rPr>
                <w:sz w:val="1"/>
                <w:szCs w:val="1"/>
                <w:color w:val="auto"/>
              </w:rPr>
            </w:pPr>
          </w:p>
        </w:tc>
      </w:tr>
      <w:tr>
        <w:trPr>
          <w:trHeight w:val="195"/>
        </w:trPr>
        <w:tc>
          <w:tcPr>
            <w:tcW w:w="69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49"/>
        </w:trPr>
        <w:tc>
          <w:tcPr>
            <w:tcW w:w="6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Computer software</w:t>
            </w:r>
          </w:p>
        </w:tc>
        <w:tc>
          <w:tcPr>
            <w:tcW w:w="1700" w:type="dxa"/>
            <w:vAlign w:val="bottom"/>
            <w:tcBorders>
              <w:bottom w:val="single" w:sz="8" w:color="CCEEFF"/>
            </w:tcBorders>
            <w:shd w:val="clear" w:color="auto" w:fill="CCEEFF"/>
          </w:tcPr>
          <w:p>
            <w:pPr>
              <w:jc w:val="right"/>
              <w:ind w:right="149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25</w:t>
            </w:r>
          </w:p>
        </w:tc>
        <w:tc>
          <w:tcPr>
            <w:tcW w:w="20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6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intangible assets:</w:t>
            </w:r>
          </w:p>
        </w:tc>
        <w:tc>
          <w:tcPr>
            <w:tcW w:w="1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Customer relationships</w:t>
            </w:r>
          </w:p>
        </w:tc>
        <w:tc>
          <w:tcPr>
            <w:tcW w:w="1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35</w:t>
            </w:r>
          </w:p>
        </w:tc>
        <w:tc>
          <w:tcPr>
            <w:tcW w:w="20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43"/>
        </w:trPr>
        <w:tc>
          <w:tcPr>
            <w:tcW w:w="6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Trade name</w:t>
            </w:r>
          </w:p>
        </w:tc>
        <w:tc>
          <w:tcPr>
            <w:tcW w:w="170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2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Non-compete agreements</w:t>
            </w:r>
          </w:p>
        </w:tc>
        <w:tc>
          <w:tcPr>
            <w:tcW w:w="17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0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6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7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45</w:t>
            </w: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auto"/>
            </w:tcBorders>
            <w:shd w:val="clear" w:color="auto" w:fill="CCEEFF"/>
          </w:tcPr>
          <w:p>
            <w:pPr>
              <w:jc w:val="right"/>
              <w:ind w:right="149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70</w:t>
            </w:r>
          </w:p>
        </w:tc>
        <w:tc>
          <w:tcPr>
            <w:tcW w:w="1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comparative purposes, selected unaudited pro-forma consolidated results of operations of FNF for the three and nine months ended September 30, 2016 and 2015 are presented below. Pro-forma results presented assume the consolidation of CINC occurred as of the beginning of the 2015 period. Amounts reflect our 95% ownership interest in CINC and are adjusted to exclude costs directly attributable to the acquisition of CINC, including transaction costs.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9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r>
      <w:tr>
        <w:trPr>
          <w:trHeight w:val="195"/>
        </w:trPr>
        <w:tc>
          <w:tcPr>
            <w:tcW w:w="7560" w:type="dxa"/>
            <w:vAlign w:val="bottom"/>
          </w:tcPr>
          <w:p>
            <w:pPr>
              <w:spacing w:after="0"/>
              <w:rPr>
                <w:sz w:val="16"/>
                <w:szCs w:val="16"/>
                <w:color w:val="auto"/>
              </w:rPr>
            </w:pPr>
          </w:p>
        </w:tc>
        <w:tc>
          <w:tcPr>
            <w:tcW w:w="194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30,</w:t>
            </w:r>
          </w:p>
        </w:tc>
        <w:tc>
          <w:tcPr>
            <w:tcW w:w="700" w:type="dxa"/>
            <w:vAlign w:val="bottom"/>
            <w:tcBorders>
              <w:bottom w:val="single" w:sz="8" w:color="auto"/>
            </w:tcBorders>
          </w:tcPr>
          <w:p>
            <w:pPr>
              <w:spacing w:after="0"/>
              <w:rPr>
                <w:sz w:val="16"/>
                <w:szCs w:val="16"/>
                <w:color w:val="auto"/>
              </w:rPr>
            </w:pPr>
          </w:p>
        </w:tc>
      </w:tr>
      <w:tr>
        <w:trPr>
          <w:trHeight w:val="264"/>
        </w:trPr>
        <w:tc>
          <w:tcPr>
            <w:tcW w:w="75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2016</w:t>
            </w:r>
          </w:p>
        </w:tc>
        <w:tc>
          <w:tcPr>
            <w:tcW w:w="3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7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  2,524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6,870</w:t>
            </w:r>
          </w:p>
        </w:tc>
      </w:tr>
      <w:tr>
        <w:trPr>
          <w:trHeight w:val="243"/>
        </w:trPr>
        <w:tc>
          <w:tcPr>
            <w:tcW w:w="7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 attributable to Fidelity National Financial, Inc. common shareholders</w:t>
            </w:r>
          </w:p>
        </w:tc>
        <w:tc>
          <w:tcPr>
            <w:tcW w:w="8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380" w:type="dxa"/>
            <w:vAlign w:val="bottom"/>
          </w:tcPr>
          <w:p>
            <w:pPr>
              <w:spacing w:after="0"/>
              <w:rPr>
                <w:sz w:val="21"/>
                <w:szCs w:val="21"/>
                <w:color w:val="auto"/>
              </w:rPr>
            </w:pPr>
          </w:p>
        </w:tc>
        <w:tc>
          <w:tcPr>
            <w:tcW w:w="7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390</w:t>
            </w:r>
          </w:p>
        </w:tc>
      </w:tr>
    </w:tbl>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Black Knight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16, 2016, Black Knight completed its acquisition of eLynx, a leading lending document and data delivery platform. eLynx helps clients in the financial services and real estate industries electronically capture and manage documents and associated data throughout the document lifecycle. Black Knight purchased eLynx to augment its origination technologies. This acquisition positions Black Knight to electronically support the full mortgage origination process. The acquisition does not meet the definition of "significant" pursuant to Article 3 of Regulation S-X (§210.3-05). Further, the results of operations are not material to our financial statements. Further details on the acquisition are discussed below.</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7" w:right="2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Black Knight paid total consideration, net of cash received, of $115 million for 100% of the equity interests of eLynx. The total consideration paid was as follows (in millions):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0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r>
      <w:tr>
        <w:trPr>
          <w:trHeight w:val="243"/>
        </w:trPr>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under revolving line of credit</w:t>
            </w:r>
          </w:p>
        </w:tc>
        <w:tc>
          <w:tcPr>
            <w:tcW w:w="4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102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10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paid</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r>
      <w:tr>
        <w:trPr>
          <w:trHeight w:val="243"/>
        </w:trPr>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Cash Acquired</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102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10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consideration paid</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r>
      <w:tr>
        <w:trPr>
          <w:trHeight w:val="20"/>
        </w:trPr>
        <w:tc>
          <w:tcPr>
            <w:tcW w:w="10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fair value of eLynx’s acquired Computer software and Other intangible assets was determined using a preliminary third-party valuation based on significant estimates and assumptions, including Level 3 inputs, which are judgmental in nature. These estimates and assumptions include the projected timing and amount of future cash flows, discount rates reflecting the risk inherent in the future cash flows and future market prices. These estimates are preliminary and subject to adjustments as we complete our valuation process with respect to computer software, other intangible assets, and goodwill. The fair value of the remaining assets acquired and liabilities assumed approximate their carrying values, and therefore, no fair value adjustments are reflected in these amounts.</w:t>
      </w:r>
    </w:p>
    <w:p>
      <w:pPr>
        <w:spacing w:after="0" w:line="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total purchase price consideration and the preliminary fair value amounts recognized for the assets acquired and liabilities assumed as of the acquisition date (in millions):</w:t>
      </w:r>
    </w:p>
    <w:p>
      <w:pPr>
        <w:spacing w:after="0" w:line="277"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98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9"/>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and notes receivable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w:t>
            </w:r>
          </w:p>
        </w:tc>
      </w:tr>
      <w:tr>
        <w:trPr>
          <w:trHeight w:val="237"/>
        </w:trPr>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 acquired</w:t>
            </w: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119</w:t>
            </w:r>
          </w:p>
        </w:tc>
      </w:tr>
      <w:tr>
        <w:trPr>
          <w:trHeight w:val="27"/>
        </w:trPr>
        <w:tc>
          <w:tcPr>
            <w:tcW w:w="9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98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4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1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9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98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r>
      <w:tr>
        <w:trPr>
          <w:trHeight w:val="264"/>
        </w:trPr>
        <w:tc>
          <w:tcPr>
            <w:tcW w:w="98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r>
      <w:tr>
        <w:trPr>
          <w:trHeight w:val="264"/>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115</w:t>
            </w:r>
          </w:p>
        </w:tc>
      </w:tr>
      <w:tr>
        <w:trPr>
          <w:trHeight w:val="20"/>
        </w:trPr>
        <w:tc>
          <w:tcPr>
            <w:tcW w:w="9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gross carrying value and weighted average estimated useful lives of Computer software, Property and equipment and Other intangible assets acquired in the eLynx acquisition consist of the following (dollars 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Estimated Useful Life</w:t>
            </w:r>
          </w:p>
        </w:tc>
        <w:tc>
          <w:tcPr>
            <w:tcW w:w="0" w:type="dxa"/>
            <w:vAlign w:val="bottom"/>
          </w:tcPr>
          <w:p>
            <w:pPr>
              <w:spacing w:after="0"/>
              <w:rPr>
                <w:sz w:val="1"/>
                <w:szCs w:val="1"/>
                <w:color w:val="auto"/>
              </w:rPr>
            </w:pPr>
          </w:p>
        </w:tc>
      </w:tr>
      <w:tr>
        <w:trPr>
          <w:trHeight w:val="195"/>
        </w:trPr>
        <w:tc>
          <w:tcPr>
            <w:tcW w:w="4080" w:type="dxa"/>
            <w:vAlign w:val="bottom"/>
            <w:tcBorders>
              <w:bottom w:val="single" w:sz="8" w:color="CCEEFF"/>
            </w:tcBorders>
          </w:tcPr>
          <w:p>
            <w:pPr>
              <w:spacing w:after="0"/>
              <w:rPr>
                <w:sz w:val="16"/>
                <w:szCs w:val="16"/>
                <w:color w:val="auto"/>
              </w:rPr>
            </w:pPr>
          </w:p>
        </w:tc>
        <w:tc>
          <w:tcPr>
            <w:tcW w:w="286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49"/>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Computer software</w:t>
            </w:r>
          </w:p>
        </w:tc>
        <w:tc>
          <w:tcPr>
            <w:tcW w:w="4560" w:type="dxa"/>
            <w:vAlign w:val="bottom"/>
            <w:tcBorders>
              <w:bottom w:val="single" w:sz="8" w:color="CCEEFF"/>
            </w:tcBorders>
            <w:gridSpan w:val="2"/>
            <w:shd w:val="clear" w:color="auto" w:fill="CCEEFF"/>
          </w:tcPr>
          <w:p>
            <w:pPr>
              <w:jc w:val="right"/>
              <w:ind w:right="150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14</w:t>
            </w:r>
          </w:p>
        </w:tc>
        <w:tc>
          <w:tcPr>
            <w:tcW w:w="20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w:t>
            </w:r>
          </w:p>
        </w:tc>
        <w:tc>
          <w:tcPr>
            <w:tcW w:w="28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intangible assets:</w:t>
            </w:r>
          </w:p>
        </w:tc>
        <w:tc>
          <w:tcPr>
            <w:tcW w:w="28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Customer relationships</w:t>
            </w:r>
          </w:p>
        </w:tc>
        <w:tc>
          <w:tcPr>
            <w:tcW w:w="28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35</w:t>
            </w:r>
          </w:p>
        </w:tc>
        <w:tc>
          <w:tcPr>
            <w:tcW w:w="2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Trade name</w:t>
            </w:r>
          </w:p>
        </w:tc>
        <w:tc>
          <w:tcPr>
            <w:tcW w:w="28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20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37"/>
        </w:trPr>
        <w:tc>
          <w:tcPr>
            <w:tcW w:w="4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286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39</w:t>
            </w: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4560" w:type="dxa"/>
            <w:vAlign w:val="bottom"/>
            <w:gridSpan w:val="2"/>
            <w:shd w:val="clear" w:color="auto" w:fill="CCEEFF"/>
          </w:tcPr>
          <w:p>
            <w:pPr>
              <w:jc w:val="right"/>
              <w:ind w:right="150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54</w:t>
            </w:r>
          </w:p>
        </w:tc>
        <w:tc>
          <w:tcPr>
            <w:tcW w:w="10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bottom w:val="single" w:sz="8" w:color="CCEEFF"/>
            </w:tcBorders>
            <w:vMerge w:val="restart"/>
          </w:tcPr>
          <w:p>
            <w:pPr>
              <w:jc w:val="right"/>
              <w:ind w:right="1050"/>
              <w:spacing w:after="0"/>
              <w:rPr>
                <w:sz w:val="20"/>
                <w:szCs w:val="20"/>
                <w:color w:val="auto"/>
              </w:rPr>
            </w:pPr>
            <w:r>
              <w:rPr>
                <w:rFonts w:ascii="Times New Roman" w:cs="Times New Roman" w:eastAsia="Times New Roman" w:hAnsi="Times New Roman"/>
                <w:sz w:val="18"/>
                <w:szCs w:val="18"/>
                <w:color w:val="auto"/>
              </w:rPr>
              <w:t>12</w:t>
            </w: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08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 — Fair Value Measurements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 hierarchy for those assets and liabilities measured at fair value on a recurring basis as of September 30, 2016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2015, respectively: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6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3"/>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8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110</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617</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1,571</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Mortgage-backed/asset-backed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government bonds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115</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stock available for sale</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321</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securities available for sale</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432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432</w:t>
            </w:r>
          </w:p>
        </w:tc>
      </w:tr>
      <w:tr>
        <w:trPr>
          <w:trHeight w:val="27"/>
        </w:trPr>
        <w:tc>
          <w:tcPr>
            <w:tcW w:w="6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467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2,762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3,229</w:t>
            </w:r>
          </w:p>
        </w:tc>
      </w:tr>
      <w:tr>
        <w:trPr>
          <w:trHeight w:val="20"/>
        </w:trPr>
        <w:tc>
          <w:tcPr>
            <w:tcW w:w="6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20"/>
        </w:trPr>
        <w:tc>
          <w:tcPr>
            <w:tcW w:w="60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60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6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3"/>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8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117</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768</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1,495</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Mortgage-backed/asset-backed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government bonds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stock available for sale</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289</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securities available for sale</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334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345</w:t>
            </w:r>
          </w:p>
        </w:tc>
      </w:tr>
      <w:tr>
        <w:trPr>
          <w:trHeight w:val="27"/>
        </w:trPr>
        <w:tc>
          <w:tcPr>
            <w:tcW w:w="6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376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2,816</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3,192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Level 2 fair value measures for fixed-maturities available for sale are provided by third-party pricing services. We utilize one firm for our taxable bond and preferred stock portfolio and another for our tax-exempt bond portfolio. These pricing services are leading global providers of financial market data, analytics and related services to financial institutions. We rely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by obtaining an understanding of the valuation models and assumptions used by the third-party as well as independently comparing the resulting prices to other publicly available measures of fair value and internally developed models. The pricing methodologies used by the relevant third-party pricing services are as follows:</w:t>
      </w:r>
    </w:p>
    <w:p>
      <w:pPr>
        <w:spacing w:after="0" w:line="77" w:lineRule="exact"/>
        <w:rPr>
          <w:sz w:val="20"/>
          <w:szCs w:val="20"/>
          <w:color w:val="auto"/>
        </w:rPr>
      </w:pPr>
    </w:p>
    <w:p>
      <w:pPr>
        <w:ind w:left="660" w:right="2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and agencies: These securities are valued based on data obtained for similar securities in active markets and from inter-dealer brokers.</w:t>
      </w: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political subdivisions: These securities are valued based on data obtained for similar securities in active markets and from inter-dealer brokers. Factors considered include relevant trade information, dealer quotes and other relevant market data.</w:t>
      </w:r>
    </w:p>
    <w:p>
      <w:pPr>
        <w:jc w:val="both"/>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debt securities: These securities are valued based on dealer quotes and related market trading activity. Factors considered include the bond's yield, its terms and conditions, and any other feature which may influence its risk and thus marketability, as well as relative credit information and relevant sector news.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Mortgage-backed/asset-backed securities: These securities are comprised of agency mortgage-backed securities, collateralized mortgage obligations, and asset-backed securities. They are valued based on available trade information, dealer quotes, cash flows, relevant indices and market data for similar assets in active markets.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7"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34" w:lineRule="exact"/>
        <w:rPr>
          <w:sz w:val="20"/>
          <w:szCs w:val="20"/>
          <w:color w:val="auto"/>
        </w:rPr>
      </w:pPr>
    </w:p>
    <w:p>
      <w:pPr>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 bonds: These securities are valued based on a discounted cash flow model incorporating observable market inputs such as available broker quotes and yields of comparable securities.</w:t>
      </w:r>
    </w:p>
    <w:p>
      <w:pPr>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stocks: Preferred stocks are valued by calculating the appropriate spread over a comparable U.S. Treasury security. Inputs include benchmark quotes and other relevant market data.</w:t>
      </w:r>
    </w:p>
    <w:p>
      <w:pPr>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 available for sale: This security is valued using a blending of two models, a discounted cash flow model and a comparable company model utilizing earnings and multiples of similar publicly-traded companies.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2016 and December 31, 2015 we held no assets or liabilities measured at fair value using Level 3 inputs.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amounts of short-term investments, accounts receivable and notes receivable approximate fair value due to their short-term nature.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regarding the fair value of our investment portfolio is included in Note 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D — Investments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amounts and fair values of our available for sale securities at September 30, 2016 and December 31, 2015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59"/>
        </w:trPr>
        <w:tc>
          <w:tcPr>
            <w:tcW w:w="5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22"/>
                <w:szCs w:val="22"/>
                <w:color w:val="auto"/>
              </w:rPr>
            </w:pPr>
          </w:p>
        </w:tc>
        <w:tc>
          <w:tcPr>
            <w:tcW w:w="88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275"/>
        </w:trPr>
        <w:tc>
          <w:tcPr>
            <w:tcW w:w="52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5"/>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110</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617</w:t>
            </w: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1,571</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Mortgage-backed/asset-backed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government bonds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115</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stock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321</w:t>
            </w: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securities available for sale</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432</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3,229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3,073</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3,229</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20"/>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59"/>
        </w:trPr>
        <w:tc>
          <w:tcPr>
            <w:tcW w:w="5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22"/>
                <w:szCs w:val="22"/>
                <w:color w:val="auto"/>
              </w:rPr>
            </w:pPr>
          </w:p>
        </w:tc>
        <w:tc>
          <w:tcPr>
            <w:tcW w:w="88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275"/>
        </w:trPr>
        <w:tc>
          <w:tcPr>
            <w:tcW w:w="52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5"/>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117</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768</w:t>
            </w: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1,495</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Mortgage-backed/asset-backed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w:t>
            </w:r>
          </w:p>
        </w:tc>
      </w:tr>
      <w:tr>
        <w:trPr>
          <w:trHeight w:val="243"/>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government bonds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stock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289</w:t>
            </w: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securities available for sale</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345</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3,192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3,126</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3,192</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cost basis of fixed maturity securities available for sale includes an adjustment for amortized premium or accreted discount since the date of purchase.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7"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certain information regarding contractual maturities of our fixed maturity securities at September 30, 2016: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220" w:type="dxa"/>
            <w:vAlign w:val="bottom"/>
            <w:tcBorders>
              <w:bottom w:val="single" w:sz="8" w:color="auto"/>
            </w:tcBorders>
          </w:tcPr>
          <w:p>
            <w:pPr>
              <w:spacing w:after="0"/>
              <w:rPr>
                <w:sz w:val="16"/>
                <w:szCs w:val="16"/>
                <w:color w:val="auto"/>
              </w:rPr>
            </w:pPr>
          </w:p>
        </w:tc>
      </w:tr>
      <w:tr>
        <w:trPr>
          <w:trHeight w:val="259"/>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3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 of</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275"/>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80" w:type="dxa"/>
            <w:vAlign w:val="bottom"/>
          </w:tcPr>
          <w:p>
            <w:pPr>
              <w:spacing w:after="0"/>
              <w:rPr>
                <w:sz w:val="23"/>
                <w:szCs w:val="23"/>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3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23"/>
                <w:szCs w:val="23"/>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6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560" w:type="dxa"/>
            <w:vAlign w:val="bottom"/>
            <w:tcBorders>
              <w:top w:val="single" w:sz="8" w:color="auto"/>
            </w:tcBorders>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20" w:type="dxa"/>
            <w:vAlign w:val="bottom"/>
            <w:tcBorders>
              <w:top w:val="single" w:sz="8" w:color="auto"/>
            </w:tcBorders>
          </w:tcPr>
          <w:p>
            <w:pPr>
              <w:spacing w:after="0"/>
              <w:rPr>
                <w:sz w:val="21"/>
                <w:szCs w:val="21"/>
                <w:color w:val="auto"/>
              </w:rPr>
            </w:pPr>
          </w:p>
        </w:tc>
      </w:tr>
      <w:tr>
        <w:trPr>
          <w:trHeight w:val="255"/>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One year or less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tcPr>
          <w:p>
            <w:pPr>
              <w:spacing w:after="0"/>
              <w:rPr>
                <w:sz w:val="21"/>
                <w:szCs w:val="21"/>
                <w:color w:val="auto"/>
              </w:rPr>
            </w:pPr>
          </w:p>
        </w:tc>
        <w:tc>
          <w:tcPr>
            <w:tcW w:w="122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After ten years</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22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Mortgage-backed/asset-backed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6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2,438</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Expected maturities may differ from contractual maturities because certain borrowers have the right to call or prepay obligations with or without call or prepayment penalties. Because of the potential for prepayment on mortgage-backed and asset-backed securities, they are not categorized by contractual maturity.</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unrealized losses on investment securities and the fair value of the related securities, aggregated by investment category and length of time that individual securities have been in a continuous unrealized loss position at September 30, 2016 and December 31, 2015, were as follows (in millions):</w:t>
      </w:r>
    </w:p>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2016</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4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22"/>
                <w:szCs w:val="22"/>
                <w:color w:val="auto"/>
              </w:rPr>
            </w:pPr>
          </w:p>
        </w:tc>
        <w:tc>
          <w:tcPr>
            <w:tcW w:w="7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275"/>
        </w:trPr>
        <w:tc>
          <w:tcPr>
            <w:tcW w:w="40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42"/>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government bonds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Preferred stock available for sale</w:t>
            </w:r>
          </w:p>
        </w:tc>
        <w:tc>
          <w:tcPr>
            <w:tcW w:w="2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 available for sale</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7"/>
        </w:trPr>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temporarily impaired securities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0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22"/>
                <w:szCs w:val="22"/>
                <w:color w:val="auto"/>
              </w:rPr>
            </w:pPr>
          </w:p>
        </w:tc>
        <w:tc>
          <w:tcPr>
            <w:tcW w:w="7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275"/>
        </w:trPr>
        <w:tc>
          <w:tcPr>
            <w:tcW w:w="4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23"/>
                <w:szCs w:val="23"/>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23"/>
                <w:szCs w:val="23"/>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23"/>
                <w:szCs w:val="23"/>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23"/>
                <w:szCs w:val="23"/>
                <w:color w:val="auto"/>
              </w:rPr>
            </w:pPr>
          </w:p>
        </w:tc>
        <w:tc>
          <w:tcPr>
            <w:tcW w:w="7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49"/>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government bonds</w:t>
            </w:r>
          </w:p>
        </w:tc>
        <w:tc>
          <w:tcPr>
            <w:tcW w:w="28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stock available for sale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securities available for sale</w:t>
            </w:r>
          </w:p>
        </w:tc>
        <w:tc>
          <w:tcPr>
            <w:tcW w:w="28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temporarily impaired securities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1,085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recorded $5 million in impairment charges relating to investments during the nine-month period ended September 30, 2016. The impairment charges related to a fixed maturity security and an investment in an unconsolidated affiliate in which we determined the ability to recover our investment was unlikely. We recorded $2 million in impairment charges relating to investments during the three-month period ended September 30, 2016 related to the aforementioned fixed maturity security. We recorded $9 million in impairment charges on fixed maturity securities during the three and nine-month periods ended September 30, 2015 relating to investments that were determined to be other-than-temporarily impaired. The impairment charges were for fixed maturity securities that we determined the credit risk of the holdings was high and the ability of the issuer to pay the full amount of the principal was unlikely. As of September 30, 2016 we held $1 million in fixed maturity securities for which an other-than-temporary impairment had been previously recognized. As of December 31, 2015, we held $2 million in fixed maturity and equity securities for which an other-than-temporary impairment had been previously recognized. It is possible that future events may</w:t>
      </w:r>
    </w:p>
    <w:p>
      <w:pPr>
        <w:sectPr>
          <w:pgSz w:w="11900" w:h="16838" w:orient="portrait"/>
          <w:cols w:equalWidth="0" w:num="1">
            <w:col w:w="11420"/>
          </w:cols>
          <w:pgMar w:left="240" w:top="117"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7" w:right="23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lead us to recognize impairment losses related to our investment portfolio and that unanticipated future events may lead us to dispose of certain investment holdings and recognize the effects of any market movements in our condensed consolidated financial statements.</w:t>
      </w:r>
    </w:p>
    <w:p>
      <w:pPr>
        <w:spacing w:after="0" w:line="54"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realized gains and losses on investments and other assets and proceeds from the sale or maturity of investments and other assets for the three and nine-month periods ended September 30, 2016 and 2015, respectively:</w:t>
      </w:r>
    </w:p>
    <w:p>
      <w:pPr>
        <w:sectPr>
          <w:pgSz w:w="11900" w:h="16838" w:orient="portrait"/>
          <w:cols w:equalWidth="0" w:num="1">
            <w:col w:w="11420"/>
          </w:cols>
          <w:pgMar w:left="240" w:top="117" w:right="239" w:bottom="1440" w:gutter="0" w:footer="0" w:header="0"/>
        </w:sectPr>
      </w:pPr>
    </w:p>
    <w:p>
      <w:pPr>
        <w:spacing w:after="0" w:line="27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24765</wp:posOffset>
            </wp:positionV>
            <wp:extent cx="24009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3" w:lineRule="exact"/>
        <w:rPr>
          <w:sz w:val="20"/>
          <w:szCs w:val="20"/>
          <w:color w:val="auto"/>
        </w:rPr>
      </w:pPr>
    </w:p>
    <w:tbl>
      <w:tblPr>
        <w:tblLayout w:type="fixed"/>
        <w:tblInd w:w="3780" w:type="dxa"/>
        <w:tblCellMar>
          <w:top w:w="0" w:type="dxa"/>
          <w:left w:w="0" w:type="dxa"/>
          <w:bottom w:w="0" w:type="dxa"/>
          <w:right w:w="0" w:type="dxa"/>
        </w:tblCellMar>
      </w:tblPr>
      <w:tr>
        <w:trPr>
          <w:trHeight w:val="161"/>
        </w:trPr>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114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Gross Proceeds</w:t>
            </w:r>
          </w:p>
        </w:tc>
        <w:tc>
          <w:tcPr>
            <w:tcW w:w="0" w:type="dxa"/>
            <w:vAlign w:val="bottom"/>
          </w:tcPr>
          <w:p>
            <w:pPr>
              <w:spacing w:after="0"/>
              <w:rPr>
                <w:sz w:val="1"/>
                <w:szCs w:val="1"/>
                <w:color w:val="auto"/>
              </w:rPr>
            </w:pPr>
          </w:p>
        </w:tc>
      </w:tr>
      <w:tr>
        <w:trPr>
          <w:trHeight w:val="149"/>
        </w:trPr>
        <w:tc>
          <w:tcPr>
            <w:tcW w:w="9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Gains</w:t>
            </w:r>
          </w:p>
        </w:tc>
        <w:tc>
          <w:tcPr>
            <w:tcW w:w="114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0" w:type="dxa"/>
            <w:vAlign w:val="bottom"/>
          </w:tcPr>
          <w:p>
            <w:pPr>
              <w:spacing w:after="0"/>
              <w:rPr>
                <w:sz w:val="1"/>
                <w:szCs w:val="1"/>
                <w:color w:val="auto"/>
              </w:rPr>
            </w:pPr>
          </w:p>
        </w:tc>
      </w:tr>
      <w:tr>
        <w:trPr>
          <w:trHeight w:val="195"/>
        </w:trPr>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Gains</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(Losses)</w:t>
            </w:r>
          </w:p>
        </w:tc>
        <w:tc>
          <w:tcPr>
            <w:tcW w:w="114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Sale/Maturity</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Nine months ended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23755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112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Gross Proceeds</w:t>
            </w:r>
          </w:p>
        </w:tc>
        <w:tc>
          <w:tcPr>
            <w:tcW w:w="0" w:type="dxa"/>
            <w:vAlign w:val="bottom"/>
          </w:tcPr>
          <w:p>
            <w:pPr>
              <w:spacing w:after="0"/>
              <w:rPr>
                <w:sz w:val="1"/>
                <w:szCs w:val="1"/>
                <w:color w:val="auto"/>
              </w:rPr>
            </w:pPr>
          </w:p>
        </w:tc>
      </w:tr>
      <w:tr>
        <w:trPr>
          <w:trHeight w:val="149"/>
        </w:trPr>
        <w:tc>
          <w:tcPr>
            <w:tcW w:w="84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Gains</w:t>
            </w:r>
          </w:p>
        </w:tc>
        <w:tc>
          <w:tcPr>
            <w:tcW w:w="11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0" w:type="dxa"/>
            <w:vAlign w:val="bottom"/>
          </w:tcPr>
          <w:p>
            <w:pPr>
              <w:spacing w:after="0"/>
              <w:rPr>
                <w:sz w:val="1"/>
                <w:szCs w:val="1"/>
                <w:color w:val="auto"/>
              </w:rPr>
            </w:pPr>
          </w:p>
        </w:tc>
      </w:tr>
      <w:tr>
        <w:trPr>
          <w:trHeight w:val="195"/>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Gains</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12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Sale/Maturity</w:t>
            </w:r>
          </w:p>
        </w:tc>
        <w:tc>
          <w:tcPr>
            <w:tcW w:w="0" w:type="dxa"/>
            <w:vAlign w:val="bottom"/>
          </w:tcPr>
          <w:p>
            <w:pPr>
              <w:spacing w:after="0"/>
              <w:rPr>
                <w:sz w:val="1"/>
                <w:szCs w:val="1"/>
                <w:color w:val="auto"/>
              </w:rPr>
            </w:pPr>
          </w:p>
        </w:tc>
      </w:tr>
    </w:tbl>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49" w:lineRule="exact"/>
        <w:rPr>
          <w:sz w:val="20"/>
          <w:szCs w:val="20"/>
          <w:color w:val="auto"/>
        </w:rPr>
      </w:pPr>
    </w:p>
    <w:p>
      <w:pPr>
        <w:sectPr>
          <w:pgSz w:w="11900" w:h="16838" w:orient="portrait"/>
          <w:cols w:equalWidth="0" w:num="2">
            <w:col w:w="7580" w:space="100"/>
            <w:col w:w="3740"/>
          </w:cols>
          <w:pgMar w:left="240" w:top="117" w:right="239" w:bottom="1440" w:gutter="0" w:footer="0" w:header="0"/>
          <w:type w:val="continuous"/>
        </w:sectPr>
      </w:pPr>
    </w:p>
    <w:tbl>
      <w:tblPr>
        <w:tblLayout w:type="fixed"/>
        <w:tblInd w:w="0" w:type="dxa"/>
        <w:tblCellMar>
          <w:top w:w="0" w:type="dxa"/>
          <w:left w:w="0" w:type="dxa"/>
          <w:bottom w:w="0" w:type="dxa"/>
          <w:right w:w="0" w:type="dxa"/>
        </w:tblCellMar>
      </w:tblPr>
      <w:tr>
        <w:trPr>
          <w:trHeight w:val="260"/>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5"/>
              </w:rPr>
              <w:t>(2)</w:t>
            </w:r>
          </w:p>
        </w:tc>
        <w:tc>
          <w:tcPr>
            <w:tcW w:w="640" w:type="dxa"/>
            <w:vAlign w:val="bottom"/>
            <w:gridSpan w:val="2"/>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(2)</w:t>
            </w:r>
          </w:p>
        </w:tc>
        <w:tc>
          <w:tcPr>
            <w:tcW w:w="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640" w:type="dxa"/>
            <w:vAlign w:val="bottom"/>
            <w:gridSpan w:val="2"/>
            <w:shd w:val="clear" w:color="auto" w:fill="CCEEFF"/>
          </w:tcPr>
          <w:p>
            <w:pPr>
              <w:jc w:val="center"/>
              <w:ind w:right="2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Preferred stock available for sale</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4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21"/>
                <w:szCs w:val="21"/>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 available for sale</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5"/>
              </w:rPr>
              <w:t>(2)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(4)</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3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1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Three months ended September 30, 2015</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2015</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2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20" w:type="dxa"/>
            <w:vAlign w:val="bottom"/>
          </w:tcPr>
          <w:p>
            <w:pPr>
              <w:spacing w:after="0"/>
              <w:rPr>
                <w:sz w:val="12"/>
                <w:szCs w:val="12"/>
                <w:color w:val="auto"/>
              </w:rPr>
            </w:pP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Realized</w:t>
            </w: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Proceeds</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Proceeds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3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Gains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3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tcPr>
          <w:p>
            <w:pPr>
              <w:spacing w:after="0"/>
              <w:rPr>
                <w:sz w:val="12"/>
                <w:szCs w:val="12"/>
                <w:color w:val="auto"/>
              </w:rPr>
            </w:pPr>
          </w:p>
        </w:tc>
        <w:tc>
          <w:tcPr>
            <w:tcW w:w="740" w:type="dxa"/>
            <w:vAlign w:val="bottom"/>
          </w:tcPr>
          <w:p>
            <w:pPr>
              <w:jc w:val="right"/>
              <w:ind w:right="271"/>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0" w:type="dxa"/>
            <w:vAlign w:val="bottom"/>
          </w:tcPr>
          <w:p>
            <w:pPr>
              <w:spacing w:after="0"/>
              <w:rPr>
                <w:sz w:val="1"/>
                <w:szCs w:val="1"/>
                <w:color w:val="auto"/>
              </w:rPr>
            </w:pPr>
          </w:p>
        </w:tc>
      </w:tr>
      <w:tr>
        <w:trPr>
          <w:trHeight w:val="195"/>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(Losses)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7"/>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Sale/Maturity</w:t>
            </w:r>
          </w:p>
        </w:tc>
        <w:tc>
          <w:tcPr>
            <w:tcW w:w="100" w:type="dxa"/>
            <w:vAlign w:val="bottom"/>
          </w:tcPr>
          <w:p>
            <w:pPr>
              <w:spacing w:after="0"/>
              <w:rPr>
                <w:sz w:val="16"/>
                <w:szCs w:val="16"/>
                <w:color w:val="auto"/>
              </w:rPr>
            </w:pPr>
          </w:p>
        </w:tc>
        <w:tc>
          <w:tcPr>
            <w:tcW w:w="5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20" w:type="dxa"/>
            <w:vAlign w:val="bottom"/>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9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Sale/Maturity</w:t>
            </w:r>
          </w:p>
        </w:tc>
        <w:tc>
          <w:tcPr>
            <w:tcW w:w="0" w:type="dxa"/>
            <w:vAlign w:val="bottom"/>
          </w:tcPr>
          <w:p>
            <w:pPr>
              <w:spacing w:after="0"/>
              <w:rPr>
                <w:sz w:val="1"/>
                <w:szCs w:val="1"/>
                <w:color w:val="auto"/>
              </w:rPr>
            </w:pPr>
          </w:p>
        </w:tc>
      </w:tr>
      <w:tr>
        <w:trPr>
          <w:trHeight w:val="250"/>
        </w:trPr>
        <w:tc>
          <w:tcPr>
            <w:tcW w:w="36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gridSpan w:val="5"/>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Preferred stock available for sale</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5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 available for sale</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extinguishment costs</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Investments in unconsolidated affiliates are recorded using the equity method of accounting. As of September 30, 2016 and December 31, 2015, investments in unconsolidated affiliates consisted of the following (dollars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Current Ownership</w:t>
            </w: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249"/>
        </w:trPr>
        <w:tc>
          <w:tcPr>
            <w:tcW w:w="6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Ceridian</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358</w:t>
            </w:r>
          </w:p>
        </w:tc>
      </w:tr>
      <w:tr>
        <w:trPr>
          <w:trHeight w:val="243"/>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Various</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163</w:t>
            </w:r>
          </w:p>
        </w:tc>
      </w:tr>
      <w:tr>
        <w:trPr>
          <w:trHeight w:val="27"/>
        </w:trPr>
        <w:tc>
          <w:tcPr>
            <w:tcW w:w="67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521</w:t>
            </w:r>
          </w:p>
        </w:tc>
      </w:tr>
      <w:tr>
        <w:trPr>
          <w:trHeight w:val="20"/>
        </w:trPr>
        <w:tc>
          <w:tcPr>
            <w:tcW w:w="6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our equity investment in Ceridian, we own certain of their outstanding bonds. Our investment in Ceridian bonds is included in Fixed maturity securities available for sale on the Condensed Consolidated Balance Sheets and had a fair value of $31 million and $23 million as of September 30, 2016 and December 31, 2015, respectively. We did not purchase or dispose of any Ceridian bonds in the nine-month period ended September 30, 2016.</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three-month periods ended September 30, 2016 and 2015, we recorded $10 million and $21 million, in equity in losses of Ceridian, respectively, and $3 million and $2 million in equity in earnings of other unconsolidated affiliates, respectively. During the nine-month periods ended September 30, 2016 and 2015, we recorded $15 million and $21 million, in equity in losses of Ceridian, respectively, and $9 million and $5 million in equity in earnings of other unconsolidated affiliates, respectively.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7" w:right="2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4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Summarized financial information for Ceridian for the relevant dates and time periods included in Investments in unconsolidated affiliates and Equity in losses of unconsolidated affiliates in our Condensed Consolidated Balance Sheets and Condensed Consolidated Statements of Earnings, respectively, is presented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196"/>
        </w:trPr>
        <w:tc>
          <w:tcPr>
            <w:tcW w:w="8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assets before customer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489</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funds</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4,333</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and other 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2,272</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92</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6,272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7,186</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 before customer obligations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267</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4,312</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obligations, less current portion</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1,143</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322</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6,044</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1,142</w:t>
            </w:r>
          </w:p>
        </w:tc>
      </w:tr>
      <w:tr>
        <w:trPr>
          <w:trHeight w:val="257"/>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6,272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7,186</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6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00" w:type="dxa"/>
            <w:vAlign w:val="bottom"/>
          </w:tcPr>
          <w:p>
            <w:pPr>
              <w:spacing w:after="0"/>
              <w:rPr>
                <w:sz w:val="13"/>
                <w:szCs w:val="13"/>
                <w:color w:val="auto"/>
              </w:rPr>
            </w:pPr>
          </w:p>
        </w:tc>
        <w:tc>
          <w:tcPr>
            <w:tcW w:w="170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3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September 30, 2015</w:t>
            </w:r>
          </w:p>
        </w:tc>
      </w:tr>
      <w:tr>
        <w:trPr>
          <w:trHeight w:val="250"/>
        </w:trPr>
        <w:tc>
          <w:tcPr>
            <w:tcW w:w="3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80" w:type="dxa"/>
            <w:vAlign w:val="bottom"/>
            <w:gridSpan w:val="4"/>
          </w:tcPr>
          <w:p>
            <w:pPr>
              <w:ind w:left="1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21"/>
                <w:szCs w:val="21"/>
                <w:color w:val="auto"/>
              </w:rPr>
            </w:pPr>
          </w:p>
        </w:tc>
        <w:tc>
          <w:tcPr>
            <w:tcW w:w="3640" w:type="dxa"/>
            <w:vAlign w:val="bottom"/>
            <w:gridSpan w:val="3"/>
          </w:tcPr>
          <w:p>
            <w:pPr>
              <w:jc w:val="right"/>
              <w:ind w:right="1457"/>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55"/>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515</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509</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675"/>
        </w:trPr>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17</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E —Notes Payable</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24"/>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Notes payable consists of the following: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56"/>
        </w:trPr>
        <w:tc>
          <w:tcPr>
            <w:tcW w:w="8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8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237"/>
        </w:trPr>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70"/>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Unsecured notes, net of discount, interest payable semi-annually at 5.50%, due September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397</w:t>
            </w: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Unsecured convertible notes, net of discount, interest payable semi-annually at 4.25%, due August 2018</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Unsecured notes, net of discount, interest payable semi-annually at 6.60%, due May 2017</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8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Revolving Credit Facility, unsecured, unused portion of $800, due July 2018 with interest payable monthly at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1"/>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LIBOR + 1.45%</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5"/>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Unsecured Black Knight InfoServ notes, including premium, interest payable semi-annually at 5.75%, due April</w:t>
            </w:r>
          </w:p>
        </w:tc>
        <w:tc>
          <w:tcPr>
            <w:tcW w:w="14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402</w:t>
            </w:r>
          </w:p>
        </w:tc>
      </w:tr>
      <w:tr>
        <w:trPr>
          <w:trHeight w:val="234"/>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8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Black Knight Term A Facility, due May 2020 with interest currently payable monthly at LIBOR + 2.00% (2.56%</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771</w:t>
            </w:r>
          </w:p>
        </w:tc>
      </w:tr>
      <w:tr>
        <w:trPr>
          <w:trHeight w:val="241"/>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at September 30, 2016)</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5"/>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Black Knight Term B Facility, due May 2022 with interest currently payable quarterly at LIBOR + 3.00%</w:t>
            </w:r>
          </w:p>
        </w:tc>
        <w:tc>
          <w:tcPr>
            <w:tcW w:w="14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343</w:t>
            </w:r>
          </w:p>
        </w:tc>
      </w:tr>
      <w:tr>
        <w:trPr>
          <w:trHeight w:val="234"/>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(3.75% at September 30, 2016)</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8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Black Knight Revolving Credit Facility, unused portion of $350, due May 2020 with interest currently payable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r>
      <w:tr>
        <w:trPr>
          <w:trHeight w:val="241"/>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monthly at LIBOR + 2.00% (2.56% at September 30, 2016)</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5"/>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ABRH Term Loan, interest payable monthly at LIBOR + 2.50% (3.02% at September 30, 2016), due August</w:t>
            </w:r>
          </w:p>
        </w:tc>
        <w:tc>
          <w:tcPr>
            <w:tcW w:w="14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8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Digital Insurance Revolving Credit Facility, unused portion of $48, due March 2020 with interest payable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r>
      <w:tr>
        <w:trPr>
          <w:trHeight w:val="241"/>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monthly at LIBOR + 2.50% - 3.50% (3.70% at September 30, 2016)</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5"/>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ABRH Revolving Credit Facility, unused portion of $76, due August 2019 with interest payable monthly at Base</w:t>
            </w:r>
          </w:p>
        </w:tc>
        <w:tc>
          <w:tcPr>
            <w:tcW w:w="14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Rate + 1.50% (5.00% at September 30, 2016)</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83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2,754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2,793</w:t>
            </w:r>
          </w:p>
        </w:tc>
      </w:tr>
      <w:tr>
        <w:trPr>
          <w:trHeight w:val="27"/>
        </w:trPr>
        <w:tc>
          <w:tcPr>
            <w:tcW w:w="8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At September 30, 2016, the estimated fair value of our long-term debt was approximately $3,163 million, which was $386 million higher than its carrying value, excluding $23 million of net unamortized debt issuance costs and premium/discount. The carrying values of our ABRH term loan, ABRH revolving credit facility and Digital Insurance revolving credit facility approximate the fair values at September 30, 2016 as they are variable rate instruments with short reset periods which reflect current market rates. The fair value of our unsecured notes payable was $1,775 million as of September 30, 2016. The fair values of our unsecured notes payable are based on established market prices for the securities on September 30, 2016 and are considered Level 2 financial liabilities. The carrying value of the Black Knight Term A, Term B, and revolving facilities approximate fair value at September 30, 2016. The revolving credit facilities are considered Level 2 financial liabilities.</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27, 2015, Black Knight InfoServ, LLC ("BKIS") entered into a credit and guaranty agreement (the “BKIS Credit Agreement”) with an aggregate borrowing capacity of $1.6 billion with JPMorgan Chase Bank, N.A. as administrative agent, the guarantors party thereto, the other agents party thereto and the lenders party thereto. The material terms of the BKIS Credit Agreement are set forth in our Annual Report for the year ended December 31, 2015 and have not been amended since the filing of such Annual Report. As of September 30, 2016 BKIS had aggregate outstanding debt of $1,131 million under the BKIS Credit Agreement, net of debt issuance costs. We hold $49 million of the outstanding Term B notes which eliminate in consolidation.</w:t>
      </w:r>
    </w:p>
    <w:p>
      <w:pPr>
        <w:spacing w:after="0" w:line="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31, 2015, Digital Insurance, entered into a senior secured credit facility (the “Digital Insurance Facility”) with Bank of America, N.A. (“Bank of America”) as administrative agent, JPMorgan Chase Bank, N.A. as syndication agent, and the other financial institutions party thereto. The material terms of the Digital Insurance Facility are set forth in our Annual Report for the year ended December 31, 2015. On March 10, 2016, the Digital Insurance Facility was amended to increase the borrowing capacity from $120 million to $160 million and to add Fifth Third Bank as an additional lender. As of September 30, 2016, Digital Insurance had outstanding debt of $110 million under the Digital Insurance Facility.</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19, 2014, ABRH entered into a credit agreement (the “ABRH Credit Facility”) with Wells Fargo Bank, National Association as administrative agent, Swingline Lender and Issuing Lender (the “ABRH Administrative Agent”), Bank of America, N.A. as syndication agent and the other financial institutions party thereto. The ABRH Credit Facility provides for a maximum</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7"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revolving loan of $100 million (the “ABRH Revolver") with a maturity date of August 19, 2019. Additionally, the ABRH Credit Facility provides for a maximum term loan (the "ABRH Term Loan") of $110 million with quarterly installment repayments through June 30, 2019 and a maturity date of August 19, 2019 for the outstanding unpaid principal balance and all accrued and unpaid interest. The material terms of the ABRH Credit Facility are set forth in our Annual Report on Form 10-K for the year ended December 31, 2015 and have not been amended since the filing of such Annual Report, except to clarify that a commitment fee is also due thereunder, at a rate per annum equal to between 32.5 and 40 basis points on the average daily unused portion of the commitments under the ABRH Revolver. As of September 30, 2016, ABRH had $94 million outstanding for the ABRH Term Loan, had $8 million outstanding under the ABRH Revolver, had $16 million of outstanding letters of credit and had $76 million of remaining borrowing capacity under the ABRH Credit Facility.</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January 2, 2014, as a result of our acquisition of Lender Processing Services ("LPS"), FNF acquired $600 million aggregate principal amount of 5.75% Senior Notes due in 2023, initially issued by BKIS on October 12, 2012 (the "Black Knight Senior Notes"). The material terms of the Black Knight Senior Notes are set forth in our Annual Report for the year ended December 31, 2015. On January 16, 2014, we issued an offer to purchase the Black Knight Senior Notes pursuant to the change of control provisions at a purchase price of 101% of the principal amount plus accrued interest to the purchase date. The offer expired on February 18, 2014. As a result of the offer, bondholders tendered $5 million in principal of the Black Knight Senior Notes, which were subsequently purchased by us on February 24, 2014. On May 29, 2015, Black Knight completed a redemption of $205 million in aggregate principal of its Black Knight Senior Notes at a price of 105.75% under the note feature allowing redemption using proceeds from an equity offering.</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June 25, 2013, FNF entered into an agreement to amend and restate our existing $800 million Second Amended and Restated Credit Agreement (the “Existing Credit Agreement”), dated as of April 16, 2012 with Bank of America, N.A., as administrative agent (in such capacity, the “Administrative Agent”) and the other agents party thereto (the “Revolving Credit Facility”). The material terms of the Revolving Credit Facility are set forth in our Annual Report for the year ended December 31, 2015. As of September 30, 2016, there was no outstanding balance under the Revolving Credit Facility and $4 million in unamortized debt issuance costs.</w:t>
      </w:r>
    </w:p>
    <w:p>
      <w:pPr>
        <w:spacing w:after="0" w:line="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28, 2012, FNF completed an offering of $400 million in aggregate principal amount of 5.50% notes due September 2022 (the "5.50% notes"), pursuant to an effective registration statement previously filed with the SEC. The material terms of the 5.50% notes are set forth in our Annual Report for the year ended December 31, 2015.</w:t>
      </w:r>
    </w:p>
    <w:p>
      <w:pPr>
        <w:spacing w:after="0" w:line="1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2, 2011, FNF completed an offering of $300 million in aggregate principal amount of 4.25% convertible senior notes due August 2018 (the "Notes") in an offering conducted in accordance with Rule 144A under the Securities Act of 1933, as amended. The material terms of the Notes are set forth in our Annual Report for the year ended December 31, 2015. Beginning October 1, 2013, these notes are convertible under the 130% Sale Price Condition described in our Annual Report.</w:t>
      </w:r>
    </w:p>
    <w:p>
      <w:pPr>
        <w:spacing w:after="0" w:line="4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5, 2010, FNF completed an offering of $300 million in aggregate principal amount of our 6.60% notes due May 2017 (the "6.60% Notes"), pursuant to an effective registration statement previously filed with the SEC. The material terms of the 6.60% notes are set forth in our Annual Report for the year ended December 31, 2015.</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principal maturities of notes payable at September 30, 2016 are as follows (in millions):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10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 (remaining)</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w:t>
            </w:r>
          </w:p>
        </w:tc>
      </w:tr>
      <w:tr>
        <w:trPr>
          <w:trHeight w:val="243"/>
        </w:trPr>
        <w:tc>
          <w:tcPr>
            <w:tcW w:w="10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w:t>
            </w:r>
          </w:p>
        </w:tc>
      </w:tr>
      <w:tr>
        <w:trPr>
          <w:trHeight w:val="243"/>
        </w:trPr>
        <w:tc>
          <w:tcPr>
            <w:tcW w:w="10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666</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1,132</w:t>
            </w:r>
          </w:p>
        </w:tc>
      </w:tr>
      <w:tr>
        <w:trPr>
          <w:trHeight w:val="237"/>
        </w:trPr>
        <w:tc>
          <w:tcPr>
            <w:tcW w:w="100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2,777</w:t>
            </w:r>
          </w:p>
        </w:tc>
      </w:tr>
      <w:tr>
        <w:trPr>
          <w:trHeight w:val="27"/>
        </w:trPr>
        <w:tc>
          <w:tcPr>
            <w:tcW w:w="100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100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F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Contingencies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pending and threatened litigation matters related to our operations, some of which include claims for punitive or exemplary damages. With respect to our title insurance operations, this customary litigation includes but is not limited to a wide variety of cases arising out of or related to title and escrow claims, for which we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7"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make provisions through our loss reserves. Additionally, like other companies, our ordinary course litigation includes a number of class action and purported class action lawsuits, which make allegations related to aspects of our operations. We believe that no actions, other than the matters discussed below, depart from customary litigation incidental to our business.</w:t>
      </w:r>
    </w:p>
    <w:p>
      <w:pPr>
        <w:spacing w:after="0" w:line="4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employment, franchise and other laws; and claims from guests or employees alleging illness, injury or other food quality, health or operational concerns. Our Restaurant Group companies are also subject to compliance with extensive government laws and regulations related to employment practices and policies and the manufacture, preparation, and sale of food and alcohol. We may also become subject to lawsuits and other proceedings, as well as card network fines and penalties, arising out of the actual or alleged theft of our customers' credit or debit card information.</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which represents our best estimate has been recorded. Our accrual for legal and regulatory matters was $64 million as of September 30, 2016 and $75 million as of December 31, 2015. None of the amounts we have currently recorded are considered to be material to our financial condition individually or in the aggregate. Actual losses may materially differ from the amounts recorded and the ultimate outcome of our pending legal proceedings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8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Following a review by the Board of Governors of the Federal Reserve System, the Federal Deposit Insurance Corporation, the Office of the Comptroller of the Currency and the Office of Thrift Supervision (collectively, the “banking agencies”), Lender Processing Services, Inc. (“LPS”) entered into a consent order (the “Order”) dated April 13, 2011 with the banking agencies. The banking agencies’ review of LPS’s services included the services provided by LPS’s default operations to mortgage servicers regulated by the banking agencies, including document execution services. The Order does not make any findings of fact or conclusions of wrongdoing, nor did LPS admit any fault or liability. Under the Order, LPS agreed to further study the issues identified in the review and to enhance LPS’s compliance, internal audit, risk management and board oversight plans with respect to those businesses. LPS also agreed to engage an independent third party to conduct a risk assessment and review of LPS’s default management businesses and the document execution services it provided to mortgage servicers from January 1, 2008 through December 31, 2010.</w:t>
      </w:r>
    </w:p>
    <w:p>
      <w:pPr>
        <w:spacing w:after="0" w:line="7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document execution review by the independent third party has been on indefinite hold since June 30, 2013 while the banking agencies consider what, if any, additional review work they would like the independent third party to undertake. Accordingly, the document execution review has taken and will continue to take longer to complete than the Company originally anticipated. In addition, the LPS default operations that were subject to the Order were contributed to ServiceLink in connection with FNF's acquisition of LPS in January 2014. To the extent such review, once completed, requires additional remediation of mortgage documents or identifies any financial injury from the document execution services LPS provided, ServiceLink (as a result of the contribution of the underlying LPS business) has agreed to implement an appropriate plan to address the issues. The Order contains various deadlines to accomplish the undertakings set forth therein, including the preparation of a remediation plan following the completion of the document execution review. ServiceLink will continue to make periodic reports to the banking agencies on the progress with respect to each of the undertakings in the Order. Although the Order does not include any fine or other monetary penalty, the banking agencies reserved their right to impose civil monetary penalties at any time. Based on discussions with the banking agencies and actions taken by the banking agencies with respect to other companies, the Company believes the likelihood that the banking agencies will assess a civil monetary penalty is both probable and reasonably estimable, and ServiceLink Holdings, LLC has included an estimate of such loss in its accrual for loss contingencies. The banking agencies notified ServiceLink in December 2015 that they wish to discuss terminating the Order through a possible agreed upon civil monetary penalty amount in lieu of requiring any additional document execution review by the independent third party. At this time, the parties have not agreed on a possible civil monetary penalty amount; however, in the quarter ended September 30, 2016, ServiceLink has adjusted the amount accrued in loss contingencies from $55 million to $60 million based on the ongoing discussions. The parties have entered into a tolling agreement to allow the parties to engage in these discussions. This matter is subject to a Cross-Indemnity Agreement dated December 22, 2014, between Black Knight Financial Services, LLC and ServiceLink Holdings, LLC.</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7"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55"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8"/>
          <w:szCs w:val="18"/>
          <w:color w:val="auto"/>
        </w:rPr>
        <w:t>On December 16, 2013, LPS received notice that Merion Capital, L.P. and Merion Capital II, L.P. (together "Merion Capital") were asserting their appraisal right relative to their ownership of 5,682,276 shares of LPS stock (the “Appraisal Shares”) in connection with the acquisition of LPS by FNF on January 2, 2014. On February 6, 2014, Merion Capital filed an appraisal proceeding, captioned Merion Capital LP and Merion Capital II, LP v. Lender Processing Services, Inc., C.A. No. 9320-VCL, in the Delaware Court of Chancery seeking a judicial determination of the "fair" value of Merion Capital's 5,682,276 shares of LPS common stock under Delaware law, together with statutory interest. We filed an answer to this suit on March 3, 2014. Merion’s expert opined that the consideration should have been $50.46 per share, which was approximately 36 percent higher than the final consideration of $37.14, and therefore, they are owed an additional $76 million plus statutory interest, which is approximately $13 million as of September 30, 2016. The Company’s position is that the merger consideration paid was fair value, and no additional consideration is owed. A bench trial was held in May 2016, and post-trial arguments were heard on September 21, 2016. We will continue to vigorously defend against the appraisal proceedings, and we do not believe the result will have a material adverse effect on our financial condition.</w:t>
      </w:r>
    </w:p>
    <w:p>
      <w:pPr>
        <w:spacing w:after="0" w:line="7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Future minimum operating lease payments are as follows (in millions):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3"/>
        </w:trPr>
        <w:tc>
          <w:tcPr>
            <w:tcW w:w="10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 (remaining)</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r>
      <w:tr>
        <w:trPr>
          <w:trHeight w:val="243"/>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r>
      <w:tr>
        <w:trPr>
          <w:trHeight w:val="27"/>
        </w:trPr>
        <w:tc>
          <w:tcPr>
            <w:tcW w:w="10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r>
      <w:tr>
        <w:trPr>
          <w:trHeight w:val="243"/>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r>
      <w:tr>
        <w:trPr>
          <w:trHeight w:val="27"/>
        </w:trPr>
        <w:tc>
          <w:tcPr>
            <w:tcW w:w="10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w:t>
            </w:r>
          </w:p>
        </w:tc>
      </w:tr>
      <w:tr>
        <w:trPr>
          <w:trHeight w:val="27"/>
        </w:trPr>
        <w:tc>
          <w:tcPr>
            <w:tcW w:w="10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future minimum operating lease payments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912</w:t>
            </w:r>
          </w:p>
        </w:tc>
      </w:tr>
      <w:tr>
        <w:trPr>
          <w:trHeight w:val="20"/>
        </w:trPr>
        <w:tc>
          <w:tcPr>
            <w:tcW w:w="10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 — Dividends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November 2, 2016, our Board of Directors declared cash dividends of $0.25 per share, payable on December 30, 2016, to FNF Group common shareholders of record as of December 16, 2016.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H — Segment Information</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concerning our reportable segments is shown in the following tables. Prior period segment information has been restated to conform to the current segment presentation.</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fourth quarter of 2015, we determined that Pacific Union International, Inc. ("Pacific Union"), a luxury real estate broker based in California in which we acquired a controlling stake in December 2014, better aligned with the businesses within our FNF Group Corporate and Other segment. Accordingly, Total assets of $42 million and Goodwill of $36 million as of September 30, 2015; Other revenues of $57 million, Depreciation and amortization of less than $1 million and Earnings from continuing operations of $3 million for the three months ended September 30, 2015; and Other revenues of $137 million, Depreciation and amortization of $2 million, and Earnings from continuing operations of $4 million for the nine months ended September 30, 2015, which were previously included in the Title segment are now included in the FNF Group Corporate and Other segment in the below tables.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7"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and for the three months ended September 30, 2016: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9"/>
              </w:rPr>
              <w:t>FNF Group</w:t>
            </w:r>
          </w:p>
        </w:tc>
        <w:tc>
          <w:tcPr>
            <w:tcW w:w="100" w:type="dxa"/>
            <w:vAlign w:val="bottom"/>
          </w:tcPr>
          <w:p>
            <w:pPr>
              <w:spacing w:after="0"/>
              <w:rPr>
                <w:sz w:val="12"/>
                <w:szCs w:val="12"/>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Total FNF</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6"/>
              </w:rPr>
              <w:t>FNFV</w:t>
            </w:r>
          </w:p>
        </w:tc>
        <w:tc>
          <w:tcPr>
            <w:tcW w:w="140" w:type="dxa"/>
            <w:vAlign w:val="bottom"/>
          </w:tcPr>
          <w:p>
            <w:pPr>
              <w:spacing w:after="0"/>
              <w:rPr>
                <w:sz w:val="12"/>
                <w:szCs w:val="12"/>
                <w:color w:val="auto"/>
              </w:rPr>
            </w:pPr>
          </w:p>
        </w:tc>
        <w:tc>
          <w:tcPr>
            <w:tcW w:w="6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center"/>
              <w:ind w:right="120"/>
              <w:spacing w:after="0" w:line="133" w:lineRule="exact"/>
              <w:rPr>
                <w:sz w:val="20"/>
                <w:szCs w:val="20"/>
                <w:color w:val="auto"/>
              </w:rPr>
            </w:pPr>
            <w:r>
              <w:rPr>
                <w:rFonts w:ascii="Times New Roman" w:cs="Times New Roman" w:eastAsia="Times New Roman" w:hAnsi="Times New Roman"/>
                <w:sz w:val="13"/>
                <w:szCs w:val="13"/>
                <w:color w:val="auto"/>
                <w:w w:val="97"/>
              </w:rPr>
              <w:t>Corporate and</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3"/>
                <w:szCs w:val="13"/>
                <w:color w:val="auto"/>
                <w:w w:val="97"/>
              </w:rPr>
              <w:t>Restaurant</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3"/>
                <w:szCs w:val="13"/>
                <w:color w:val="auto"/>
                <w:w w:val="96"/>
              </w:rPr>
              <w:t>Corporate</w:t>
            </w: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color w:val="auto"/>
              </w:rPr>
              <w:t>Title</w:t>
            </w:r>
          </w:p>
        </w:tc>
        <w:tc>
          <w:tcPr>
            <w:tcW w:w="9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color w:val="auto"/>
              </w:rPr>
              <w:t>Black Knight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4"/>
              </w:rPr>
              <w:t>Other</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Group</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6"/>
              </w:rPr>
              <w:t>Group</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6"/>
              </w:rPr>
              <w:t>and Other</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FNFV</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1"/>
        </w:trPr>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Title premiums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1,269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1,269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1,269</w:t>
            </w:r>
          </w:p>
        </w:tc>
        <w:tc>
          <w:tcPr>
            <w:tcW w:w="0" w:type="dxa"/>
            <w:vAlign w:val="bottom"/>
          </w:tcPr>
          <w:p>
            <w:pPr>
              <w:spacing w:after="0"/>
              <w:rPr>
                <w:sz w:val="1"/>
                <w:szCs w:val="1"/>
                <w:color w:val="auto"/>
              </w:rPr>
            </w:pPr>
          </w:p>
        </w:tc>
      </w:tr>
      <w:tr>
        <w:trPr>
          <w:trHeight w:val="265"/>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revenues</w:t>
            </w:r>
          </w:p>
        </w:tc>
        <w:tc>
          <w:tcPr>
            <w:tcW w:w="200" w:type="dxa"/>
            <w:vAlign w:val="bottom"/>
          </w:tcPr>
          <w:p>
            <w:pPr>
              <w:spacing w:after="0"/>
              <w:rPr>
                <w:sz w:val="23"/>
                <w:szCs w:val="23"/>
                <w:color w:val="auto"/>
              </w:rPr>
            </w:pP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569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68</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904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950</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Restaurant revenues</w:t>
            </w: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273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273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273</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1,838</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267</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68</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2,173</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273</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319</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2,492</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and investment income, including realized gains and losses</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25</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Total revenues</w:t>
            </w:r>
          </w:p>
        </w:tc>
        <w:tc>
          <w:tcPr>
            <w:tcW w:w="20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1,865</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267</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66</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2,198</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272</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319</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2,517</w:t>
            </w:r>
          </w:p>
        </w:tc>
        <w:tc>
          <w:tcPr>
            <w:tcW w:w="0" w:type="dxa"/>
            <w:vAlign w:val="bottom"/>
          </w:tcPr>
          <w:p>
            <w:pPr>
              <w:spacing w:after="0"/>
              <w:rPr>
                <w:sz w:val="1"/>
                <w:szCs w:val="1"/>
                <w:color w:val="auto"/>
              </w:rPr>
            </w:pPr>
          </w:p>
        </w:tc>
      </w:tr>
      <w:tr>
        <w:trPr>
          <w:trHeight w:val="255"/>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98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113</w:t>
            </w:r>
          </w:p>
        </w:tc>
        <w:tc>
          <w:tcPr>
            <w:tcW w:w="0" w:type="dxa"/>
            <w:vAlign w:val="bottom"/>
          </w:tcPr>
          <w:p>
            <w:pPr>
              <w:spacing w:after="0"/>
              <w:rPr>
                <w:sz w:val="1"/>
                <w:szCs w:val="1"/>
                <w:color w:val="auto"/>
              </w:rPr>
            </w:pPr>
          </w:p>
        </w:tc>
      </w:tr>
      <w:tr>
        <w:trPr>
          <w:trHeight w:val="265"/>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35</w:t>
            </w:r>
          </w:p>
        </w:tc>
        <w:tc>
          <w:tcPr>
            <w:tcW w:w="0" w:type="dxa"/>
            <w:vAlign w:val="bottom"/>
          </w:tcPr>
          <w:p>
            <w:pPr>
              <w:spacing w:after="0"/>
              <w:rPr>
                <w:sz w:val="1"/>
                <w:szCs w:val="1"/>
                <w:color w:val="auto"/>
              </w:rPr>
            </w:pPr>
          </w:p>
        </w:tc>
      </w:tr>
      <w:tr>
        <w:trPr>
          <w:trHeight w:val="158"/>
        </w:trPr>
        <w:tc>
          <w:tcPr>
            <w:tcW w:w="424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Earnings (loss) from continuing operations, before income taxes and</w:t>
            </w:r>
          </w:p>
        </w:tc>
        <w:tc>
          <w:tcPr>
            <w:tcW w:w="2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263</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275</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271</w:t>
            </w:r>
          </w:p>
        </w:tc>
        <w:tc>
          <w:tcPr>
            <w:tcW w:w="0" w:type="dxa"/>
            <w:vAlign w:val="bottom"/>
          </w:tcPr>
          <w:p>
            <w:pPr>
              <w:spacing w:after="0"/>
              <w:rPr>
                <w:sz w:val="1"/>
                <w:szCs w:val="1"/>
                <w:color w:val="auto"/>
              </w:rPr>
            </w:pPr>
          </w:p>
        </w:tc>
      </w:tr>
      <w:tr>
        <w:trPr>
          <w:trHeight w:val="198"/>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 in earnings (loss) of unconsolidated affiliates</w:t>
            </w:r>
          </w:p>
        </w:tc>
        <w:tc>
          <w:tcPr>
            <w:tcW w:w="2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00" w:type="dxa"/>
            <w:vAlign w:val="bottom"/>
          </w:tcPr>
          <w:p>
            <w:pPr>
              <w:spacing w:after="0"/>
              <w:rPr>
                <w:sz w:val="23"/>
                <w:szCs w:val="23"/>
                <w:color w:val="auto"/>
              </w:rPr>
            </w:pP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95</w:t>
            </w:r>
          </w:p>
        </w:tc>
        <w:tc>
          <w:tcPr>
            <w:tcW w:w="0" w:type="dxa"/>
            <w:vAlign w:val="bottom"/>
          </w:tcPr>
          <w:p>
            <w:pPr>
              <w:spacing w:after="0"/>
              <w:rPr>
                <w:sz w:val="1"/>
                <w:szCs w:val="1"/>
                <w:color w:val="auto"/>
              </w:rPr>
            </w:pPr>
          </w:p>
        </w:tc>
      </w:tr>
      <w:tr>
        <w:trPr>
          <w:trHeight w:val="138"/>
        </w:trPr>
        <w:tc>
          <w:tcPr>
            <w:tcW w:w="4240" w:type="dxa"/>
            <w:vAlign w:val="bottom"/>
            <w:tcBorders>
              <w:top w:val="single" w:sz="8" w:color="CCEEFF"/>
            </w:tcBorders>
            <w:shd w:val="clear" w:color="auto" w:fill="CCEEFF"/>
          </w:tcPr>
          <w:p>
            <w:pPr>
              <w:ind w:left="40"/>
              <w:spacing w:after="0" w:line="138" w:lineRule="exact"/>
              <w:rPr>
                <w:sz w:val="20"/>
                <w:szCs w:val="20"/>
                <w:color w:val="auto"/>
              </w:rPr>
            </w:pPr>
            <w:r>
              <w:rPr>
                <w:rFonts w:ascii="Times New Roman" w:cs="Times New Roman" w:eastAsia="Times New Roman" w:hAnsi="Times New Roman"/>
                <w:sz w:val="14"/>
                <w:szCs w:val="14"/>
                <w:color w:val="auto"/>
              </w:rPr>
              <w:t>Earnings (loss) from continuing operations, before equity in earnings</w:t>
            </w:r>
          </w:p>
        </w:tc>
        <w:tc>
          <w:tcPr>
            <w:tcW w:w="2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163</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173</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176</w:t>
            </w:r>
          </w:p>
        </w:tc>
        <w:tc>
          <w:tcPr>
            <w:tcW w:w="0" w:type="dxa"/>
            <w:vAlign w:val="bottom"/>
          </w:tcPr>
          <w:p>
            <w:pPr>
              <w:spacing w:after="0"/>
              <w:rPr>
                <w:sz w:val="1"/>
                <w:szCs w:val="1"/>
                <w:color w:val="auto"/>
              </w:rPr>
            </w:pPr>
          </w:p>
        </w:tc>
      </w:tr>
      <w:tr>
        <w:trPr>
          <w:trHeight w:val="198"/>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(loss) of unconsolidated affiliates</w:t>
            </w:r>
          </w:p>
        </w:tc>
        <w:tc>
          <w:tcPr>
            <w:tcW w:w="2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Equity in earnings (losses) of unconsolidated affiliates</w:t>
            </w:r>
          </w:p>
        </w:tc>
        <w:tc>
          <w:tcPr>
            <w:tcW w:w="200" w:type="dxa"/>
            <w:vAlign w:val="bottom"/>
          </w:tcPr>
          <w:p>
            <w:pPr>
              <w:spacing w:after="0"/>
              <w:rPr>
                <w:sz w:val="23"/>
                <w:szCs w:val="23"/>
                <w:color w:val="auto"/>
              </w:rPr>
            </w:pP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0" w:type="dxa"/>
            <w:vAlign w:val="bottom"/>
          </w:tcPr>
          <w:p>
            <w:pPr>
              <w:spacing w:after="0"/>
              <w:rPr>
                <w:sz w:val="1"/>
                <w:szCs w:val="1"/>
                <w:color w:val="auto"/>
              </w:rPr>
            </w:pPr>
          </w:p>
        </w:tc>
      </w:tr>
      <w:tr>
        <w:trPr>
          <w:trHeight w:val="242"/>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Earnings (loss) from continuing operations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169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8,812</w:t>
            </w:r>
          </w:p>
        </w:tc>
        <w:tc>
          <w:tcPr>
            <w:tcW w:w="120" w:type="dxa"/>
            <w:vAlign w:val="bottom"/>
          </w:tcPr>
          <w:p>
            <w:pPr>
              <w:spacing w:after="0"/>
              <w:rPr>
                <w:sz w:val="19"/>
                <w:szCs w:val="19"/>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3,712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477</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13,001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482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903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1,385</w:t>
            </w:r>
          </w:p>
        </w:tc>
        <w:tc>
          <w:tcPr>
            <w:tcW w:w="120" w:type="dxa"/>
            <w:vAlign w:val="bottom"/>
          </w:tcPr>
          <w:p>
            <w:pPr>
              <w:spacing w:after="0"/>
              <w:rPr>
                <w:sz w:val="19"/>
                <w:szCs w:val="19"/>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14,386</w:t>
            </w:r>
          </w:p>
        </w:tc>
        <w:tc>
          <w:tcPr>
            <w:tcW w:w="0" w:type="dxa"/>
            <w:vAlign w:val="bottom"/>
          </w:tcPr>
          <w:p>
            <w:pPr>
              <w:spacing w:after="0"/>
              <w:rPr>
                <w:sz w:val="1"/>
                <w:szCs w:val="1"/>
                <w:color w:val="auto"/>
              </w:rPr>
            </w:pPr>
          </w:p>
        </w:tc>
      </w:tr>
      <w:tr>
        <w:trPr>
          <w:trHeight w:val="275"/>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2,324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2,304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223</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4,851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196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5,047</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and for the three months ended September 30, 2015: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9"/>
              </w:rPr>
              <w:t>FNF Group</w:t>
            </w:r>
          </w:p>
        </w:tc>
        <w:tc>
          <w:tcPr>
            <w:tcW w:w="100" w:type="dxa"/>
            <w:vAlign w:val="bottom"/>
          </w:tcPr>
          <w:p>
            <w:pPr>
              <w:spacing w:after="0"/>
              <w:rPr>
                <w:sz w:val="12"/>
                <w:szCs w:val="12"/>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Total FNF</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6"/>
              </w:rPr>
              <w:t>FNFV</w:t>
            </w:r>
          </w:p>
        </w:tc>
        <w:tc>
          <w:tcPr>
            <w:tcW w:w="100" w:type="dxa"/>
            <w:vAlign w:val="bottom"/>
          </w:tcPr>
          <w:p>
            <w:pPr>
              <w:spacing w:after="0"/>
              <w:rPr>
                <w:sz w:val="12"/>
                <w:szCs w:val="12"/>
                <w:color w:val="auto"/>
              </w:rPr>
            </w:pPr>
          </w:p>
        </w:tc>
        <w:tc>
          <w:tcPr>
            <w:tcW w:w="5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center"/>
              <w:ind w:right="120"/>
              <w:spacing w:after="0" w:line="133" w:lineRule="exact"/>
              <w:rPr>
                <w:sz w:val="20"/>
                <w:szCs w:val="20"/>
                <w:color w:val="auto"/>
              </w:rPr>
            </w:pPr>
            <w:r>
              <w:rPr>
                <w:rFonts w:ascii="Times New Roman" w:cs="Times New Roman" w:eastAsia="Times New Roman" w:hAnsi="Times New Roman"/>
                <w:sz w:val="13"/>
                <w:szCs w:val="13"/>
                <w:color w:val="auto"/>
                <w:w w:val="97"/>
              </w:rPr>
              <w:t>Corporate and</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3"/>
                <w:szCs w:val="13"/>
                <w:color w:val="auto"/>
                <w:w w:val="97"/>
              </w:rPr>
              <w:t>Restaurant</w:t>
            </w:r>
          </w:p>
        </w:tc>
        <w:tc>
          <w:tcPr>
            <w:tcW w:w="140" w:type="dxa"/>
            <w:vAlign w:val="bottom"/>
          </w:tcPr>
          <w:p>
            <w:pPr>
              <w:spacing w:after="0"/>
              <w:rPr>
                <w:sz w:val="11"/>
                <w:szCs w:val="11"/>
                <w:color w:val="auto"/>
              </w:rPr>
            </w:pPr>
          </w:p>
        </w:tc>
        <w:tc>
          <w:tcPr>
            <w:tcW w:w="86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3"/>
                <w:szCs w:val="13"/>
                <w:color w:val="auto"/>
                <w:w w:val="99"/>
              </w:rPr>
              <w:t>Corporate</w:t>
            </w:r>
          </w:p>
        </w:tc>
        <w:tc>
          <w:tcPr>
            <w:tcW w:w="10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color w:val="auto"/>
              </w:rPr>
              <w:t>Title</w:t>
            </w:r>
          </w:p>
        </w:tc>
        <w:tc>
          <w:tcPr>
            <w:tcW w:w="9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color w:val="auto"/>
              </w:rPr>
              <w:t>Black Knight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4"/>
              </w:rPr>
              <w:t>Other</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Group</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6"/>
              </w:rPr>
              <w:t>Group</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6"/>
              </w:rPr>
              <w:t>and Other</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FNFV</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Title premiums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1,171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1,171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1,171</w:t>
            </w:r>
          </w:p>
        </w:tc>
        <w:tc>
          <w:tcPr>
            <w:tcW w:w="0" w:type="dxa"/>
            <w:vAlign w:val="bottom"/>
          </w:tcPr>
          <w:p>
            <w:pPr>
              <w:spacing w:after="0"/>
              <w:rPr>
                <w:sz w:val="1"/>
                <w:szCs w:val="1"/>
                <w:color w:val="auto"/>
              </w:rPr>
            </w:pPr>
          </w:p>
        </w:tc>
      </w:tr>
      <w:tr>
        <w:trPr>
          <w:trHeight w:val="265"/>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revenues</w:t>
            </w:r>
          </w:p>
        </w:tc>
        <w:tc>
          <w:tcPr>
            <w:tcW w:w="200" w:type="dxa"/>
            <w:vAlign w:val="bottom"/>
          </w:tcPr>
          <w:p>
            <w:pPr>
              <w:spacing w:after="0"/>
              <w:rPr>
                <w:sz w:val="23"/>
                <w:szCs w:val="23"/>
                <w:color w:val="auto"/>
              </w:rPr>
            </w:pP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537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52</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852</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Restaurant revenues</w:t>
            </w: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349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349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349</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1,708</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52</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1,994</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349</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378</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2,372</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and investment income, including realized gains and losses</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Total revenues</w:t>
            </w:r>
          </w:p>
        </w:tc>
        <w:tc>
          <w:tcPr>
            <w:tcW w:w="20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1,738</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234</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51</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338</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369</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2,392</w:t>
            </w:r>
          </w:p>
        </w:tc>
        <w:tc>
          <w:tcPr>
            <w:tcW w:w="0" w:type="dxa"/>
            <w:vAlign w:val="bottom"/>
          </w:tcPr>
          <w:p>
            <w:pPr>
              <w:spacing w:after="0"/>
              <w:rPr>
                <w:sz w:val="1"/>
                <w:szCs w:val="1"/>
                <w:color w:val="auto"/>
              </w:rPr>
            </w:pPr>
          </w:p>
        </w:tc>
      </w:tr>
      <w:tr>
        <w:trPr>
          <w:trHeight w:val="255"/>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102</w:t>
            </w:r>
          </w:p>
        </w:tc>
        <w:tc>
          <w:tcPr>
            <w:tcW w:w="0" w:type="dxa"/>
            <w:vAlign w:val="bottom"/>
          </w:tcPr>
          <w:p>
            <w:pPr>
              <w:spacing w:after="0"/>
              <w:rPr>
                <w:sz w:val="1"/>
                <w:szCs w:val="1"/>
                <w:color w:val="auto"/>
              </w:rPr>
            </w:pPr>
          </w:p>
        </w:tc>
      </w:tr>
      <w:tr>
        <w:trPr>
          <w:trHeight w:val="265"/>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34</w:t>
            </w:r>
          </w:p>
        </w:tc>
        <w:tc>
          <w:tcPr>
            <w:tcW w:w="0" w:type="dxa"/>
            <w:vAlign w:val="bottom"/>
          </w:tcPr>
          <w:p>
            <w:pPr>
              <w:spacing w:after="0"/>
              <w:rPr>
                <w:sz w:val="1"/>
                <w:szCs w:val="1"/>
                <w:color w:val="auto"/>
              </w:rPr>
            </w:pPr>
          </w:p>
        </w:tc>
      </w:tr>
      <w:tr>
        <w:trPr>
          <w:trHeight w:val="158"/>
        </w:trPr>
        <w:tc>
          <w:tcPr>
            <w:tcW w:w="424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Earnings (loss) from continuing operations, before income taxes and</w:t>
            </w:r>
          </w:p>
        </w:tc>
        <w:tc>
          <w:tcPr>
            <w:tcW w:w="2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239</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254</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238</w:t>
            </w:r>
          </w:p>
        </w:tc>
        <w:tc>
          <w:tcPr>
            <w:tcW w:w="0" w:type="dxa"/>
            <w:vAlign w:val="bottom"/>
          </w:tcPr>
          <w:p>
            <w:pPr>
              <w:spacing w:after="0"/>
              <w:rPr>
                <w:sz w:val="1"/>
                <w:szCs w:val="1"/>
                <w:color w:val="auto"/>
              </w:rPr>
            </w:pPr>
          </w:p>
        </w:tc>
      </w:tr>
      <w:tr>
        <w:trPr>
          <w:trHeight w:val="198"/>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00" w:type="dxa"/>
            <w:vAlign w:val="bottom"/>
          </w:tcPr>
          <w:p>
            <w:pPr>
              <w:spacing w:after="0"/>
              <w:rPr>
                <w:sz w:val="23"/>
                <w:szCs w:val="23"/>
                <w:color w:val="auto"/>
              </w:rPr>
            </w:pP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95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81</w:t>
            </w:r>
          </w:p>
        </w:tc>
        <w:tc>
          <w:tcPr>
            <w:tcW w:w="0" w:type="dxa"/>
            <w:vAlign w:val="bottom"/>
          </w:tcPr>
          <w:p>
            <w:pPr>
              <w:spacing w:after="0"/>
              <w:rPr>
                <w:sz w:val="1"/>
                <w:szCs w:val="1"/>
                <w:color w:val="auto"/>
              </w:rPr>
            </w:pPr>
          </w:p>
        </w:tc>
      </w:tr>
      <w:tr>
        <w:trPr>
          <w:trHeight w:val="138"/>
        </w:trPr>
        <w:tc>
          <w:tcPr>
            <w:tcW w:w="4240" w:type="dxa"/>
            <w:vAlign w:val="bottom"/>
            <w:tcBorders>
              <w:top w:val="single" w:sz="8" w:color="CCEEFF"/>
            </w:tcBorders>
            <w:shd w:val="clear" w:color="auto" w:fill="CCEEFF"/>
          </w:tcPr>
          <w:p>
            <w:pPr>
              <w:ind w:left="40"/>
              <w:spacing w:after="0" w:line="138" w:lineRule="exact"/>
              <w:rPr>
                <w:sz w:val="20"/>
                <w:szCs w:val="20"/>
                <w:color w:val="auto"/>
              </w:rPr>
            </w:pPr>
            <w:r>
              <w:rPr>
                <w:rFonts w:ascii="Times New Roman" w:cs="Times New Roman" w:eastAsia="Times New Roman" w:hAnsi="Times New Roman"/>
                <w:sz w:val="14"/>
                <w:szCs w:val="14"/>
                <w:color w:val="auto"/>
              </w:rPr>
              <w:t>Earnings (loss) from continuing operations, before equity in earnings of</w:t>
            </w:r>
          </w:p>
        </w:tc>
        <w:tc>
          <w:tcPr>
            <w:tcW w:w="2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159</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157</w:t>
            </w:r>
          </w:p>
        </w:tc>
        <w:tc>
          <w:tcPr>
            <w:tcW w:w="0" w:type="dxa"/>
            <w:vAlign w:val="bottom"/>
          </w:tcPr>
          <w:p>
            <w:pPr>
              <w:spacing w:after="0"/>
              <w:rPr>
                <w:sz w:val="1"/>
                <w:szCs w:val="1"/>
                <w:color w:val="auto"/>
              </w:rPr>
            </w:pPr>
          </w:p>
        </w:tc>
      </w:tr>
      <w:tr>
        <w:trPr>
          <w:trHeight w:val="198"/>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unconsolidated affiliates</w:t>
            </w:r>
          </w:p>
        </w:tc>
        <w:tc>
          <w:tcPr>
            <w:tcW w:w="2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Equity in earnings (loss) of unconsolidated affiliates</w:t>
            </w:r>
          </w:p>
        </w:tc>
        <w:tc>
          <w:tcPr>
            <w:tcW w:w="200" w:type="dxa"/>
            <w:vAlign w:val="bottom"/>
          </w:tcPr>
          <w:p>
            <w:pPr>
              <w:spacing w:after="0"/>
              <w:rPr>
                <w:sz w:val="23"/>
                <w:szCs w:val="23"/>
                <w:color w:val="auto"/>
              </w:rPr>
            </w:pP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w:t>
            </w:r>
          </w:p>
        </w:tc>
        <w:tc>
          <w:tcPr>
            <w:tcW w:w="0" w:type="dxa"/>
            <w:vAlign w:val="bottom"/>
          </w:tcPr>
          <w:p>
            <w:pPr>
              <w:spacing w:after="0"/>
              <w:rPr>
                <w:sz w:val="1"/>
                <w:szCs w:val="1"/>
                <w:color w:val="auto"/>
              </w:rPr>
            </w:pPr>
          </w:p>
        </w:tc>
      </w:tr>
      <w:tr>
        <w:trPr>
          <w:trHeight w:val="242"/>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Earnings (loss) from continuing operations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138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8,517</w:t>
            </w:r>
          </w:p>
        </w:tc>
        <w:tc>
          <w:tcPr>
            <w:tcW w:w="120" w:type="dxa"/>
            <w:vAlign w:val="bottom"/>
          </w:tcPr>
          <w:p>
            <w:pPr>
              <w:spacing w:after="0"/>
              <w:rPr>
                <w:sz w:val="19"/>
                <w:szCs w:val="19"/>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3,682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350</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12,549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501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986</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1,487</w:t>
            </w:r>
          </w:p>
        </w:tc>
        <w:tc>
          <w:tcPr>
            <w:tcW w:w="120" w:type="dxa"/>
            <w:vAlign w:val="bottom"/>
          </w:tcPr>
          <w:p>
            <w:pPr>
              <w:spacing w:after="0"/>
              <w:rPr>
                <w:sz w:val="19"/>
                <w:szCs w:val="19"/>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14,036</w:t>
            </w:r>
          </w:p>
        </w:tc>
        <w:tc>
          <w:tcPr>
            <w:tcW w:w="0" w:type="dxa"/>
            <w:vAlign w:val="bottom"/>
          </w:tcPr>
          <w:p>
            <w:pPr>
              <w:spacing w:after="0"/>
              <w:rPr>
                <w:sz w:val="1"/>
                <w:szCs w:val="1"/>
                <w:color w:val="auto"/>
              </w:rPr>
            </w:pPr>
          </w:p>
        </w:tc>
      </w:tr>
      <w:tr>
        <w:trPr>
          <w:trHeight w:val="275"/>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2,280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2,224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39</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4,543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188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4,731</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7"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and for the nine months ended September 30, 2016: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9"/>
              </w:rPr>
              <w:t>FNF Group</w:t>
            </w:r>
          </w:p>
        </w:tc>
        <w:tc>
          <w:tcPr>
            <w:tcW w:w="100" w:type="dxa"/>
            <w:vAlign w:val="bottom"/>
          </w:tcPr>
          <w:p>
            <w:pPr>
              <w:spacing w:after="0"/>
              <w:rPr>
                <w:sz w:val="12"/>
                <w:szCs w:val="12"/>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Total FNF</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6"/>
              </w:rPr>
              <w:t>FNFV</w:t>
            </w:r>
          </w:p>
        </w:tc>
        <w:tc>
          <w:tcPr>
            <w:tcW w:w="140" w:type="dxa"/>
            <w:vAlign w:val="bottom"/>
          </w:tcPr>
          <w:p>
            <w:pPr>
              <w:spacing w:after="0"/>
              <w:rPr>
                <w:sz w:val="12"/>
                <w:szCs w:val="12"/>
                <w:color w:val="auto"/>
              </w:rPr>
            </w:pPr>
          </w:p>
        </w:tc>
        <w:tc>
          <w:tcPr>
            <w:tcW w:w="6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center"/>
              <w:ind w:right="120"/>
              <w:spacing w:after="0" w:line="133" w:lineRule="exact"/>
              <w:rPr>
                <w:sz w:val="20"/>
                <w:szCs w:val="20"/>
                <w:color w:val="auto"/>
              </w:rPr>
            </w:pPr>
            <w:r>
              <w:rPr>
                <w:rFonts w:ascii="Times New Roman" w:cs="Times New Roman" w:eastAsia="Times New Roman" w:hAnsi="Times New Roman"/>
                <w:sz w:val="13"/>
                <w:szCs w:val="13"/>
                <w:color w:val="auto"/>
                <w:w w:val="97"/>
              </w:rPr>
              <w:t>Corporate and</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3"/>
                <w:szCs w:val="13"/>
                <w:color w:val="auto"/>
                <w:w w:val="97"/>
              </w:rPr>
              <w:t>Restaurant</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3"/>
                <w:szCs w:val="13"/>
                <w:color w:val="auto"/>
                <w:w w:val="96"/>
              </w:rPr>
              <w:t>Corporate</w:t>
            </w: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color w:val="auto"/>
              </w:rPr>
              <w:t>Title</w:t>
            </w:r>
          </w:p>
        </w:tc>
        <w:tc>
          <w:tcPr>
            <w:tcW w:w="9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color w:val="auto"/>
              </w:rPr>
              <w:t>Black Knight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4"/>
              </w:rPr>
              <w:t>Other</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Group</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6"/>
              </w:rPr>
              <w:t>Group</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6"/>
              </w:rPr>
              <w:t>and Other</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FNFV</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1"/>
        </w:trPr>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Title premiums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3,452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3,452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3,452</w:t>
            </w:r>
          </w:p>
        </w:tc>
        <w:tc>
          <w:tcPr>
            <w:tcW w:w="0" w:type="dxa"/>
            <w:vAlign w:val="bottom"/>
          </w:tcPr>
          <w:p>
            <w:pPr>
              <w:spacing w:after="0"/>
              <w:rPr>
                <w:sz w:val="1"/>
                <w:szCs w:val="1"/>
                <w:color w:val="auto"/>
              </w:rPr>
            </w:pPr>
          </w:p>
        </w:tc>
      </w:tr>
      <w:tr>
        <w:trPr>
          <w:trHeight w:val="265"/>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revenues</w:t>
            </w:r>
          </w:p>
        </w:tc>
        <w:tc>
          <w:tcPr>
            <w:tcW w:w="200" w:type="dxa"/>
            <w:vAlign w:val="bottom"/>
          </w:tcPr>
          <w:p>
            <w:pPr>
              <w:spacing w:after="0"/>
              <w:rPr>
                <w:sz w:val="23"/>
                <w:szCs w:val="23"/>
                <w:color w:val="auto"/>
              </w:rPr>
            </w:pP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1,587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160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2,512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2,636</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Restaurant revenues</w:t>
            </w: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858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858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858</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5,039</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765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160</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5,964</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858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982</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6,946</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and investment income, including realized gains and losses</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87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101</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Total revenues</w:t>
            </w:r>
          </w:p>
        </w:tc>
        <w:tc>
          <w:tcPr>
            <w:tcW w:w="20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5,134</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765</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152</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6,051</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854</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996</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7,047</w:t>
            </w:r>
          </w:p>
        </w:tc>
        <w:tc>
          <w:tcPr>
            <w:tcW w:w="0" w:type="dxa"/>
            <w:vAlign w:val="bottom"/>
          </w:tcPr>
          <w:p>
            <w:pPr>
              <w:spacing w:after="0"/>
              <w:rPr>
                <w:sz w:val="1"/>
                <w:szCs w:val="1"/>
                <w:color w:val="auto"/>
              </w:rPr>
            </w:pPr>
          </w:p>
        </w:tc>
      </w:tr>
      <w:tr>
        <w:trPr>
          <w:trHeight w:val="255"/>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270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315</w:t>
            </w:r>
          </w:p>
        </w:tc>
        <w:tc>
          <w:tcPr>
            <w:tcW w:w="0" w:type="dxa"/>
            <w:vAlign w:val="bottom"/>
          </w:tcPr>
          <w:p>
            <w:pPr>
              <w:spacing w:after="0"/>
              <w:rPr>
                <w:sz w:val="1"/>
                <w:szCs w:val="1"/>
                <w:color w:val="auto"/>
              </w:rPr>
            </w:pPr>
          </w:p>
        </w:tc>
      </w:tr>
      <w:tr>
        <w:trPr>
          <w:trHeight w:val="265"/>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46</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94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102</w:t>
            </w:r>
          </w:p>
        </w:tc>
        <w:tc>
          <w:tcPr>
            <w:tcW w:w="0" w:type="dxa"/>
            <w:vAlign w:val="bottom"/>
          </w:tcPr>
          <w:p>
            <w:pPr>
              <w:spacing w:after="0"/>
              <w:rPr>
                <w:sz w:val="1"/>
                <w:szCs w:val="1"/>
                <w:color w:val="auto"/>
              </w:rPr>
            </w:pPr>
          </w:p>
        </w:tc>
      </w:tr>
      <w:tr>
        <w:trPr>
          <w:trHeight w:val="158"/>
        </w:trPr>
        <w:tc>
          <w:tcPr>
            <w:tcW w:w="424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Earnings (loss) from continuing operations, before income taxes and</w:t>
            </w:r>
          </w:p>
        </w:tc>
        <w:tc>
          <w:tcPr>
            <w:tcW w:w="2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665</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694</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16</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710</w:t>
            </w:r>
          </w:p>
        </w:tc>
        <w:tc>
          <w:tcPr>
            <w:tcW w:w="0" w:type="dxa"/>
            <w:vAlign w:val="bottom"/>
          </w:tcPr>
          <w:p>
            <w:pPr>
              <w:spacing w:after="0"/>
              <w:rPr>
                <w:sz w:val="1"/>
                <w:szCs w:val="1"/>
                <w:color w:val="auto"/>
              </w:rPr>
            </w:pPr>
          </w:p>
        </w:tc>
      </w:tr>
      <w:tr>
        <w:trPr>
          <w:trHeight w:val="198"/>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 in earnings (loss) of unconsolidated affiliates</w:t>
            </w:r>
          </w:p>
        </w:tc>
        <w:tc>
          <w:tcPr>
            <w:tcW w:w="2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00" w:type="dxa"/>
            <w:vAlign w:val="bottom"/>
          </w:tcPr>
          <w:p>
            <w:pPr>
              <w:spacing w:after="0"/>
              <w:rPr>
                <w:sz w:val="23"/>
                <w:szCs w:val="23"/>
                <w:color w:val="auto"/>
              </w:rPr>
            </w:pP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251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245</w:t>
            </w:r>
          </w:p>
        </w:tc>
        <w:tc>
          <w:tcPr>
            <w:tcW w:w="0" w:type="dxa"/>
            <w:vAlign w:val="bottom"/>
          </w:tcPr>
          <w:p>
            <w:pPr>
              <w:spacing w:after="0"/>
              <w:rPr>
                <w:sz w:val="1"/>
                <w:szCs w:val="1"/>
                <w:color w:val="auto"/>
              </w:rPr>
            </w:pPr>
          </w:p>
        </w:tc>
      </w:tr>
      <w:tr>
        <w:trPr>
          <w:trHeight w:val="138"/>
        </w:trPr>
        <w:tc>
          <w:tcPr>
            <w:tcW w:w="4240" w:type="dxa"/>
            <w:vAlign w:val="bottom"/>
            <w:tcBorders>
              <w:top w:val="single" w:sz="8" w:color="CCEEFF"/>
            </w:tcBorders>
            <w:shd w:val="clear" w:color="auto" w:fill="CCEEFF"/>
          </w:tcPr>
          <w:p>
            <w:pPr>
              <w:ind w:left="40"/>
              <w:spacing w:after="0" w:line="138" w:lineRule="exact"/>
              <w:rPr>
                <w:sz w:val="20"/>
                <w:szCs w:val="20"/>
                <w:color w:val="auto"/>
              </w:rPr>
            </w:pPr>
            <w:r>
              <w:rPr>
                <w:rFonts w:ascii="Times New Roman" w:cs="Times New Roman" w:eastAsia="Times New Roman" w:hAnsi="Times New Roman"/>
                <w:sz w:val="14"/>
                <w:szCs w:val="14"/>
                <w:color w:val="auto"/>
              </w:rPr>
              <w:t>Earnings (loss) from continuing operations, before equity in earnings</w:t>
            </w:r>
          </w:p>
        </w:tc>
        <w:tc>
          <w:tcPr>
            <w:tcW w:w="2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414</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444</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21</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465</w:t>
            </w:r>
          </w:p>
        </w:tc>
        <w:tc>
          <w:tcPr>
            <w:tcW w:w="0" w:type="dxa"/>
            <w:vAlign w:val="bottom"/>
          </w:tcPr>
          <w:p>
            <w:pPr>
              <w:spacing w:after="0"/>
              <w:rPr>
                <w:sz w:val="1"/>
                <w:szCs w:val="1"/>
                <w:color w:val="auto"/>
              </w:rPr>
            </w:pPr>
          </w:p>
        </w:tc>
      </w:tr>
      <w:tr>
        <w:trPr>
          <w:trHeight w:val="198"/>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(loss) of unconsolidated affiliates</w:t>
            </w:r>
          </w:p>
        </w:tc>
        <w:tc>
          <w:tcPr>
            <w:tcW w:w="2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Equity in earnings (losses) of unconsolidated affiliates</w:t>
            </w:r>
          </w:p>
        </w:tc>
        <w:tc>
          <w:tcPr>
            <w:tcW w:w="200" w:type="dxa"/>
            <w:vAlign w:val="bottom"/>
          </w:tcPr>
          <w:p>
            <w:pPr>
              <w:spacing w:after="0"/>
              <w:rPr>
                <w:sz w:val="23"/>
                <w:szCs w:val="23"/>
                <w:color w:val="auto"/>
              </w:rPr>
            </w:pP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0" w:type="dxa"/>
            <w:vAlign w:val="bottom"/>
          </w:tcPr>
          <w:p>
            <w:pPr>
              <w:spacing w:after="0"/>
              <w:rPr>
                <w:sz w:val="1"/>
                <w:szCs w:val="1"/>
                <w:color w:val="auto"/>
              </w:rPr>
            </w:pPr>
          </w:p>
        </w:tc>
      </w:tr>
      <w:tr>
        <w:trPr>
          <w:trHeight w:val="242"/>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Earnings (loss) from continuing operations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454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459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8,812</w:t>
            </w:r>
          </w:p>
        </w:tc>
        <w:tc>
          <w:tcPr>
            <w:tcW w:w="120" w:type="dxa"/>
            <w:vAlign w:val="bottom"/>
          </w:tcPr>
          <w:p>
            <w:pPr>
              <w:spacing w:after="0"/>
              <w:rPr>
                <w:sz w:val="19"/>
                <w:szCs w:val="19"/>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3,712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477</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13,001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482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903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1,385</w:t>
            </w:r>
          </w:p>
        </w:tc>
        <w:tc>
          <w:tcPr>
            <w:tcW w:w="120" w:type="dxa"/>
            <w:vAlign w:val="bottom"/>
          </w:tcPr>
          <w:p>
            <w:pPr>
              <w:spacing w:after="0"/>
              <w:rPr>
                <w:sz w:val="19"/>
                <w:szCs w:val="19"/>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14,386</w:t>
            </w:r>
          </w:p>
        </w:tc>
        <w:tc>
          <w:tcPr>
            <w:tcW w:w="0" w:type="dxa"/>
            <w:vAlign w:val="bottom"/>
          </w:tcPr>
          <w:p>
            <w:pPr>
              <w:spacing w:after="0"/>
              <w:rPr>
                <w:sz w:val="1"/>
                <w:szCs w:val="1"/>
                <w:color w:val="auto"/>
              </w:rPr>
            </w:pPr>
          </w:p>
        </w:tc>
      </w:tr>
      <w:tr>
        <w:trPr>
          <w:trHeight w:val="275"/>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2,324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2,304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223</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4,851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196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5,047</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and for the nine months ended September 30, 2015: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9"/>
              </w:rPr>
              <w:t>FNF Group</w:t>
            </w:r>
          </w:p>
        </w:tc>
        <w:tc>
          <w:tcPr>
            <w:tcW w:w="100" w:type="dxa"/>
            <w:vAlign w:val="bottom"/>
          </w:tcPr>
          <w:p>
            <w:pPr>
              <w:spacing w:after="0"/>
              <w:rPr>
                <w:sz w:val="12"/>
                <w:szCs w:val="12"/>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Total FNF</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6"/>
              </w:rPr>
              <w:t>FNFV</w:t>
            </w:r>
          </w:p>
        </w:tc>
        <w:tc>
          <w:tcPr>
            <w:tcW w:w="100" w:type="dxa"/>
            <w:vAlign w:val="bottom"/>
          </w:tcPr>
          <w:p>
            <w:pPr>
              <w:spacing w:after="0"/>
              <w:rPr>
                <w:sz w:val="12"/>
                <w:szCs w:val="12"/>
                <w:color w:val="auto"/>
              </w:rPr>
            </w:pPr>
          </w:p>
        </w:tc>
        <w:tc>
          <w:tcPr>
            <w:tcW w:w="5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center"/>
              <w:ind w:right="120"/>
              <w:spacing w:after="0" w:line="133" w:lineRule="exact"/>
              <w:rPr>
                <w:sz w:val="20"/>
                <w:szCs w:val="20"/>
                <w:color w:val="auto"/>
              </w:rPr>
            </w:pPr>
            <w:r>
              <w:rPr>
                <w:rFonts w:ascii="Times New Roman" w:cs="Times New Roman" w:eastAsia="Times New Roman" w:hAnsi="Times New Roman"/>
                <w:sz w:val="13"/>
                <w:szCs w:val="13"/>
                <w:color w:val="auto"/>
                <w:w w:val="97"/>
              </w:rPr>
              <w:t>Corporate and</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3"/>
                <w:szCs w:val="13"/>
                <w:color w:val="auto"/>
                <w:w w:val="97"/>
              </w:rPr>
              <w:t>Restaurant</w:t>
            </w:r>
          </w:p>
        </w:tc>
        <w:tc>
          <w:tcPr>
            <w:tcW w:w="140" w:type="dxa"/>
            <w:vAlign w:val="bottom"/>
          </w:tcPr>
          <w:p>
            <w:pPr>
              <w:spacing w:after="0"/>
              <w:rPr>
                <w:sz w:val="11"/>
                <w:szCs w:val="11"/>
                <w:color w:val="auto"/>
              </w:rPr>
            </w:pPr>
          </w:p>
        </w:tc>
        <w:tc>
          <w:tcPr>
            <w:tcW w:w="86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3"/>
                <w:szCs w:val="13"/>
                <w:color w:val="auto"/>
                <w:w w:val="99"/>
              </w:rPr>
              <w:t>Corporate</w:t>
            </w:r>
          </w:p>
        </w:tc>
        <w:tc>
          <w:tcPr>
            <w:tcW w:w="10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color w:val="auto"/>
              </w:rPr>
              <w:t>Title</w:t>
            </w:r>
          </w:p>
        </w:tc>
        <w:tc>
          <w:tcPr>
            <w:tcW w:w="9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color w:val="auto"/>
              </w:rPr>
              <w:t>Black Knight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4"/>
              </w:rPr>
              <w:t>Other</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Group</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6"/>
              </w:rPr>
              <w:t>Group</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6"/>
              </w:rPr>
              <w:t>and Other</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FNFV</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Title premiums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3,173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3,173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3,173</w:t>
            </w:r>
          </w:p>
        </w:tc>
        <w:tc>
          <w:tcPr>
            <w:tcW w:w="0" w:type="dxa"/>
            <w:vAlign w:val="bottom"/>
          </w:tcPr>
          <w:p>
            <w:pPr>
              <w:spacing w:after="0"/>
              <w:rPr>
                <w:sz w:val="1"/>
                <w:szCs w:val="1"/>
                <w:color w:val="auto"/>
              </w:rPr>
            </w:pPr>
          </w:p>
        </w:tc>
      </w:tr>
      <w:tr>
        <w:trPr>
          <w:trHeight w:val="265"/>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revenues</w:t>
            </w:r>
          </w:p>
        </w:tc>
        <w:tc>
          <w:tcPr>
            <w:tcW w:w="200" w:type="dxa"/>
            <w:vAlign w:val="bottom"/>
          </w:tcPr>
          <w:p>
            <w:pPr>
              <w:spacing w:after="0"/>
              <w:rPr>
                <w:sz w:val="23"/>
                <w:szCs w:val="23"/>
                <w:color w:val="auto"/>
              </w:rPr>
            </w:pP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1,522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130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2,345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172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172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2,517</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Restaurant revenues</w:t>
            </w: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1,084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1,084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1,084</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4,695</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693</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130</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5,518</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1,084</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172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1,256</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6,774</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and investment income, including realized gains and losses</w:t>
            </w: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74</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Total revenues</w:t>
            </w: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4,787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688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126</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5,601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1,073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174</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1,247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6,848</w:t>
            </w:r>
          </w:p>
        </w:tc>
        <w:tc>
          <w:tcPr>
            <w:tcW w:w="0" w:type="dxa"/>
            <w:vAlign w:val="bottom"/>
          </w:tcPr>
          <w:p>
            <w:pPr>
              <w:spacing w:after="0"/>
              <w:rPr>
                <w:sz w:val="1"/>
                <w:szCs w:val="1"/>
                <w:color w:val="auto"/>
              </w:rPr>
            </w:pPr>
          </w:p>
        </w:tc>
      </w:tr>
      <w:tr>
        <w:trPr>
          <w:trHeight w:val="255"/>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255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51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306</w:t>
            </w:r>
          </w:p>
        </w:tc>
        <w:tc>
          <w:tcPr>
            <w:tcW w:w="0" w:type="dxa"/>
            <w:vAlign w:val="bottom"/>
          </w:tcPr>
          <w:p>
            <w:pPr>
              <w:spacing w:after="0"/>
              <w:rPr>
                <w:sz w:val="1"/>
                <w:szCs w:val="1"/>
                <w:color w:val="auto"/>
              </w:rPr>
            </w:pPr>
          </w:p>
        </w:tc>
      </w:tr>
      <w:tr>
        <w:trPr>
          <w:trHeight w:val="265"/>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56</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97</w:t>
            </w:r>
          </w:p>
        </w:tc>
        <w:tc>
          <w:tcPr>
            <w:tcW w:w="0" w:type="dxa"/>
            <w:vAlign w:val="bottom"/>
          </w:tcPr>
          <w:p>
            <w:pPr>
              <w:spacing w:after="0"/>
              <w:rPr>
                <w:sz w:val="1"/>
                <w:szCs w:val="1"/>
                <w:color w:val="auto"/>
              </w:rPr>
            </w:pPr>
          </w:p>
        </w:tc>
      </w:tr>
      <w:tr>
        <w:trPr>
          <w:trHeight w:val="158"/>
        </w:trPr>
        <w:tc>
          <w:tcPr>
            <w:tcW w:w="424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Earnings (loss) from continuing operations, before income taxes and</w:t>
            </w:r>
          </w:p>
        </w:tc>
        <w:tc>
          <w:tcPr>
            <w:tcW w:w="2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620</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636</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7</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643</w:t>
            </w:r>
          </w:p>
        </w:tc>
        <w:tc>
          <w:tcPr>
            <w:tcW w:w="0" w:type="dxa"/>
            <w:vAlign w:val="bottom"/>
          </w:tcPr>
          <w:p>
            <w:pPr>
              <w:spacing w:after="0"/>
              <w:rPr>
                <w:sz w:val="1"/>
                <w:szCs w:val="1"/>
                <w:color w:val="auto"/>
              </w:rPr>
            </w:pPr>
          </w:p>
        </w:tc>
      </w:tr>
      <w:tr>
        <w:trPr>
          <w:trHeight w:val="198"/>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00" w:type="dxa"/>
            <w:vAlign w:val="bottom"/>
          </w:tcPr>
          <w:p>
            <w:pPr>
              <w:spacing w:after="0"/>
              <w:rPr>
                <w:sz w:val="23"/>
                <w:szCs w:val="23"/>
                <w:color w:val="auto"/>
              </w:rPr>
            </w:pP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226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219</w:t>
            </w:r>
          </w:p>
        </w:tc>
        <w:tc>
          <w:tcPr>
            <w:tcW w:w="0" w:type="dxa"/>
            <w:vAlign w:val="bottom"/>
          </w:tcPr>
          <w:p>
            <w:pPr>
              <w:spacing w:after="0"/>
              <w:rPr>
                <w:sz w:val="1"/>
                <w:szCs w:val="1"/>
                <w:color w:val="auto"/>
              </w:rPr>
            </w:pPr>
          </w:p>
        </w:tc>
      </w:tr>
      <w:tr>
        <w:trPr>
          <w:trHeight w:val="138"/>
        </w:trPr>
        <w:tc>
          <w:tcPr>
            <w:tcW w:w="4240" w:type="dxa"/>
            <w:vAlign w:val="bottom"/>
            <w:tcBorders>
              <w:top w:val="single" w:sz="8" w:color="CCEEFF"/>
            </w:tcBorders>
            <w:shd w:val="clear" w:color="auto" w:fill="CCEEFF"/>
          </w:tcPr>
          <w:p>
            <w:pPr>
              <w:ind w:left="40"/>
              <w:spacing w:after="0" w:line="138" w:lineRule="exact"/>
              <w:rPr>
                <w:sz w:val="20"/>
                <w:szCs w:val="20"/>
                <w:color w:val="auto"/>
              </w:rPr>
            </w:pPr>
            <w:r>
              <w:rPr>
                <w:rFonts w:ascii="Times New Roman" w:cs="Times New Roman" w:eastAsia="Times New Roman" w:hAnsi="Times New Roman"/>
                <w:sz w:val="14"/>
                <w:szCs w:val="14"/>
                <w:color w:val="auto"/>
              </w:rPr>
              <w:t>Earnings (loss) from continuing operations, before equity in earnings of</w:t>
            </w:r>
          </w:p>
        </w:tc>
        <w:tc>
          <w:tcPr>
            <w:tcW w:w="2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394</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399</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25</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424</w:t>
            </w:r>
          </w:p>
        </w:tc>
        <w:tc>
          <w:tcPr>
            <w:tcW w:w="0" w:type="dxa"/>
            <w:vAlign w:val="bottom"/>
          </w:tcPr>
          <w:p>
            <w:pPr>
              <w:spacing w:after="0"/>
              <w:rPr>
                <w:sz w:val="1"/>
                <w:szCs w:val="1"/>
                <w:color w:val="auto"/>
              </w:rPr>
            </w:pPr>
          </w:p>
        </w:tc>
      </w:tr>
      <w:tr>
        <w:trPr>
          <w:trHeight w:val="198"/>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unconsolidated affiliates</w:t>
            </w:r>
          </w:p>
        </w:tc>
        <w:tc>
          <w:tcPr>
            <w:tcW w:w="2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00" w:type="dxa"/>
            <w:vAlign w:val="bottom"/>
          </w:tcPr>
          <w:p>
            <w:pPr>
              <w:spacing w:after="0"/>
              <w:rPr>
                <w:sz w:val="23"/>
                <w:szCs w:val="23"/>
                <w:color w:val="auto"/>
              </w:rPr>
            </w:pP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w:t>
            </w:r>
          </w:p>
        </w:tc>
        <w:tc>
          <w:tcPr>
            <w:tcW w:w="0" w:type="dxa"/>
            <w:vAlign w:val="bottom"/>
          </w:tcPr>
          <w:p>
            <w:pPr>
              <w:spacing w:after="0"/>
              <w:rPr>
                <w:sz w:val="1"/>
                <w:szCs w:val="1"/>
                <w:color w:val="auto"/>
              </w:rPr>
            </w:pPr>
          </w:p>
        </w:tc>
      </w:tr>
      <w:tr>
        <w:trPr>
          <w:trHeight w:val="242"/>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Earnings (loss) from continuing operations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408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8,517</w:t>
            </w:r>
          </w:p>
        </w:tc>
        <w:tc>
          <w:tcPr>
            <w:tcW w:w="120" w:type="dxa"/>
            <w:vAlign w:val="bottom"/>
          </w:tcPr>
          <w:p>
            <w:pPr>
              <w:spacing w:after="0"/>
              <w:rPr>
                <w:sz w:val="19"/>
                <w:szCs w:val="19"/>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3,682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350</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12,549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501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986</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1,487</w:t>
            </w:r>
          </w:p>
        </w:tc>
        <w:tc>
          <w:tcPr>
            <w:tcW w:w="120" w:type="dxa"/>
            <w:vAlign w:val="bottom"/>
          </w:tcPr>
          <w:p>
            <w:pPr>
              <w:spacing w:after="0"/>
              <w:rPr>
                <w:sz w:val="19"/>
                <w:szCs w:val="19"/>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14,036</w:t>
            </w:r>
          </w:p>
        </w:tc>
        <w:tc>
          <w:tcPr>
            <w:tcW w:w="0" w:type="dxa"/>
            <w:vAlign w:val="bottom"/>
          </w:tcPr>
          <w:p>
            <w:pPr>
              <w:spacing w:after="0"/>
              <w:rPr>
                <w:sz w:val="1"/>
                <w:szCs w:val="1"/>
                <w:color w:val="auto"/>
              </w:rPr>
            </w:pPr>
          </w:p>
        </w:tc>
      </w:tr>
      <w:tr>
        <w:trPr>
          <w:trHeight w:val="275"/>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2,280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2,224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39</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4,543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188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4,731</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7"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activities of the reportable segments include the following:</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FNF Group</w:t>
      </w: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Title</w:t>
      </w:r>
    </w:p>
    <w:p>
      <w:pPr>
        <w:spacing w:after="0" w:line="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segment consists of the operations of our title insurance underwriters and related businesses. This segment provides core title insurance and escrow and other title-related services including trust activities, trustee sales guarantees, recordings and reconveyances, and home warranty insurance. This segment also includes our transaction services business, which includes other title-related services used in the production and management of mortgage loans, including mortgage loans that experience default.</w:t>
      </w:r>
    </w:p>
    <w:p>
      <w:pPr>
        <w:spacing w:after="0" w:line="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Black Knight</w:t>
      </w:r>
    </w:p>
    <w:p>
      <w:pPr>
        <w:spacing w:after="0" w:line="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segment consists of the operations of Black Knight, which, through leading software systems and information solutions, provides mission critical technology and data and analytics services that facilitate and automate many of the business processes across the life cycle of a mortgage.</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FNF Group Corporate and Other</w:t>
      </w:r>
    </w:p>
    <w:p>
      <w:pPr>
        <w:spacing w:after="0" w:line="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FNF Group Corporate and Other segment consists of the operations of the parent holding company, certain other unallocated corporate overhead expenses, and other real estate and insurance-related operations.</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FNFV</w:t>
      </w: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Restaurant Group</w:t>
      </w:r>
    </w:p>
    <w:p>
      <w:pPr>
        <w:spacing w:after="0" w:line="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segment consists of the operations of ABRH, in which we hold a 55% ownership interest. ABRH and its affiliates are the owners and operators of the O'Charley's, Ninety Nine Restaurants, Village Inn, Bakers Square, and Legendary Baking restaurant and food service concepts. This segment also included the results of operations of J. Alexander's, Inc. ("J. Alexander's") through the date which it was distributed to FNFV shareholders, September 28, 2015, and the Max &amp; Erma's concept, which was sold pursuant to an Asset Purchase Agreement on January 25, 2016.</w:t>
      </w:r>
    </w:p>
    <w:p>
      <w:pPr>
        <w:spacing w:after="0" w:line="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FNFV Corporate and Other</w:t>
      </w:r>
    </w:p>
    <w:p>
      <w:pPr>
        <w:spacing w:after="0" w:line="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segment primarily consists of our share in the operations of certain equity investments, including Ceridian, as well as consolidated investments, including Digital Insurance, in which we own 96%, and other smaller operations which are not title-related.</w:t>
      </w:r>
    </w:p>
    <w:p>
      <w:pPr>
        <w:spacing w:after="0" w:line="32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I.</w:t>
      </w:r>
      <w:r>
        <w:rPr>
          <w:sz w:val="20"/>
          <w:szCs w:val="20"/>
          <w:color w:val="auto"/>
        </w:rPr>
        <w:tab/>
      </w:r>
      <w:r>
        <w:rPr>
          <w:rFonts w:ascii="Times New Roman" w:cs="Times New Roman" w:eastAsia="Times New Roman" w:hAnsi="Times New Roman"/>
          <w:sz w:val="17"/>
          <w:szCs w:val="17"/>
          <w:b w:val="1"/>
          <w:bCs w:val="1"/>
          <w:color w:val="auto"/>
        </w:rPr>
        <w:t>Supplemental Cash Flow Information</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supplemental cash flow information is provided with respect to certain non-cash investing and financing activities.</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000" w:type="dxa"/>
            <w:vAlign w:val="bottom"/>
          </w:tcPr>
          <w:p>
            <w:pPr>
              <w:spacing w:after="0"/>
              <w:rPr>
                <w:sz w:val="16"/>
                <w:szCs w:val="16"/>
                <w:color w:val="auto"/>
              </w:rPr>
            </w:pPr>
          </w:p>
        </w:tc>
        <w:tc>
          <w:tcPr>
            <w:tcW w:w="2380" w:type="dxa"/>
            <w:vAlign w:val="bottom"/>
            <w:gridSpan w:val="5"/>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74"/>
        </w:trPr>
        <w:tc>
          <w:tcPr>
            <w:tcW w:w="9000" w:type="dxa"/>
            <w:vAlign w:val="bottom"/>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3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9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Investing activities:</w:t>
            </w: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9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 in proceeds of sales of investments available for sale receivable in period</w:t>
            </w:r>
          </w:p>
        </w:tc>
        <w:tc>
          <w:tcPr>
            <w:tcW w:w="76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9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Change in purchases of investments available for sale payable in period</w:t>
            </w: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9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Additions to IT hardware financed through a lease</w:t>
            </w:r>
          </w:p>
        </w:tc>
        <w:tc>
          <w:tcPr>
            <w:tcW w:w="7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9"/>
        </w:trPr>
        <w:tc>
          <w:tcPr>
            <w:tcW w:w="90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43"/>
        </w:trPr>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activities:</w:t>
            </w: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9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Change in treasury stock purchases payable in period</w:t>
            </w:r>
          </w:p>
        </w:tc>
        <w:tc>
          <w:tcPr>
            <w:tcW w:w="760" w:type="dxa"/>
            <w:vAlign w:val="bottom"/>
            <w:tcBorders>
              <w:bottom w:val="single" w:sz="8" w:color="CCEEFF"/>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9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 in dividends payable in period</w:t>
            </w:r>
          </w:p>
        </w:tc>
        <w:tc>
          <w:tcPr>
            <w:tcW w:w="7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Borrowings to finance IT hardware additions</w:t>
            </w: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675"/>
        </w:trPr>
        <w:tc>
          <w:tcPr>
            <w:tcW w:w="9000" w:type="dxa"/>
            <w:vAlign w:val="bottom"/>
          </w:tcPr>
          <w:p>
            <w:pPr>
              <w:ind w:left="5600"/>
              <w:spacing w:after="0"/>
              <w:rPr>
                <w:sz w:val="20"/>
                <w:szCs w:val="20"/>
                <w:color w:val="auto"/>
              </w:rPr>
            </w:pPr>
            <w:r>
              <w:rPr>
                <w:rFonts w:ascii="Times New Roman" w:cs="Times New Roman" w:eastAsia="Times New Roman" w:hAnsi="Times New Roman"/>
                <w:sz w:val="18"/>
                <w:szCs w:val="18"/>
                <w:color w:val="auto"/>
              </w:rPr>
              <w:t>24</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gridSpan w:val="3"/>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1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8"/>
        </w:trPr>
        <w:tc>
          <w:tcPr>
            <w:tcW w:w="9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700" w:type="dxa"/>
            <w:vAlign w:val="bottom"/>
          </w:tcPr>
          <w:p>
            <w:pPr>
              <w:spacing w:after="0"/>
              <w:rPr>
                <w:sz w:val="24"/>
                <w:szCs w:val="24"/>
                <w:color w:val="auto"/>
              </w:rPr>
            </w:pPr>
          </w:p>
        </w:tc>
        <w:tc>
          <w:tcPr>
            <w:tcW w:w="5240" w:type="dxa"/>
            <w:vAlign w:val="bottom"/>
            <w:gridSpan w:val="11"/>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FIDELITY NATIONAL FINANCIAL, INC. AND SUBSIDIARIES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40" w:type="dxa"/>
            <w:vAlign w:val="bottom"/>
            <w:gridSpan w:val="17"/>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NOTES TO CONDENSED CONSOLIDATED FINANCIAL STATEMENTS (UNAUDITED) — continued</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J.</w:t>
            </w:r>
          </w:p>
        </w:tc>
        <w:tc>
          <w:tcPr>
            <w:tcW w:w="21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Goodwill consists of the following:</w:t>
            </w: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FNF Core</w:t>
            </w:r>
          </w:p>
        </w:tc>
        <w:tc>
          <w:tcPr>
            <w:tcW w:w="180" w:type="dxa"/>
            <w:vAlign w:val="bottom"/>
          </w:tcPr>
          <w:p>
            <w:pPr>
              <w:spacing w:after="0"/>
              <w:rPr>
                <w:sz w:val="24"/>
                <w:szCs w:val="24"/>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Restaurant</w:t>
            </w:r>
          </w:p>
        </w:tc>
        <w:tc>
          <w:tcPr>
            <w:tcW w:w="160" w:type="dxa"/>
            <w:vAlign w:val="bottom"/>
          </w:tcPr>
          <w:p>
            <w:pPr>
              <w:spacing w:after="0"/>
              <w:rPr>
                <w:sz w:val="24"/>
                <w:szCs w:val="24"/>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FNFV</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1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Black Knight</w:t>
            </w:r>
          </w:p>
        </w:tc>
        <w:tc>
          <w:tcPr>
            <w:tcW w:w="11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2"/>
                <w:szCs w:val="12"/>
                <w:color w:val="auto"/>
              </w:rPr>
            </w:pPr>
          </w:p>
        </w:tc>
        <w:tc>
          <w:tcPr>
            <w:tcW w:w="7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2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1700" w:type="dxa"/>
            <w:vAlign w:val="bottom"/>
            <w:tcBorders>
              <w:bottom w:val="single" w:sz="8" w:color="CCEEFF"/>
            </w:tcBorders>
          </w:tcPr>
          <w:p>
            <w:pPr>
              <w:spacing w:after="0"/>
              <w:rPr>
                <w:sz w:val="17"/>
                <w:szCs w:val="17"/>
                <w:color w:val="auto"/>
              </w:rPr>
            </w:pPr>
          </w:p>
        </w:tc>
        <w:tc>
          <w:tcPr>
            <w:tcW w:w="16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2015</w:t>
            </w:r>
          </w:p>
        </w:tc>
        <w:tc>
          <w:tcPr>
            <w:tcW w:w="18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4,760</w:t>
            </w:r>
          </w:p>
        </w:tc>
        <w:tc>
          <w:tcPr>
            <w:tcW w:w="0" w:type="dxa"/>
            <w:vAlign w:val="bottom"/>
          </w:tcPr>
          <w:p>
            <w:pPr>
              <w:spacing w:after="0"/>
              <w:rPr>
                <w:sz w:val="1"/>
                <w:szCs w:val="1"/>
                <w:color w:val="auto"/>
              </w:rPr>
            </w:pPr>
          </w:p>
        </w:tc>
      </w:tr>
      <w:tr>
        <w:trPr>
          <w:trHeight w:val="243"/>
        </w:trPr>
        <w:tc>
          <w:tcPr>
            <w:tcW w:w="3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Goodwill acquired during the year (1)</w:t>
            </w: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prior year acquisitions</w:t>
            </w:r>
          </w:p>
        </w:tc>
        <w:tc>
          <w:tcPr>
            <w:tcW w:w="1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3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Sale of Max &amp; Erma's</w:t>
            </w: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7"/>
        </w:trPr>
        <w:tc>
          <w:tcPr>
            <w:tcW w:w="3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Balance, September 30, 2016</w:t>
            </w:r>
          </w:p>
        </w:tc>
        <w:tc>
          <w:tcPr>
            <w:tcW w:w="16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2,324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2,304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5,047</w:t>
            </w:r>
          </w:p>
        </w:tc>
        <w:tc>
          <w:tcPr>
            <w:tcW w:w="0" w:type="dxa"/>
            <w:vAlign w:val="bottom"/>
          </w:tcPr>
          <w:p>
            <w:pPr>
              <w:spacing w:after="0"/>
              <w:rPr>
                <w:sz w:val="1"/>
                <w:szCs w:val="1"/>
                <w:color w:val="auto"/>
              </w:rPr>
            </w:pPr>
          </w:p>
        </w:tc>
      </w:tr>
      <w:tr>
        <w:trPr>
          <w:trHeight w:val="20"/>
        </w:trPr>
        <w:tc>
          <w:tcPr>
            <w:tcW w:w="47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70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(1) See Note B for further discussion of goodwill acquired in the current year.</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center"/>
              <w:ind w:left="532"/>
              <w:spacing w:after="0"/>
              <w:rPr>
                <w:sz w:val="20"/>
                <w:szCs w:val="20"/>
                <w:color w:val="auto"/>
              </w:rPr>
            </w:pPr>
            <w:r>
              <w:rPr>
                <w:rFonts w:ascii="Times New Roman" w:cs="Times New Roman" w:eastAsia="Times New Roman" w:hAnsi="Times New Roman"/>
                <w:sz w:val="18"/>
                <w:szCs w:val="18"/>
                <w:color w:val="auto"/>
                <w:w w:val="99"/>
              </w:rPr>
              <w:t>25</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 business and political conditions, including changes in the financial markets; continued weakness or adverse changes in the level of real estate activity, which may be caused by, among other things, high or increasing interest rates, a limited supply of mortgage funding or a weak U.S. economy; our potential inability to find suitable acquisition candidates, acquisitions in lines of business that will not necessarily be limited to our traditional areas of focus, or difficulties in integrating acquisitions; our dependence on distributions from our title insurance underwriters as our main source of cash flow; significant competition that our operating subsidiaries face; compliance with extensive government regulation of our operating subsidiaries and adverse changes in applicable laws or regulations or in their application by regulators; and other risks detailed in the “Statement Regarding Forward-Looking Information,” “Risk Factors” and other sections of our Annual Report on Form 10-K (our "Annual Report") for the year ended December 31, 2015 and other filings with the SEC.</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discussion should be read in conjunction with our Annual Report for the year ended December 31, 2015.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For a description of our business, including descriptions of segments and recent business developments, see the discussion under </w:t>
      </w:r>
      <w:r>
        <w:rPr>
          <w:rFonts w:ascii="Times New Roman" w:cs="Times New Roman" w:eastAsia="Times New Roman" w:hAnsi="Times New Roman"/>
          <w:sz w:val="18"/>
          <w:szCs w:val="18"/>
          <w:i w:val="1"/>
          <w:iCs w:val="1"/>
          <w:color w:val="auto"/>
        </w:rPr>
        <w:t>Basis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w:t>
      </w:r>
      <w:r>
        <w:rPr>
          <w:rFonts w:ascii="Times New Roman" w:cs="Times New Roman" w:eastAsia="Times New Roman" w:hAnsi="Times New Roman"/>
          <w:sz w:val="18"/>
          <w:szCs w:val="18"/>
          <w:color w:val="auto"/>
        </w:rPr>
        <w:t>in Note A to the Condensed Consolidated Financial Statements included in Item 1 of Part I of this Report, which is incorporated by reference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Part I, Item 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 and Conditions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Title</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Title segment revenue is closely related to the level of real estate activity which includes sales, mortgage financing and mortgage refinancing.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Declines in the level of real estate activity or the average price of real estate sales will adversely affect our title insurance revenues.</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found that residential real estate activity is generally dependent on the following factors:</w:t>
      </w:r>
    </w:p>
    <w:p>
      <w:pPr>
        <w:spacing w:after="0" w:line="2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interest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funding supply;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the United States economy, including employment levels.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December 2008 through September 2016, the Federal Reserve held the federal funds rate at historically low levels of 0.0%-0.50%. As a result of the low federal funds rate, mortgage interest rates were at historically low levels over the same period. Through 2015 and the nine-months ended September 30, 2016, mortgage interest rates fluctuated between 3.25% and 4.25% and have dropped to the lower end of such range in the current period.</w:t>
      </w:r>
    </w:p>
    <w:p>
      <w:pPr>
        <w:spacing w:after="0" w:line="14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October 25, 2016 the Mortgage Bankers Association ("MBA") estimated the size of the U.S. mortgage originations market as shown in the following table for 2015 - 2018 in their "Mortgage Finance Forecast" (in trillions):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transactions</w:t>
            </w:r>
          </w:p>
        </w:tc>
        <w:tc>
          <w:tcPr>
            <w:tcW w:w="700" w:type="dxa"/>
            <w:vAlign w:val="bottom"/>
            <w:tcBorders>
              <w:bottom w:val="single" w:sz="8" w:color="CCEEFF"/>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Refinance transactions</w:t>
            </w:r>
          </w:p>
        </w:tc>
        <w:tc>
          <w:tcPr>
            <w:tcW w:w="70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73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U.S. mortgage originations forecast</w:t>
            </w:r>
          </w:p>
        </w:tc>
        <w:tc>
          <w:tcPr>
            <w:tcW w:w="70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7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extended period of low interest rates described above resulted in a greater proportion of refinance transactions to overall mortgage originations compared to historical norms. In 2015, the ratio of refinances to total originations increased to nearly 50% as the anticipation of increased mortgage rates resulting from projected increases in the target federal funds rate weighed on the market. The MBA predicts the ratio of refinance transactions will remain high through 2016 and subsequently decrease through 2018 as it returns to historical norms. The MBA also predicts overall mortgage originations in 2017 through 2018 will decrease compared to the 2015 and 2016 periods due to a decrease in refinance transactions. We cannot be certain how, if at all, the positive effects of a change in mix of purchase to refinance transactions and negative effects of projected decreases in overall originations will impact our future results of operations. We continually monitor origination trends and believe that, based on our ability to produce industry leading operating margins through all economic cycles, we are well positioned to adjust our operations for adverse changes in real estate activity.</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7"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Because commercial real estate transactions tend to be driven by supply and demand for commercial space and occupancy rates in a particular area rather than by interest rate fluctuations, we believe that our commercial real estate title insurance business is less dependent on the industry cycles discussed above than our residential real estate title business. Commercial real estate transaction volume is also often linked to the availability of financing. For several years through 2015 we experienced continual year-over-year increases in the fee per file of commercial transactions. Through the nine months ended September 30, 2016, we experienced a slight decrease in the fee per file of commercial transactions as compared to the corresponding period in 2015. The volume of our commercial real estate transactions has also decreased slightly, but remained strong through the current period.</w:t>
      </w:r>
    </w:p>
    <w:p>
      <w:pPr>
        <w:spacing w:after="0" w:line="5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state-level regulation, segments of our FNF Group businesses are subject to regulation by federal agencies, including the Consumer Financial Protection Bureau (“CFPB”). The CFPB was established under the Dodd-Frank Wall Street Reform and Consumer Protection Act of 2010 ("Dodd-Frank") which also included regulation over financial services and other lending related businesses including Black Knight. The CFPB has been given broad authority to regulate, among other areas, the mortgage and real estate markets in matters pertaining to consumers. This authority includes the enforcement of the Real Estate Settlement Procedures Act formerly placed with the Department of Housing and Urban Development. On July 9, 2012, the CFPB introduced a number of proposed rules related to the enforcement of the Real Estate Settlement Procedures Act and the Truth in Lending Act, including, among others, measures designed to (i) simplify financing documentation and (ii) require lenders to deliver to consumers a statement of final financing charges (and the related annual percentage rate) at least three business days prior to the closing. These rules became effective on January 10, 2014.</w:t>
      </w:r>
    </w:p>
    <w:p>
      <w:pPr>
        <w:spacing w:after="0" w:line="5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November 20, 2013, the CFPB issued additional rules regarding mortgage forms and other mortgage related disclosures with the intent to provide "easier-to-use" mortgage disclosure forms for consumers. The additional disclosure rules require participants in the mortgage market, including us, to make significant changes to the manner in which they create, process, and deliver certain disclosures to consumers in connection with mortgage loan applications. The additional disclosures are effective for mortgage loan applications made on or after October 3, 2015. The main provisions of the additional disclosures include amending Regulation Z (the Truth in Lending Act) and Regulation X (Real Estate Settlement Procedures Act) (collectively, the “TILA-RESPA Integrated Disclosure" or "TRID”) to consolidate existing loan disclosures under TILA and RESPA for closed-end credit transactions secured by real property. TRID requires (i) timely delivery of a loan estimate upon receipt of a consumer’s application and (ii) timely delivery of a closing disclosure prior to consummation. TRID also imposes certain restrictions, including the prohibition of imposing fees prior to provision of an estimate and the prohibition of providing estimates prior to a consumer’s submission of verifying documents. We do not believe the changes will have a significant effect on long-term mortgage volumes and do not believe this had a material impact on our results from operations for the nine months ended September 30, 2016.</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Readiness for and compliance with TRID required extensive planning; changes to systems, forms and processes; and heightened coordination among market participants. We believe that FNF, its agents or other market participants have generally been successful in their implementation efforts. It is our experience that mortgage lenders have become increasingly focused on the risk of non-compliance with these evolving regulations and the technologies and solutions that help them to comply with the increased regulatory oversight and burdens. Black Knight has developed solutions that target this need, which has resulted in additional revenue for Black Knight.</w:t>
      </w:r>
    </w:p>
    <w:p>
      <w:pPr>
        <w:spacing w:after="0" w:line="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Historically, real estate transactions have produced seasonal revenue fluctuations in the real estate industry including title insurers. The first calendar quarter is typically the weakest quarter in terms of revenue due to the generally low volume of home sales during January and February. The third calendar quarter is typically the strongest quarter in terms of revenue, primarily due to a higher volume of home sales in the summer months. The fourth quarter is typically also strong due to the desire of commercial entities to complete transactions by year-end. We have noted short-term fluctuations through recent years in resale and refinance transactions as a result of changes in interest rates and the implementation and subsequent expiration of government programs designed to stimulate the real estate market. In 2015 and into 2016, we saw seasonality trends return closer to historical patterns. During 2015, we experienced a moderate increase in existing home sales and a decline in total housing inventory. The trend has continued through the nine months ended September 30, 2016.</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Black Knight</w:t>
      </w:r>
    </w:p>
    <w:p>
      <w:pPr>
        <w:spacing w:after="0" w:line="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Underlying the mortgage loan life cycle is the technology and data and analytics support behind each process, which has become increasingly critical to industry participants due to the complexity of regulatory requirements. As the industry has grown in complexity, participants have responded by outsourcing to large scale specialty providers, automating manual processes and seeking end-to-end solutions that support the processes required to manage the entire mortgage loan life cycle.</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Black Knight's various businesses are impacted differently by the level of mortgage originations, including refinancing transactions. Black Knight's mortgage servicing platform is less affected by varying levels of mortgage originations because it earns revenues based on the total number of mortgage loans it processes, which tend to stay more constant than the market for originations. Black Knight's origination technology and some of its data businesses are directly affected by the volume of real estate transactions and mortgage originations, but many of its client contracts for origination technology contain minimum charges.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7"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Black Knight's various businesses are also impacted by general economic conditions. For example, in the event that a difficult economy or other factors lead to a decline in levels of home ownership and a reduction in the number of mortgage loans outstanding and Black Knight is not able to counter the impact of those events with increased market share or higher fees, it could have a material adverse effect on our mortgage processing revenues. In contrast, we believe that a weaker economy tends to increase the volume of consumer mortgage defaults, which may increase the revenues in Black Knight's specialty servicing technology business that is used to service residential mortgage loans in default. Moreover, interest rates tend to decline in a weaker economy driving higher than normal refinance transactions that provide potential volume increases to Black Knight's origination technology offerings, most specifically the RealEC Exchange platform.</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FNFV</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Restaurant Group</w:t>
      </w:r>
    </w:p>
    <w:p>
      <w:pPr>
        <w:spacing w:after="0" w:line="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restaurant industry is highly competitive and is often affected by changes in consumer tastes and discretionary spending patterns; changes in general economic conditions; public safety conditions or concerns; demographic trends; weather conditions; the cost of food products, labor, energy and other operating costs; and governmental regulations. The restaurant industry is also characterized by high capital investments for new restaurants and relatively high fixed or semi-variable 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Restaurant profitability can also be negatively affected by inflationary and regulatory increases in operating costs and other factors. The most significant commodities that may affect our cost of food and beverage are beef, seafood, poultry, and dairy, which accounted for approximately half of our overall cost of food and beverage in the past. Generally, temporary increases in these costs are not passed on to guests; however, in the past, we have adjusted menu prices to compensate for increased costs of a more permanent nature.</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Our revenues in future periods will continue to be subject to these and other factors that are beyond our control and, as a result, are likely to fluctuate.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7"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of Operations</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Net Earnings. </w:t>
      </w:r>
      <w:r>
        <w:rPr>
          <w:rFonts w:ascii="Times New Roman" w:cs="Times New Roman" w:eastAsia="Times New Roman" w:hAnsi="Times New Roman"/>
          <w:sz w:val="18"/>
          <w:szCs w:val="18"/>
          <w:color w:val="auto"/>
        </w:rPr>
        <w:t>The following table presents certain financial data for the periods indicated: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2340" w:type="dxa"/>
            <w:vAlign w:val="bottom"/>
            <w:gridSpan w:val="4"/>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618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196"/>
        </w:trPr>
        <w:tc>
          <w:tcPr>
            <w:tcW w:w="6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5"/>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Direct title insurance premiums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1,488</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Agency title insurance premiums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1,685</w:t>
            </w:r>
          </w:p>
        </w:tc>
      </w:tr>
      <w:tr>
        <w:trPr>
          <w:trHeight w:val="243"/>
        </w:trPr>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Escrow, title-related and other fees</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2,517</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Restaurant revenue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1,084</w:t>
            </w:r>
          </w:p>
        </w:tc>
      </w:tr>
      <w:tr>
        <w:trPr>
          <w:trHeight w:val="243"/>
        </w:trPr>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Realized gains and losses, net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7"/>
        </w:trPr>
        <w:tc>
          <w:tcPr>
            <w:tcW w:w="6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2,517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7,047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6,848</w:t>
            </w: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Personnel costs</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1,993</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Agent commissions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1,279</w:t>
            </w:r>
          </w:p>
        </w:tc>
      </w:tr>
      <w:tr>
        <w:trPr>
          <w:trHeight w:val="243"/>
        </w:trPr>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1,424</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Cost of restaurant revenue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921</w:t>
            </w:r>
          </w:p>
        </w:tc>
      </w:tr>
      <w:tr>
        <w:trPr>
          <w:trHeight w:val="243"/>
        </w:trPr>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306</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Provision for title claim losses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185</w:t>
            </w:r>
          </w:p>
        </w:tc>
      </w:tr>
      <w:tr>
        <w:trPr>
          <w:trHeight w:val="243"/>
        </w:trPr>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97</w:t>
            </w: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expenses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2,246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6,337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6,205</w:t>
            </w:r>
          </w:p>
        </w:tc>
      </w:tr>
      <w:tr>
        <w:trPr>
          <w:trHeight w:val="205"/>
        </w:trPr>
        <w:tc>
          <w:tcPr>
            <w:tcW w:w="618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Earnings from continuing operations before income taxes and equity in losses of</w:t>
            </w: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1"/>
              <w:spacing w:after="0" w:line="205" w:lineRule="exact"/>
              <w:rPr>
                <w:sz w:val="20"/>
                <w:szCs w:val="20"/>
                <w:color w:val="auto"/>
              </w:rPr>
            </w:pPr>
            <w:r>
              <w:rPr>
                <w:rFonts w:ascii="Times New Roman" w:cs="Times New Roman" w:eastAsia="Times New Roman" w:hAnsi="Times New Roman"/>
                <w:sz w:val="18"/>
                <w:szCs w:val="18"/>
                <w:color w:val="auto"/>
              </w:rPr>
              <w:t>643</w:t>
            </w:r>
          </w:p>
        </w:tc>
      </w:tr>
      <w:tr>
        <w:trPr>
          <w:trHeight w:val="234"/>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unconsolidated affiliates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219</w:t>
            </w: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losses of unconsolidated affiliates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 from continuing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408</w:t>
            </w:r>
          </w:p>
        </w:tc>
      </w:tr>
      <w:tr>
        <w:trPr>
          <w:trHeight w:val="20"/>
        </w:trPr>
        <w:tc>
          <w:tcPr>
            <w:tcW w:w="6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Total revenues increased by $125 million in the three months ended September 30, 2016, compared to the corresponding period in 2015. The increase consisted of a $175 million increase at FNF Group and a $50 million decrease at FNFV. Total revenues increased by $199 million in the nine months ended September 30, 2016, compared to the corresponding period in 2015. The increase consisted of a $450 million increase at FNF Group and a $251 million decrease at FNFV.</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earnings from continuing operations increased by $31 million in the three months ended September 30, 2016, compared to the corresponding period in 2015. The increase consisted of a $16 million increase at FNF Group and $15 million increase at FNFV. Net earnings from continuing operations increased by $51 million in the nine months ended September 30, 2016, compared to the corresponding period in 2015. The increase consisted of a $51 million increase at FNF Group and no change at FNFV.</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 in revenue from the FNF Group segments and FNFV segments is discussed in further detail at the segment level below.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operating expenses consist primarily of Personnel costs; Other operating expenses, which in our title business are incurred as orders are received and processed and at Black Knight for data processing and program design and development costs; Agent commissions, which are incurred as revenue is recognized; and Cost of restaurant revenue. Title insurance premiums, escrow and title-related fees are generally recognized as income at the time the underlying transaction closes or other service is provided. Direct title operations revenue often lags approximately 45-60 days behind expenses and therefore gross margins may fluctuate. The changes in the market environment, mix of business between direct and agency operations and the contributions from our various business units have historically impacted margins and net earnings. We have implemented programs and have taken</w:t>
      </w:r>
    </w:p>
    <w:p>
      <w:pPr>
        <w:sectPr>
          <w:pgSz w:w="11900" w:h="16838" w:orient="portrait"/>
          <w:cols w:equalWidth="0" w:num="1">
            <w:col w:w="11420"/>
          </w:cols>
          <w:pgMar w:left="240" w:top="117"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7" w:right="23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necessary actions to maintain expense levels consistent with revenue streams. However, a short-term lag exists in reducing controllable fixed costs and certain fixed costs are incurred regardless of revenue levels.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Personnel costs include base salaries, commissions, benefits, stock-based compensation and bonuses paid to employees, and are one of our most significant operating expenses. Personnel costs that are directly attributable to the operations of the Restaurant Group are included in Cost of restaurant revenue.</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Agent commissions represent the portion of premiums retained by our third-party agents pursuant to the terms of their respective agency contracts.</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title-related products, postage and courier services, computer services, professional services, travel expenses, general insurance, and bad debt expense on our trade and notes receivable.</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Provision for title claim losses includes an estimate of anticipated title and title-related claims, and escrow losses.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 in expenses from the FNF Group segments and FNFV segments is discussed in further detail at the segment level below.</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Income tax expense was $95 million and $81 million in the three-month periods ended September 30, 2016 and 2015, respectively, and $245 million and $219 million in the nine-month periods ended September 30, 2016 and 2015, respectively. Income tax expense as a percentage of earnings before income taxes was 35% and 34% for the three-month periods ended September 30, 2016 and 2015, respectively, and 35% and 34% for the nine-month periods ended September 30, 2016 and 2015, respectively. Income tax expense as a percentage of earnings before income taxes fluctuates depending on our estimate of ultimate income tax liability and changes in the characteristics of net earnings, such as the weighting of operating income versus investment income.</w:t>
      </w:r>
    </w:p>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Equity in losses of unconsolidated affiliates was $7 million and $19 million for the three-month periods ended September 30, 2016 and 2015, respectively, and $6 million and $16 million for the nine-month periods ended September 30, 2016 and 2015, respectively. The equity in losses in 2016 and 2015 consisted primarily of net losses related to our investment in Ceridian, offset by earnings at various other unconsolidated affiliates, which is described further at the segment level below.</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7"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FNF Group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Title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results from operations of our Title segment:</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240" w:type="dxa"/>
            <w:vAlign w:val="bottom"/>
            <w:gridSpan w:val="4"/>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191"/>
        </w:trPr>
        <w:tc>
          <w:tcPr>
            <w:tcW w:w="6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Direct title insurance premiums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Agency title insurance premiums</w:t>
            </w:r>
          </w:p>
        </w:tc>
        <w:tc>
          <w:tcPr>
            <w:tcW w:w="1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1,685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Escrow, title-related and other fees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1,522</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Realized gains and losses, net</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5,134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4,787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Personnel costs</w:t>
            </w:r>
          </w:p>
        </w:tc>
        <w:tc>
          <w:tcPr>
            <w:tcW w:w="1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1,559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Agent commissions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1,279</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Provision for title claim losses</w:t>
            </w:r>
          </w:p>
        </w:tc>
        <w:tc>
          <w:tcPr>
            <w:tcW w:w="1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4,167</w:t>
            </w:r>
          </w:p>
        </w:tc>
        <w:tc>
          <w:tcPr>
            <w:tcW w:w="0" w:type="dxa"/>
            <w:vAlign w:val="bottom"/>
          </w:tcPr>
          <w:p>
            <w:pPr>
              <w:spacing w:after="0"/>
              <w:rPr>
                <w:sz w:val="1"/>
                <w:szCs w:val="1"/>
                <w:color w:val="auto"/>
              </w:rPr>
            </w:pPr>
          </w:p>
        </w:tc>
      </w:tr>
      <w:tr>
        <w:trPr>
          <w:trHeight w:val="205"/>
        </w:trPr>
        <w:tc>
          <w:tcPr>
            <w:tcW w:w="652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Earnings from continuing operations before income taxes and equity in earnings of</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7"/>
                <w:szCs w:val="17"/>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7"/>
                <w:szCs w:val="17"/>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81"/>
        </w:trPr>
        <w:tc>
          <w:tcPr>
            <w:tcW w:w="65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unconsolidated affiliates</w:t>
            </w:r>
          </w:p>
        </w:tc>
        <w:tc>
          <w:tcPr>
            <w:tcW w:w="12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Orders opened by direct title operations (in thousands)</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Orders closed by direct title operations (in thousands)</w:t>
            </w:r>
          </w:p>
        </w:tc>
        <w:tc>
          <w:tcPr>
            <w:tcW w:w="1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Fee per file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2,055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27"/>
        </w:trPr>
        <w:tc>
          <w:tcPr>
            <w:tcW w:w="6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Total revenues for the Title segment increased by $127 million, or 7%, in the three months ended September 30, 2016 and increased by $347 million, or 7%, in the nine months ended September 30, 2016 from the corresponding periods in 2015.</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percentages of title insurance premiums generated by our direct and agency operations: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80" w:type="dxa"/>
            <w:vAlign w:val="bottom"/>
            <w:tcBorders>
              <w:bottom w:val="single" w:sz="8" w:color="auto"/>
            </w:tcBorders>
          </w:tcPr>
          <w:p>
            <w:pPr>
              <w:spacing w:after="0"/>
              <w:rPr>
                <w:sz w:val="16"/>
                <w:szCs w:val="16"/>
                <w:color w:val="auto"/>
              </w:rPr>
            </w:pPr>
          </w:p>
        </w:tc>
      </w:tr>
      <w:tr>
        <w:trPr>
          <w:trHeight w:val="259"/>
        </w:trPr>
        <w:tc>
          <w:tcPr>
            <w:tcW w:w="4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275"/>
        </w:trPr>
        <w:tc>
          <w:tcPr>
            <w:tcW w:w="40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4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4"/>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55"/>
        </w:trPr>
        <w:tc>
          <w:tcPr>
            <w:tcW w:w="4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Title premiums from direct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1,488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 premiums from agency operations</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4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02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53</w:t>
            </w:r>
          </w:p>
        </w:tc>
      </w:tr>
      <w:tr>
        <w:trPr>
          <w:trHeight w:val="27"/>
        </w:trPr>
        <w:tc>
          <w:tcPr>
            <w:tcW w:w="4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7"/>
        </w:trPr>
        <w:tc>
          <w:tcPr>
            <w:tcW w:w="4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title premiums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3,173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Title premiums increased by 8% in the three months ended September 30, 2016 as compared to the corresponding period in 2015. The increase is comprised of an increase in Title premiums from direct operations of $32 million, or 6%, and an increase in Title premiums from agency operations of $66 million, or 10%, in the three months ended September 30, 2016. Title premiums increased by 9% in the nine months ended September 30, 2016 as compared to the corresponding period in 2015. The increase comprised of an increase in Title premiums from direct operations of $30 million, or 2%, and an increase in Title premiums from agency operations of $249 million, or 15%, in the nine months ended September 30, 2016.</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7" w:right="23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percentages of open and closed title insurance orders generated by purchase and refinance transactions by our direct operations: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20" w:type="dxa"/>
            <w:vAlign w:val="bottom"/>
          </w:tcPr>
          <w:p>
            <w:pPr>
              <w:spacing w:after="0"/>
              <w:rPr>
                <w:sz w:val="16"/>
                <w:szCs w:val="16"/>
                <w:color w:val="auto"/>
              </w:rPr>
            </w:pPr>
          </w:p>
        </w:tc>
        <w:tc>
          <w:tcPr>
            <w:tcW w:w="27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642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2"/>
        </w:trPr>
        <w:tc>
          <w:tcPr>
            <w:tcW w:w="6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Opened title insurance orders from purchase transactions (1)</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Opened title insurance orders from refinance transactions (1)</w:t>
            </w: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37"/>
        </w:trPr>
        <w:tc>
          <w:tcPr>
            <w:tcW w:w="642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67"/>
        </w:trPr>
        <w:tc>
          <w:tcPr>
            <w:tcW w:w="6420" w:type="dxa"/>
            <w:vAlign w:val="bottom"/>
            <w:tcBorders>
              <w:bottom w:val="single" w:sz="8" w:color="CCEEFF"/>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4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Closed title insurance orders from purchase transactions (1)</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Closed title insurance orders from refinance transactions (1)</w:t>
            </w: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37"/>
        </w:trPr>
        <w:tc>
          <w:tcPr>
            <w:tcW w:w="642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6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2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Percentages exclude consideration of an immaterial number of non-purchase and non-refinance orders.</w:t>
      </w:r>
    </w:p>
    <w:p>
      <w:pPr>
        <w:spacing w:after="0" w:line="11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Title premiums from direct operations increased in the three and nine months ended September 30, 2016 as compared to the corresponding periods in 2015. The increase in the three-month period is primarily due to an increase in closed order volume offset by an unfavorable change in the mix of closed orders from purchase and refinance transactions. The increase in the nine-month period is primarily due to an increase in closed order volume and a favorable change in mix of closed orders from purchase and refinance transactions. We experienced favorable increases in closed title insurance order volumes from both purchase and refinance transactions in the three and nine months ended September 30, 2016 as compared to the corresponding periods in 2015. Closed order volumes were 433,000 and 1,156,000 in the three and nine months ended September 30, 2016, respectively compared with 378,000 and 1,132,000 in the three and nine months ended September 30, 2015, respectively. This represented an overall increase of 15% and 2%, respectively. Open title orders increased similarly over the three and nine months ended September 30, 2016 as compared to the corresponding periods in 2015. The increase in the three-month period reflected an increase in purchase and refinance transactions.The average fee per file in our direct operations was $2,015 and $2,055 in the three and nine months ended September 30, 2016, respectively, compared to $2,133 and $2,003 in the three and nine months ended September 30, 2015. The decrease in average fee per file in the three-month period reflects the unfavorable change in mix of closed orders from purchase and refinance transactions and the increase in the nine-month period reflects a favorable change in mix of closed orders from purchase and refinance transactions.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w:t>
      </w:r>
    </w:p>
    <w:p>
      <w:pPr>
        <w:spacing w:after="0" w:line="19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increase in title premiums from agency operations is primarily the result of an increase in remitted agency premiums due to strength in agency driven real estate markets and an increase in the number of independent agents with which we transacted business period over period.</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Escrow, title-related and other fees increased by $32 million, or 6%, in the three months ended September 30, 2016, and increased by $65 million, or 4%, in the nine months ended September 30, 2016 from the corresponding periods in 2015. Escrow fees, which are more closely related to our direct operations, increased by $33 million, or 17%, in the three months ended September 30, 2016 and increased $61 million, or 12%, in the nine months ended September 30, 2016 compared to the corresponding periods in 2015. The increase is representative of the favorable increase in closed title insurance orders from purchase transactions previously discussed. Other fees in the Title segment, excluding escrow fees, decreased by $1 million, or less than 1%, in the three months ended September 30, 2016, and increased $4 million, or less than 1%, in the nine months ended September 30, 2016 from the corresponding periods in 2015.</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and investment income levels are primarily a function of securities markets, interest rates and the amount of cash available for investment.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investment income decreased by $1 million in the three months ended September 30, 2016 and increased by $2 million in the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2016 compared to the corresponding periods in 2015.</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Personnel costs include base salaries, commissions, benefits, stock-based compensation and bonuses paid to employees, and are one of our most significant operating expenses. There was a $31 million, or 6% increase in the three-month period ended September 30, 2016, and a $74 million, or 5%, increase in the nine-month period ended September 30, 2016 compared to the corresponding periods in 2015. The increase in the 2016 period is primarily due to higher commissions and bonuses associated with higher closed order counts. Personnel costs as a percentage of total revenues from direct title premiums and escrow, title-related and other fees were 51% and 53% for the three and nine-month periods ended September 30, 2016 and 51% and 52% for the three and nine-month periods ended September 30, 2015, respectively. Average employee count in the Title segment was</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7"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22,490 and 21,444 in the three-month periods ended September 30, 2016 and 2015, respectively, and 21,714 and 20,696 in the nine-month periods ended September 30, 2016 and 2015, respectively.</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travel expenses, general insurance, and bad debt expense on our trade and notes receivable. Other operating expenses increased by $15 million, or 4% in the three months ended September 30, 2016 and increased $28 million, or 3%, in the nine months ended September 30, 2016 from the corresponding periods in 2015. Other operating expenses as a percentage of total revenue excluding agency premiums, interest and investment income, and realized gains and losses have remained consistent across all periods.</w:t>
      </w:r>
    </w:p>
    <w:p>
      <w:pPr>
        <w:spacing w:after="0" w:line="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Agent commissions represent the portion of premiums retained by agents pursuant to the terms of their respective agency contracts. Agent commissions and the resulting percentage of agent premiums that we retain vary according to regional differences in real estate closing practices and state regulations.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illustrates the relationship of agent premiums and agent commissions, which have remained relatively consistent since 2015:</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27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8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8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5"/>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Agent premiums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713</w:t>
            </w: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1,934</w:t>
            </w: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Agent commissions</w:t>
            </w:r>
          </w:p>
        </w:tc>
        <w:tc>
          <w:tcPr>
            <w:tcW w:w="2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545</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1,473</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2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retained agent premiums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168</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461</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by $2 million in the three months ended September 30, 2016 and increased $1 million in the nine months ended September 30, 2016 compared to the corresponding periods in 2015.</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provision for title claim losses includes an estimate of anticipated title and title-related claims and escrow losses. The estimate of anticipated title and title-related claims is accrued as a percentage of title premium revenue based on our historical loss experience and other relevant factors. Any significant adjustments to strengthen or release loss reserves resulting from the comparison with our actuarial analysis are made in addition to this loss provision rate. After considering historical claim losses, reporting patterns and current market information, and analyzing quantitative and qualitative data provided by our legal, claims and underwriting departments, we determine a loss provision rate, which is recorded as a percentage of current title premiums. This loss provision rate is set to provide for losses on current year policies, but due to development of prior years and our long claim duration, it periodically includes amounts of estimated adverse or positive development on prior years' policies. Effective July 1, 2015, we revised our loss provision rate to 5.5% from 6% primarily due to favorable development on more recent policy year claims.</w:t>
      </w:r>
    </w:p>
    <w:p>
      <w:pPr>
        <w:spacing w:after="0" w:line="7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claim loss provision for title insurance was $70 million and $65 million for the three-month periods ended September 30, 2016 and 2015, respectively, and reflects an average provision rate of 5.5% of title premiums. The claim loss provision for title insurance was $190 million and $185 million for the nine-month periods ended September 30, 2016 and 2015, respectively, and reflects an average provision rate of 5.5% and 5.8% of title premiums in the 2016 and 2015 periods, respectively. We continually monitor and evaluate our loss provision level, actual claims paid, and the loss reserve position each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7"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Black Knight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results from operations of our Black Knight segment:</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252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240" w:type="dxa"/>
            <w:vAlign w:val="bottom"/>
            <w:gridSpan w:val="4"/>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652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191"/>
        </w:trPr>
        <w:tc>
          <w:tcPr>
            <w:tcW w:w="6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Escrow, title-related and other fees</w:t>
            </w:r>
          </w:p>
        </w:tc>
        <w:tc>
          <w:tcPr>
            <w:tcW w:w="760" w:type="dxa"/>
            <w:vAlign w:val="bottom"/>
          </w:tcPr>
          <w:p>
            <w:pPr>
              <w:spacing w:after="0"/>
              <w:rPr>
                <w:sz w:val="23"/>
                <w:szCs w:val="23"/>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693</w:t>
            </w:r>
          </w:p>
        </w:tc>
      </w:tr>
      <w:tr>
        <w:trPr>
          <w:trHeight w:val="27"/>
        </w:trPr>
        <w:tc>
          <w:tcPr>
            <w:tcW w:w="6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Realized gains and losses, net</w:t>
            </w:r>
          </w:p>
        </w:tc>
        <w:tc>
          <w:tcPr>
            <w:tcW w:w="7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6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revenues</w:t>
            </w:r>
          </w:p>
        </w:tc>
        <w:tc>
          <w:tcPr>
            <w:tcW w:w="7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688</w:t>
            </w:r>
          </w:p>
        </w:tc>
      </w:tr>
      <w:tr>
        <w:trPr>
          <w:trHeight w:val="27"/>
        </w:trPr>
        <w:tc>
          <w:tcPr>
            <w:tcW w:w="6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Personnel costs</w:t>
            </w:r>
          </w:p>
        </w:tc>
        <w:tc>
          <w:tcPr>
            <w:tcW w:w="7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289</w:t>
            </w:r>
          </w:p>
        </w:tc>
      </w:tr>
      <w:tr>
        <w:trPr>
          <w:trHeight w:val="27"/>
        </w:trPr>
        <w:tc>
          <w:tcPr>
            <w:tcW w:w="6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119</w:t>
            </w:r>
          </w:p>
        </w:tc>
      </w:tr>
      <w:tr>
        <w:trPr>
          <w:trHeight w:val="243"/>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143</w:t>
            </w:r>
          </w:p>
        </w:tc>
      </w:tr>
      <w:tr>
        <w:trPr>
          <w:trHeight w:val="27"/>
        </w:trPr>
        <w:tc>
          <w:tcPr>
            <w:tcW w:w="6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7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w:t>
            </w:r>
          </w:p>
        </w:tc>
      </w:tr>
      <w:tr>
        <w:trPr>
          <w:trHeight w:val="237"/>
        </w:trPr>
        <w:tc>
          <w:tcPr>
            <w:tcW w:w="6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expenses</w:t>
            </w:r>
          </w:p>
        </w:tc>
        <w:tc>
          <w:tcPr>
            <w:tcW w:w="7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586</w:t>
            </w:r>
          </w:p>
        </w:tc>
      </w:tr>
      <w:tr>
        <w:trPr>
          <w:trHeight w:val="27"/>
        </w:trPr>
        <w:tc>
          <w:tcPr>
            <w:tcW w:w="65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from continuing operations before income taxes</w:t>
            </w:r>
          </w:p>
        </w:tc>
        <w:tc>
          <w:tcPr>
            <w:tcW w:w="760" w:type="dxa"/>
            <w:vAlign w:val="bottom"/>
            <w:tcBorders>
              <w:bottom w:val="single" w:sz="8" w:color="auto"/>
            </w:tcBorders>
            <w:shd w:val="clear" w:color="auto" w:fill="CCEEFF"/>
          </w:tcPr>
          <w:p>
            <w:pPr>
              <w:jc w:val="right"/>
              <w:ind w:right="56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6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Total revenues for our Black Knight segment increased $33 million, or 14%, in the three-month period ended September 30, 2016 and increased $77 million, or 11%, in the nine-month period ended September 30, 2016 compared to the corresponding periods in 2015. The increase in the three and nine-month periods was primarily driven by higher average loan volumes on its' mortgage servicing platform, price increases and new client wins related to its servicing technology as well as the implementation of new clients, higher transaction volumes, and the acquisition of eLynx in its origination technology segment. The revenue increase in the three-month period was also driven by acquisitions, new client wins, and higher transaction volumes in its data and analytics business.</w:t>
      </w:r>
    </w:p>
    <w:p>
      <w:pPr>
        <w:spacing w:after="0" w:line="8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Personnel costs increased by $13 million, or 14%, in the three-month period ended September 30, 2016 and increased by $5 million, or 2%, in the nine-month period ended September 30, 2016 compared to the corresponding periods in 2015. The increase in the three and nine-month periods was primarily driven by the acquisition of eLynx and by higher compensation and employee-related costs as they expanded certain corporate functions in 2016 to support continued growth. The increase in the nine-month period was offset by lower personnel costs in its servicing technology business.</w:t>
      </w:r>
    </w:p>
    <w:p>
      <w:pPr>
        <w:spacing w:after="0" w:line="7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Other operating expenses increased by $12 million, or 29%, in the three-month period ended September 30, 2016 and increased by $30 million, or 25%, in the nine-month period ended September 30, 2016 compared to the corresponding periods in 2015. The increase in the three-month period was primarily driven by expenses attributable to eLynx and other acquisitions as well as lower capitalized software development costs in its data and analytics business. The increase in the nine-month period was primarily driven by the addition of eLynx and other acquisitions, lower capitalized software development and deferred implementation costs, and public company costs.</w:t>
      </w:r>
    </w:p>
    <w:p>
      <w:pPr>
        <w:spacing w:after="0" w:line="7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Depreciation and amortization increased by $9 million, or 19%, in the three-month period ended September 30, 2016 and increased by $11 million, or 8%, in the nine-month period ended September 30, 2016 compared to the corresponding periods in 2015. The increase was primarily driven by increased amortization of deferred contract costs relating to client implementations, including accelerated amortization of $3 million related to certain deferred implementation costs, and amortization from new software development. The increase in the nine-month period was offset by lower amortization of customer relationship assets.</w:t>
      </w:r>
    </w:p>
    <w:p>
      <w:pPr>
        <w:spacing w:after="0" w:line="7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Interest expense remained flat in the three-month period and increased by $13 million, or 37%, in the nine-month period ended September 30, 2016, respectively, compared to the corresponding periods in 2015. The increase in the nine-month period is attributable to new third party debt issued in connection with Black Knight's initial public offering in May 2015, offset slightly by decreased interest on its outstanding public debt resulting from paydowns of principal in May 2015.</w:t>
      </w:r>
    </w:p>
    <w:p>
      <w:pPr>
        <w:spacing w:after="0" w:line="7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Earnings from continuing operations before income taxes decreased by $1 million in the three-month period ended September 30, 2016 and increased by $18 million in the nine-month period ended September 30, 2016 compared to the corresponding periods in 2015. The increase is primarily attributable to the increased revenue, offset by increased personnel costs, other operating expenses, depreciation and amortization, and interest expense, discussed above.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FNF Group Corporate and Other</w:t>
      </w:r>
    </w:p>
    <w:p>
      <w:pPr>
        <w:spacing w:after="0" w:line="121"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FNF Group Corporate and Other segment consists of the operations of the parent holding company, certain other unallocated corporate overhead expenses, and other smaller real estate and insurance related operations.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7"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FNF Group Corporate and Other segment generated revenues of $66 million and $51 million for the three months ended September 30, 2016 and 2015, respectively, and $152 million and $126 million for the nine months ended September 30, 2016 and 2015, respectively. The revenue in all periods represents revenue generated by our real estate brokerage subsidiaries and other real estate related companies offset by the elimination of revenues between our Black Knight segment and our Title segment. The increase of $15 million, or 29%, in the three-month period and the increase of $26 million, or 21%, in the nine-month period are primarily attributable to the acquisition of CINC and to revenue growth and acquisitions by Pacific Union, a luxury real estate broker based in California in which we have a 66% ownership interest.</w:t>
      </w:r>
    </w:p>
    <w:p>
      <w:pPr>
        <w:spacing w:after="0" w:line="80"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Other operating expenses in the FNF Group Corporate and Other segment were $57 million and $47 million for the three months ended September 30, 2016 and 2015, respectively, and $146 million and $122 million for the nine months ended September 30, 2016 and 2015, respectively. Both periods reflect expenses at our real estate brokerage subsidiaries and other real estate related companies offset by the elimination of management fees and other intercompany fees between our Black Knight segment and our Title segment. The increase of $10 million, or 21%, and the increase of $24 million, or 20%, in the nine months ended September 30, 2016 are primarily attributable to the acquisition of CINC and growth of Pacific Union.</w:t>
      </w:r>
    </w:p>
    <w:p>
      <w:pPr>
        <w:spacing w:after="0" w:line="7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Interest expense was $15 million for both the three months ended September 30, 2016 and 2015 and $46 million and $56 million for the nine months ended September 30, 2016 and 2015, respectively. The decrease in the nine-month period is attributable to the repayment of the $1.1 billion FNF term loan in late May 2015.</w:t>
      </w:r>
    </w:p>
    <w:p>
      <w:pPr>
        <w:spacing w:after="0" w:line="6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This segment generated pretax losses of $26 million and $24 million for the three months ended September 30, 2016 and 2015, respectively, and $91 million and $86 million, for the nine months ended September 30, 2016 and 2015, respectively. The increased loss in the nine-month period was primarily attributable to realized losses related to investment impairments, increased personnel costs associated with acquisitions, and the increased operating expenses, offset by the increase in revenue and decrease in interest expense discussed above.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Group</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results from operations of our Restaurant Group segment:</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80" w:type="dxa"/>
            <w:vAlign w:val="bottom"/>
          </w:tcPr>
          <w:p>
            <w:pPr>
              <w:spacing w:after="0"/>
              <w:rPr>
                <w:sz w:val="16"/>
                <w:szCs w:val="16"/>
                <w:color w:val="auto"/>
              </w:rPr>
            </w:pPr>
          </w:p>
        </w:tc>
        <w:tc>
          <w:tcPr>
            <w:tcW w:w="276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240" w:type="dxa"/>
            <w:vAlign w:val="bottom"/>
            <w:gridSpan w:val="4"/>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628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4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191"/>
        </w:trPr>
        <w:tc>
          <w:tcPr>
            <w:tcW w:w="6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restaurant revenue</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1,084</w:t>
            </w:r>
          </w:p>
        </w:tc>
      </w:tr>
      <w:tr>
        <w:trPr>
          <w:trHeight w:val="243"/>
        </w:trPr>
        <w:tc>
          <w:tcPr>
            <w:tcW w:w="6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Realized gains and losses, net</w:t>
            </w: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6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revenues</w:t>
            </w: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1,073</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Personnel costs</w:t>
            </w: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6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of restaurant revenue</w:t>
            </w:r>
          </w:p>
        </w:tc>
        <w:tc>
          <w:tcPr>
            <w:tcW w:w="8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921</w:t>
            </w:r>
          </w:p>
        </w:tc>
      </w:tr>
      <w:tr>
        <w:trPr>
          <w:trHeight w:val="27"/>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w:t>
            </w:r>
          </w:p>
        </w:tc>
      </w:tr>
      <w:tr>
        <w:trPr>
          <w:trHeight w:val="243"/>
        </w:trPr>
        <w:tc>
          <w:tcPr>
            <w:tcW w:w="6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6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expenses</w:t>
            </w:r>
          </w:p>
        </w:tc>
        <w:tc>
          <w:tcPr>
            <w:tcW w:w="8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1,069</w:t>
            </w:r>
          </w:p>
        </w:tc>
      </w:tr>
      <w:tr>
        <w:trPr>
          <w:trHeight w:val="27"/>
        </w:trPr>
        <w:tc>
          <w:tcPr>
            <w:tcW w:w="6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earnings from continuing operations before income taxes</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6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Total revenues for the Restaurant group segment decreased $66 million, or 20%, in the three months ended September 30, 2016 and decreased $219 million, or 20%, in the nine months ended September 30, 2016, from the corresponding periods in 2015. The decrease is primarily attributable to the spin-off of J. Alexander's in September 2015 and the sale of the Max &amp; Erma's concept in January 2016.</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Cost of restaurant revenue decreased by $65 million, or 22%, in the three months ended September 30, 2016 and decreased $194 million, or 21% in the nine months ended September 30, 2016, from the corresponding periods in 2015. The change is consistent with the change in revenue.</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(Loss) earnings from continuing operations before income taxes increased by $9 million, or 69%, in the three months ended September 30, 2016, and decreased by $2 million, or 50%, in the nine months ended September 30, 2016 from the corresponding periods in 2015. The increase in the three-month period is primarily attributable to realized losses in the 2015 period related to the sale of Max &amp; Erma's concept which did not recur in the 2016 period. The decrease in the nine-month period is primarily</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7"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attributable to the results of J. Alexander's which are not included in the 2016 periods, offset by the aforementioned realized losses in the 2015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FNFV Corporate and Other</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FNFV Corporate and Other segment includes our share in the operations of certain equity investments, including Ceridian, Digital Insurance, and other smaller operations which are not title-related. This segment also includes our Investment Success Incentive Program ("ISIP") which is tied to monetization or liquidity events producing realized or realizable economic gains relating to our investments.</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FNFV Corporate and Other segment generated revenues of $47 million and $31 million for the three months ended September 30, 2016 and 2015, respectively, and $142 million and $174 million for the nine months ended September 30, 2016 and 2015, respectively. The increase of $16 million, or 52%, in the three-month period is primarily attributable to increased revenue resulting from acquisitions and growth at Digital Insurance and to revenue associated with smaller FNFV acquisitions in the current year. The decrease of $32 million, or 18%, in the nine-month period is primarily attributable to the sale of Cascade Timberlands in the first quarter of 2015, offset by increased revenue resulting from acquisitions and growth at Digital Insurance and $15 million of realized gains associated with the sale of Stillwater Insurance Group, our specialty insurance business, in the second quarter of 2016.</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operating expenses were $12 million and $6 million for the three months ended September 30, 2016 and 2015, respectively, and $30 million and $92 million for the nine months ended September 30, 2016 and 2015, respectively. The increase of $6 million in the three-month period is primarily attributable to acquisitions and growth at Digital Insurance and to expense associated with smaller FNFV acquisitions in the current year. The decrease of $62 million in the nine-month period is primarily attributable to the sale of Cascade Timberlands in the first quarter of 2015.</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Personnel costs were $29 million and $22 million for the three months ended September 30, 2016 and 2015, respectively and $80 million and $65 million for the nine months ended September 30, 2016 and 2015, respectively. The change in both periods is primarily attributable to acquisitions and growth at Digital Insurance and to costs with associated smaller FNFV acquisitions in the current year.</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segment generated pretax earnings (losses) of $0 million and $(3) million for the three months ended September 30, 2016 and 2015, respectively and $14 million and $3 million for the nine months ended September 30, 2016 and 2015, respectively. The change in earnings is attributable to the aforementioned changes in earnings and expenses.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Cash Requirements. </w:t>
      </w:r>
      <w:r>
        <w:rPr>
          <w:rFonts w:ascii="Times New Roman" w:cs="Times New Roman" w:eastAsia="Times New Roman" w:hAnsi="Times New Roman"/>
          <w:sz w:val="18"/>
          <w:szCs w:val="18"/>
          <w:color w:val="auto"/>
        </w:rPr>
        <w:t>Our current cash requirements include personnel costs, operating expenses, claim payments, taxes, payments of interest and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our debt, capital expenditures, business acquisitions, stock repurchases and dividends on our common stock. We paid dividends of $0.21 per share for the third quarter of 2016, or approximately $57 million to our FNF Group common shareholders. On November 2, 2016, our Board of Directors declared cash dividends of $0.25 per share, payable on December 30, 2016, to FNF Group common shareholders of record as of December 16, 2016.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 Additional uses of cash flow are expected to include acquisitions, stock repurchases and debt repayments.</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continually assess our capital allocation strategy, including decisions relating to the amount of our dividend, reducing debt, repurchasing our stock, making acquisitions and/or conserving cash. We believe that all anticipated cash requirements for current operations will be met from internally generated funds, through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title claim loss reserves, we do not specifically match durations of our investments to the cash outflows required to pay claims, but do manage outflows on a shorter time frame.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applicable state of domicile regulates the extent to which our title underwriters can pay dividends or make other distributions. As of December 31, 2015, $2,049 million of our net assets were restricted from dividend payments without prior approval from the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7"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relevant departments of insurance. As of September 30, 2016, our title subsidiaries have no remaining capacity to make ordinary distributions in 2016. However, we anticipate that our title insurance subsidiaries will pay or make extraordinary dividends in the remainder of 2016 of approximately $114 million by obtaining prior approval from the relevant departments of insurance. Our underwritten title companies and non-insurance subsidiaries collect revenue and pay operating expenses. However, they are not regulated to the same extent as our insurance subsidiaries.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flow from FNF Group's operations will be used for general corporate purposes including to reinvest in core operations, repay debt, pay dividends, repurchase stock, pursue other strategic initiatives and/or conserve cash.</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cash flows provided by operations for the nine months ended September 30, 2016 and 2015 totaled $745 million and $673 million, respectively. The increase of $72 million is primarily attributable to increased net earnings and a reduction in claims paid offset by increased payments for taxes in the 2016 period.</w:t>
      </w:r>
    </w:p>
    <w:p>
      <w:pPr>
        <w:spacing w:after="0" w:line="17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Total capital expenditures for property and equipment and capitalized software were $240 million and $172 million for the nine-month periods ended September 30, 2016 and 2015, respectively, with the increase primarily related to the purchase of our corporate headquarters in April 2016.</w:t>
      </w:r>
    </w:p>
    <w:p>
      <w:pPr>
        <w:spacing w:after="0" w:line="17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Financing. </w:t>
      </w:r>
      <w:r>
        <w:rPr>
          <w:rFonts w:ascii="Times New Roman" w:cs="Times New Roman" w:eastAsia="Times New Roman" w:hAnsi="Times New Roman"/>
          <w:sz w:val="18"/>
          <w:szCs w:val="18"/>
          <w:color w:val="auto"/>
        </w:rPr>
        <w:t>For a description of our financing arrangements see Note E included in Item 1 of Part 1 of this Quarterly Report, which is incorporated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into this Item 2 of Part I.</w:t>
      </w:r>
    </w:p>
    <w:p>
      <w:pPr>
        <w:spacing w:after="0" w:line="5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Historically, real estate transactions have produced seasonal revenue fluctuations in the real estate industry including title insurers.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calendar quarter is typically the weakest quarter in terms of revenue due to the generally low volume of home sales during January and February. The third calendar quarter is typically the strongest quarter in terms of revenue, primarily due to a higher volume of home sales in the summer months. The fourth quarter is typically also strong due to the desire of commercial entities to complete transactions by year-end. We have noted short-term fluctuations through recent years in resale and refinance transactions as a result of changes in interest rates and the implementation and subsequent expiration of government programs designed to stimulate the real estate market. In 2015 and into 2016, we saw seasonality trends return closer to historical patterns. During 2015, we experienced a moderate increase in existing home sales and a decline in total housing inventory. The trend has continued through the nine months ended September 30, 2016.</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our Restaurant Group segment, average weekly sales per restaurant are typically higher in the first and fourth quarters. Accordingly, we typically generate a disproportionate share of our earnings from operations in those quarters. Holidays, severe weather and other disruptive conditions may impact sales volumes seasonally in some operating regions.</w:t>
      </w:r>
    </w:p>
    <w:p>
      <w:pPr>
        <w:spacing w:after="0" w:line="17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Contractual Obligations. </w:t>
      </w:r>
      <w:r>
        <w:rPr>
          <w:rFonts w:ascii="Times New Roman" w:cs="Times New Roman" w:eastAsia="Times New Roman" w:hAnsi="Times New Roman"/>
          <w:sz w:val="18"/>
          <w:szCs w:val="18"/>
          <w:color w:val="auto"/>
        </w:rPr>
        <w:t>There have been no significant changes to our long-term contractual obligations since our Annual Report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2015, filed on February 23, 2016, other than as described below.</w:t>
      </w:r>
    </w:p>
    <w:p>
      <w:pPr>
        <w:spacing w:after="0" w:line="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29, 2016, pursuant to the terms of a certain “synthetic lease” agreement, dated as of June 29, 2004, as amended on June 27, 2011, and further described below, we exercised our option to purchase the land and various real property improvements associated with our corporate campus and headquarters in Jacksonville, Florida from SunTrust Bank for $71 million.</w:t>
      </w:r>
    </w:p>
    <w:p>
      <w:pPr>
        <w:spacing w:after="0" w:line="4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20, 2016, Black Knight entered into two interest rate swap agreements to hedge forecasted monthly interest rate payments on a total of $400 million of floating rate debt ($200 million notional value each) (the “Swap Agreements”). The Swap Agreements have been designated as cash flow hedging instruments. Under the terms of the Swap Agreements, Black Knight receives payments based on the 1-month LIBOR rate and pays a weighted average fixed rate of 1.01%. The effective term for the Swap Agreements is February 1, 2016 through January 31, 2019.</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E to the Condensed Consolidated Financial Statements included in Item 1 of Part I of this Quarterly Report for further discussion of our notes payable.</w:t>
      </w:r>
    </w:p>
    <w:p>
      <w:pPr>
        <w:spacing w:after="0" w:line="16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Capital Stock Transactions</w:t>
      </w:r>
      <w:r>
        <w:rPr>
          <w:rFonts w:ascii="Times New Roman" w:cs="Times New Roman" w:eastAsia="Times New Roman" w:hAnsi="Times New Roman"/>
          <w:sz w:val="18"/>
          <w:szCs w:val="18"/>
          <w:color w:val="auto"/>
        </w:rPr>
        <w:t>. On October 28, 2014, our Board of Directors approved a three-year stock purchase program, effective November 6, 2014,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which we could repurchase up to 10 million shares of our FNFV Group common stock through November 30, 2017. We exhausted all available repurchases under this program during February 2016. On February 18, 2016, our Board of Directors approved a new FNFV Group three-year stock repurchase program, effective March 1, 2016, under which we may repurchase up to 15 million shares of FNFV Group common stock. Purchases may be made from time to time by us in the open market at prevailing market prices or in privately negotiated transactions through February 28, 2019. We repurchased 5,431,518 shares under these programs during the nine months ended September 30, 2016 for $76 million, or an average of $10.88</w:t>
      </w:r>
    </w:p>
    <w:p>
      <w:pPr>
        <w:sectPr>
          <w:pgSz w:w="11900" w:h="16838" w:orient="portrait"/>
          <w:cols w:equalWidth="0" w:num="1">
            <w:col w:w="11420"/>
          </w:cols>
          <w:pgMar w:left="240" w:top="117" w:right="2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7" w:right="239" w:bottom="1440" w:gutter="0" w:footer="0" w:header="0"/>
          <w:type w:val="continuous"/>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 share. Subsequent to September 30, 2016 through market close on October 31, 2016, we purchased 30,000 additional shares for less than $1 million, or an average of $12.55 per share. Since the original commencement of the program effective March 1, 2016 through market close on October 31, 2016, we have repurchased a total of 3,765,000 shares for $43 million, or an average of $11.35 per share, and there are 11,235,000 shares available to be repurchased under this program.</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July 20, 2015, our Board of Directors approved a new three-year stock repurchase program under which we can purchase up to 25 million of our FNF Group common stock through July 30, 2018. We may make repurchases from time to time in the open market, in block purchases or in privately negotiated transactions, depending on market conditions and other factors. We repurchased 5,464,000 shares of FNF Group common stock during the nine months ended September 30, 2016 for $188 million, or an average of $34.32 per share. Subsequent to September 30, 2016 through market close on October 31, 2016, we purchased 75,000 additional shares for $3 million, or an average of $36.78 per share. Since the original commencement of this program through market close on October 31, 2016, we have repurchased a total of 10,114,000 shares of FNF Group common stock for $356 million, or an average of $35.20 per share, and there are 14,886,000 shares available to be repurchased under the program.</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Equity Security and Preferred Stock Investments. </w:t>
      </w:r>
      <w:r>
        <w:rPr>
          <w:rFonts w:ascii="Times New Roman" w:cs="Times New Roman" w:eastAsia="Times New Roman" w:hAnsi="Times New Roman"/>
          <w:sz w:val="18"/>
          <w:szCs w:val="18"/>
          <w:color w:val="auto"/>
        </w:rPr>
        <w:t>Our equity security and preferred stock investments may be subject to significant volatility. Should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these investments fall below our cost basis and/or the financial condition or prospects of these companies deteriorate, we may determine in a future period that this decline in fair value is other-than-temporary, requiring that an impairment loss be recognized in the period such a determination is made.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Off-Balance Sheet Arrangements. </w:t>
      </w:r>
      <w:r>
        <w:rPr>
          <w:rFonts w:ascii="Times New Roman" w:cs="Times New Roman" w:eastAsia="Times New Roman" w:hAnsi="Times New Roman"/>
          <w:sz w:val="18"/>
          <w:szCs w:val="18"/>
          <w:color w:val="auto"/>
        </w:rPr>
        <w:t>We are not currently engaged in off-balance sheet activities. Through April 2016, we had an off-balance sheet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leasing arrangement (commonly referred to as a “synthetic lease”) for our corporate campus in Jacksonville, Florida. The material terms of the synthetic lease are set forth in our Annual Report for the year ended December 31, 2015. On April 29, 2016, we exercised our option to purchase the property, at which time the lease previously associated with the property was terminated.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policies described in our Annual Report for our fiscal year ended December 31, 2015.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have been no material changes in the market risks described in our Annual Report on Form 10-K for the year ended December 31, 2015.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September 30, 2016 that have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7"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See discussion of legal proceedings in Note F to the Condensed Consolidated Financial Statements included in Item 1 of Part I of this Report, which is incorporated by reference into this Item 1 of Part II.</w:t>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ectPr>
          <w:pgSz w:w="11900" w:h="16838" w:orient="portrait"/>
          <w:cols w:equalWidth="0" w:num="1">
            <w:col w:w="11400"/>
          </w:cols>
          <w:pgMar w:left="240" w:top="117" w:right="259" w:bottom="1440" w:gutter="0" w:footer="0" w:header="0"/>
        </w:sectPr>
      </w:pPr>
    </w:p>
    <w:p>
      <w:pPr>
        <w:spacing w:after="0" w:line="3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summarizes repurchases of equity securities by FNF during the three months ended September 30, 2016:</w:t>
      </w:r>
    </w:p>
    <w:p>
      <w:pPr>
        <w:spacing w:after="0" w:line="245"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0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3440" w:type="dxa"/>
            <w:vAlign w:val="bottom"/>
            <w:vMerge w:val="restart"/>
          </w:tcPr>
          <w:p>
            <w:pPr>
              <w:jc w:val="center"/>
              <w:ind w:left="158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60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0" w:type="dxa"/>
            <w:vAlign w:val="bottom"/>
          </w:tcPr>
          <w:p>
            <w:pPr>
              <w:spacing w:after="0"/>
              <w:rPr>
                <w:sz w:val="1"/>
                <w:szCs w:val="1"/>
                <w:color w:val="auto"/>
              </w:rPr>
            </w:pPr>
          </w:p>
        </w:tc>
      </w:tr>
      <w:tr>
        <w:trPr>
          <w:trHeight w:val="149"/>
        </w:trPr>
        <w:tc>
          <w:tcPr>
            <w:tcW w:w="2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440" w:type="dxa"/>
            <w:vAlign w:val="bottom"/>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60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0" w:type="dxa"/>
            <w:vAlign w:val="bottom"/>
          </w:tcPr>
          <w:p>
            <w:pPr>
              <w:spacing w:after="0"/>
              <w:rPr>
                <w:sz w:val="1"/>
                <w:szCs w:val="1"/>
                <w:color w:val="auto"/>
              </w:rPr>
            </w:pPr>
          </w:p>
        </w:tc>
      </w:tr>
      <w:tr>
        <w:trPr>
          <w:trHeight w:val="190"/>
        </w:trPr>
        <w:tc>
          <w:tcPr>
            <w:tcW w:w="2240" w:type="dxa"/>
            <w:vAlign w:val="bottom"/>
            <w:vMerge w:val="continue"/>
          </w:tcPr>
          <w:p>
            <w:pPr>
              <w:spacing w:after="0"/>
              <w:rPr>
                <w:sz w:val="16"/>
                <w:szCs w:val="16"/>
                <w:color w:val="auto"/>
              </w:rPr>
            </w:pPr>
          </w:p>
        </w:tc>
        <w:tc>
          <w:tcPr>
            <w:tcW w:w="3440" w:type="dxa"/>
            <w:vAlign w:val="bottom"/>
          </w:tcPr>
          <w:p>
            <w:pPr>
              <w:jc w:val="center"/>
              <w:ind w:left="160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0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Plans or Programs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440"/>
        <w:spacing w:after="0" w:line="237" w:lineRule="auto"/>
        <w:rPr>
          <w:sz w:val="20"/>
          <w:szCs w:val="20"/>
          <w:color w:val="auto"/>
        </w:rPr>
      </w:pPr>
      <w:r>
        <w:rPr>
          <w:rFonts w:ascii="Times New Roman" w:cs="Times New Roman" w:eastAsia="Times New Roman" w:hAnsi="Times New Roman"/>
          <w:sz w:val="14"/>
          <w:szCs w:val="14"/>
          <w:b w:val="1"/>
          <w:bCs w:val="1"/>
          <w:color w:val="auto"/>
        </w:rPr>
        <w:t>Maximum Number of Shares that May Yet Be Purchased Under the Plans or Programs (2)</w:t>
      </w:r>
    </w:p>
    <w:p>
      <w:pPr>
        <w:spacing w:after="0" w:line="1" w:lineRule="exact"/>
        <w:rPr>
          <w:sz w:val="20"/>
          <w:szCs w:val="20"/>
          <w:color w:val="auto"/>
        </w:rPr>
      </w:pPr>
    </w:p>
    <w:p>
      <w:pPr>
        <w:sectPr>
          <w:pgSz w:w="11900" w:h="16838" w:orient="portrait"/>
          <w:cols w:equalWidth="0" w:num="2">
            <w:col w:w="9340" w:space="160"/>
            <w:col w:w="1900"/>
          </w:cols>
          <w:pgMar w:left="240" w:top="117" w:right="259" w:bottom="1440" w:gutter="0" w:footer="0" w:header="0"/>
          <w:type w:val="continuous"/>
        </w:sectPr>
      </w:pPr>
    </w:p>
    <w:tbl>
      <w:tblPr>
        <w:tblLayout w:type="fixed"/>
        <w:tblInd w:w="260" w:type="dxa"/>
        <w:tblCellMar>
          <w:top w:w="0" w:type="dxa"/>
          <w:left w:w="0" w:type="dxa"/>
          <w:bottom w:w="0" w:type="dxa"/>
          <w:right w:w="0" w:type="dxa"/>
        </w:tblCellMar>
      </w:tblPr>
      <w:tr>
        <w:trPr>
          <w:trHeight w:val="254"/>
        </w:trPr>
        <w:tc>
          <w:tcPr>
            <w:tcW w:w="38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7/1/2016 - 7/31/2016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15,911,000</w:t>
            </w: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8/1/2016 - 8/31/2016</w:t>
            </w:r>
          </w:p>
        </w:tc>
        <w:tc>
          <w:tcPr>
            <w:tcW w:w="1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425,000</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15,486,000</w:t>
            </w: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9/1/2016 - 9/30/2016</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525,000</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14,961,000</w:t>
            </w:r>
          </w:p>
        </w:tc>
      </w:tr>
      <w:tr>
        <w:trPr>
          <w:trHeight w:val="237"/>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1,100,000</w:t>
            </w:r>
          </w:p>
        </w:tc>
        <w:tc>
          <w:tcPr>
            <w:tcW w:w="12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spacing w:after="0" w:line="22" w:lineRule="exact"/>
        <w:rPr>
          <w:sz w:val="20"/>
          <w:szCs w:val="20"/>
          <w:color w:val="auto"/>
        </w:rPr>
      </w:pPr>
    </w:p>
    <w:p>
      <w:pPr>
        <w:ind w:left="980" w:hanging="648"/>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20, 2015, our Board of Directors approved a three-year stock repurchase program. Under the stock repurchase program, we may repurchase up to 25 million shares of our common stock through July 30, 2018.</w:t>
      </w:r>
    </w:p>
    <w:p>
      <w:pPr>
        <w:spacing w:after="0" w:line="26"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last day of the applicable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-453390</wp:posOffset>
            </wp:positionV>
            <wp:extent cx="32156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repurchases of equity securities by FNFV during the three months ended September 30, 2016:</w:t>
      </w:r>
    </w:p>
    <w:p>
      <w:pPr>
        <w:spacing w:after="0" w:line="233"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7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9"/>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vMerge w:val="restart"/>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95"/>
        </w:trPr>
        <w:tc>
          <w:tcPr>
            <w:tcW w:w="3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 (1)</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 (2)</w:t>
            </w:r>
          </w:p>
        </w:tc>
        <w:tc>
          <w:tcPr>
            <w:tcW w:w="0" w:type="dxa"/>
            <w:vAlign w:val="bottom"/>
          </w:tcPr>
          <w:p>
            <w:pPr>
              <w:spacing w:after="0"/>
              <w:rPr>
                <w:sz w:val="1"/>
                <w:szCs w:val="1"/>
                <w:color w:val="auto"/>
              </w:rPr>
            </w:pPr>
          </w:p>
        </w:tc>
      </w:tr>
      <w:tr>
        <w:trPr>
          <w:trHeight w:val="24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7/1/2016 - 7/31/2016</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70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11,645,000</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8/1/2016 - 8/31/2016</w:t>
            </w:r>
          </w:p>
        </w:tc>
        <w:tc>
          <w:tcPr>
            <w:tcW w:w="12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170,000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17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11,475,000</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9/1/2016 - 9/30/2016</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210,000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170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11,265,000</w:t>
            </w:r>
          </w:p>
        </w:tc>
        <w:tc>
          <w:tcPr>
            <w:tcW w:w="0" w:type="dxa"/>
            <w:vAlign w:val="bottom"/>
          </w:tcPr>
          <w:p>
            <w:pPr>
              <w:spacing w:after="0"/>
              <w:rPr>
                <w:sz w:val="1"/>
                <w:szCs w:val="1"/>
                <w:color w:val="auto"/>
              </w:rPr>
            </w:pPr>
          </w:p>
        </w:tc>
      </w:tr>
      <w:tr>
        <w:trPr>
          <w:trHeight w:val="237"/>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455,000</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455,000</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80" w:hanging="648"/>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18, 2016, our Board of Directors approved a new FNFV Group three-year stock repurchase program, effective March 1, 2016, under which we may repurchase up to 15 million shares of FNFV Group common stock.</w:t>
      </w:r>
    </w:p>
    <w:p>
      <w:pPr>
        <w:spacing w:after="0" w:line="26"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last day of the applicable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-453390</wp:posOffset>
            </wp:positionV>
            <wp:extent cx="32156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117" w:right="259" w:bottom="1440" w:gutter="0" w:footer="0" w:header="0"/>
          <w:type w:val="continuous"/>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6"/>
              </w:rPr>
              <w:t>(a) Exhibits:</w:t>
            </w:r>
          </w:p>
        </w:tc>
        <w:tc>
          <w:tcPr>
            <w:tcW w:w="10060" w:type="dxa"/>
            <w:vAlign w:val="bottom"/>
          </w:tcPr>
          <w:p>
            <w:pPr>
              <w:spacing w:after="0"/>
              <w:rPr>
                <w:sz w:val="20"/>
                <w:szCs w:val="20"/>
                <w:color w:val="auto"/>
              </w:rPr>
            </w:pPr>
          </w:p>
        </w:tc>
      </w:tr>
      <w:tr>
        <w:trPr>
          <w:trHeight w:val="594"/>
        </w:trPr>
        <w:tc>
          <w:tcPr>
            <w:tcW w:w="10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31.1</w:t>
            </w:r>
          </w:p>
        </w:tc>
        <w:tc>
          <w:tcPr>
            <w:tcW w:w="10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tc>
      </w:tr>
      <w:tr>
        <w:trPr>
          <w:trHeight w:val="540"/>
        </w:trPr>
        <w:tc>
          <w:tcPr>
            <w:tcW w:w="10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31.2</w:t>
            </w:r>
          </w:p>
        </w:tc>
        <w:tc>
          <w:tcPr>
            <w:tcW w:w="10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tc>
      </w:tr>
      <w:tr>
        <w:trPr>
          <w:trHeight w:val="522"/>
        </w:trPr>
        <w:tc>
          <w:tcPr>
            <w:tcW w:w="10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32.1</w:t>
            </w:r>
          </w:p>
        </w:tc>
        <w:tc>
          <w:tcPr>
            <w:tcW w:w="10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by Chief Executive Officer of Periodic Financial Reports pursuant to Section 906 of the Sarbanes-Oxley Act of 2002, 18</w:t>
            </w:r>
          </w:p>
        </w:tc>
      </w:tr>
      <w:tr>
        <w:trPr>
          <w:trHeight w:val="234"/>
        </w:trPr>
        <w:tc>
          <w:tcPr>
            <w:tcW w:w="1080" w:type="dxa"/>
            <w:vAlign w:val="bottom"/>
          </w:tcPr>
          <w:p>
            <w:pPr>
              <w:spacing w:after="0"/>
              <w:rPr>
                <w:sz w:val="20"/>
                <w:szCs w:val="20"/>
                <w:color w:val="auto"/>
              </w:rPr>
            </w:pPr>
          </w:p>
        </w:tc>
        <w:tc>
          <w:tcPr>
            <w:tcW w:w="10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U.S.C. Section 1350.</w:t>
            </w:r>
          </w:p>
        </w:tc>
      </w:tr>
      <w:tr>
        <w:trPr>
          <w:trHeight w:val="522"/>
        </w:trPr>
        <w:tc>
          <w:tcPr>
            <w:tcW w:w="10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32.2</w:t>
            </w:r>
          </w:p>
        </w:tc>
        <w:tc>
          <w:tcPr>
            <w:tcW w:w="10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by Chief Financial Officer of Periodic Financial Reports pursuant to Section 906 of the Sarbanes-Oxley Act of 2002, 18</w:t>
            </w:r>
          </w:p>
        </w:tc>
      </w:tr>
      <w:tr>
        <w:trPr>
          <w:trHeight w:val="234"/>
        </w:trPr>
        <w:tc>
          <w:tcPr>
            <w:tcW w:w="1080" w:type="dxa"/>
            <w:vAlign w:val="bottom"/>
          </w:tcPr>
          <w:p>
            <w:pPr>
              <w:spacing w:after="0"/>
              <w:rPr>
                <w:sz w:val="20"/>
                <w:szCs w:val="20"/>
                <w:color w:val="auto"/>
              </w:rPr>
            </w:pPr>
          </w:p>
        </w:tc>
        <w:tc>
          <w:tcPr>
            <w:tcW w:w="10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U.S.C. Section 1350.</w:t>
            </w:r>
          </w:p>
        </w:tc>
      </w:tr>
      <w:tr>
        <w:trPr>
          <w:trHeight w:val="446"/>
        </w:trPr>
        <w:tc>
          <w:tcPr>
            <w:tcW w:w="10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99.1</w:t>
            </w:r>
          </w:p>
        </w:tc>
        <w:tc>
          <w:tcPr>
            <w:tcW w:w="10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Unaudited Attributed Financial Information for Fidelity National Financial Group Tracking Stock</w:t>
            </w:r>
          </w:p>
        </w:tc>
      </w:tr>
      <w:tr>
        <w:trPr>
          <w:trHeight w:val="432"/>
        </w:trPr>
        <w:tc>
          <w:tcPr>
            <w:tcW w:w="10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99.2</w:t>
            </w:r>
          </w:p>
        </w:tc>
        <w:tc>
          <w:tcPr>
            <w:tcW w:w="10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Unaudited Attributed Financial Information for Fidelity National Financial Ventures Group Tracking Stock</w:t>
            </w:r>
          </w:p>
        </w:tc>
      </w:tr>
    </w:tbl>
    <w:p>
      <w:pPr>
        <w:spacing w:after="0" w:line="225" w:lineRule="exact"/>
        <w:rPr>
          <w:sz w:val="20"/>
          <w:szCs w:val="20"/>
          <w:color w:val="auto"/>
        </w:rPr>
      </w:pPr>
    </w:p>
    <w:p>
      <w:pPr>
        <w:jc w:val="both"/>
        <w:ind w:left="1520" w:hanging="1127"/>
        <w:spacing w:after="0" w:line="258" w:lineRule="auto"/>
        <w:tabs>
          <w:tab w:leader="none" w:pos="1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Fidelity National Financial, Inc.'s Quarterly Report on Form 10-Q for the quarter ended September 30, 2016, formatted in Extensible Business Reporting Language (XBRL): (i) the Condensed Consolidated Balance Sheets, (ii) the Condensed Consolidated Statements of Earnings, (iii) the Condensed Consolidated Statements of Comprehensive Earnings, (iv) the Condensed Consolidated Statements of Stockholders' Equity, (v) the Condensed Consolidated Statements of Cash Flows, and (vi) the Notes to the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117"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117"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0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2016</w:t>
            </w:r>
          </w:p>
        </w:tc>
        <w:tc>
          <w:tcPr>
            <w:tcW w:w="630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FIDELITY NATIONAL FINANCIAL, INC.</w:t>
            </w:r>
          </w:p>
        </w:tc>
      </w:tr>
      <w:tr>
        <w:trPr>
          <w:trHeight w:val="234"/>
        </w:trPr>
        <w:tc>
          <w:tcPr>
            <w:tcW w:w="3400" w:type="dxa"/>
            <w:vAlign w:val="bottom"/>
          </w:tcPr>
          <w:p>
            <w:pPr>
              <w:spacing w:after="0"/>
              <w:rPr>
                <w:sz w:val="20"/>
                <w:szCs w:val="20"/>
                <w:color w:val="auto"/>
              </w:rPr>
            </w:pPr>
          </w:p>
        </w:tc>
        <w:tc>
          <w:tcPr>
            <w:tcW w:w="630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(registrant)</w:t>
            </w:r>
          </w:p>
        </w:tc>
      </w:tr>
      <w:tr>
        <w:trPr>
          <w:trHeight w:val="486"/>
        </w:trPr>
        <w:tc>
          <w:tcPr>
            <w:tcW w:w="3400" w:type="dxa"/>
            <w:vAlign w:val="bottom"/>
          </w:tcPr>
          <w:p>
            <w:pPr>
              <w:spacing w:after="0"/>
              <w:rPr>
                <w:sz w:val="24"/>
                <w:szCs w:val="24"/>
                <w:color w:val="auto"/>
              </w:rPr>
            </w:pPr>
          </w:p>
        </w:tc>
        <w:tc>
          <w:tcPr>
            <w:tcW w:w="630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Anthony J. Park</w:t>
            </w:r>
          </w:p>
        </w:tc>
      </w:tr>
      <w:tr>
        <w:trPr>
          <w:trHeight w:val="27"/>
        </w:trPr>
        <w:tc>
          <w:tcPr>
            <w:tcW w:w="3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37"/>
        </w:trPr>
        <w:tc>
          <w:tcPr>
            <w:tcW w:w="34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Anthony J. Park</w:t>
            </w:r>
          </w:p>
        </w:tc>
      </w:tr>
      <w:tr>
        <w:trPr>
          <w:trHeight w:val="252"/>
        </w:trPr>
        <w:tc>
          <w:tcPr>
            <w:tcW w:w="34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4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86"/>
        </w:trPr>
        <w:tc>
          <w:tcPr>
            <w:tcW w:w="3400" w:type="dxa"/>
            <w:vAlign w:val="bottom"/>
          </w:tcPr>
          <w:p>
            <w:pPr>
              <w:spacing w:after="0"/>
              <w:rPr>
                <w:sz w:val="24"/>
                <w:szCs w:val="24"/>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4300" w:type="dxa"/>
            <w:vAlign w:val="bottom"/>
          </w:tcPr>
          <w:p>
            <w:pPr>
              <w:spacing w:after="0"/>
              <w:rPr>
                <w:sz w:val="24"/>
                <w:szCs w:val="24"/>
                <w:color w:val="auto"/>
              </w:rPr>
            </w:pPr>
          </w:p>
        </w:tc>
      </w:tr>
    </w:tbl>
    <w:p>
      <w:pPr>
        <w:sectPr>
          <w:pgSz w:w="11900" w:h="16838" w:orient="portrait"/>
          <w:cols w:equalWidth="0" w:num="1">
            <w:col w:w="11380"/>
          </w:cols>
          <w:pgMar w:left="240" w:top="117" w:right="27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9900" w:type="dxa"/>
            <w:vAlign w:val="bottom"/>
          </w:tcPr>
          <w:p>
            <w:pPr>
              <w:spacing w:after="0"/>
              <w:rPr>
                <w:sz w:val="17"/>
                <w:szCs w:val="17"/>
                <w:color w:val="auto"/>
              </w:rPr>
            </w:pPr>
          </w:p>
        </w:tc>
      </w:tr>
      <w:tr>
        <w:trPr>
          <w:trHeight w:val="1020"/>
        </w:trPr>
        <w:tc>
          <w:tcPr>
            <w:tcW w:w="13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918"/>
        </w:trPr>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tc>
      </w:tr>
      <w:tr>
        <w:trPr>
          <w:trHeight w:val="540"/>
        </w:trPr>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tc>
      </w:tr>
      <w:tr>
        <w:trPr>
          <w:trHeight w:val="522"/>
        </w:trPr>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Certification by Chief Executive Officer of Periodic Financial Reports pursuant to Section 906 of the Sarbanes-Oxley Act of 2002, 18</w:t>
            </w:r>
          </w:p>
        </w:tc>
      </w:t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U.S.C. Section 1350.</w:t>
            </w:r>
          </w:p>
        </w:tc>
      </w:tr>
      <w:tr>
        <w:trPr>
          <w:trHeight w:val="522"/>
        </w:trPr>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Certification by Chief Financial Officer of Periodic Financial Reports pursuant to Section 906 of the Sarbanes-Oxley Act of 2002, 18</w:t>
            </w:r>
          </w:p>
        </w:tc>
      </w:t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U.S.C. Section 1350.</w:t>
            </w:r>
          </w:p>
        </w:tc>
      </w:tr>
      <w:tr>
        <w:trPr>
          <w:trHeight w:val="446"/>
        </w:trPr>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Unaudited Attributed Financial Information for Fidelity National Financial Group Tracking Stock</w:t>
            </w:r>
          </w:p>
        </w:tc>
      </w:tr>
      <w:tr>
        <w:trPr>
          <w:trHeight w:val="432"/>
        </w:trPr>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Unaudited Attributed Financial Information for Fidelity National Financial Ventures Group Tracking Stock</w:t>
            </w:r>
          </w:p>
        </w:tc>
      </w:tr>
    </w:tbl>
    <w:p>
      <w:pPr>
        <w:spacing w:after="0" w:line="225" w:lineRule="exact"/>
        <w:rPr>
          <w:sz w:val="20"/>
          <w:szCs w:val="20"/>
          <w:color w:val="auto"/>
        </w:rPr>
      </w:pPr>
    </w:p>
    <w:p>
      <w:pPr>
        <w:jc w:val="both"/>
        <w:ind w:left="1540" w:hanging="1127"/>
        <w:spacing w:after="0" w:line="258" w:lineRule="auto"/>
        <w:tabs>
          <w:tab w:leader="none" w:pos="1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Fidelity National Financial, Inc.'s Quarterly Report on Form 10-Q for the quarter ended September 30, 2016, formatted in Extensible Business Reporting Language (XBRL): (i) the Condensed Consolidated Balance Sheets, (ii) the Condensed Consolidated Statements of Earnings, (iii) the Condensed Consolidated Statements of Comprehensive Earnings, (iv) the Condensed Consolidated Statements of Stockholders' Equity, (v) the Condensed Consolidated Statements of Cash Flows, and (vi)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60"/>
          </w:cols>
          <w:pgMar w:left="240" w:top="108" w:right="29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Raymond R. Quirk, certify that:</w:t>
      </w:r>
    </w:p>
    <w:p>
      <w:pPr>
        <w:spacing w:after="0" w:line="153"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Fidelity National Financial, Inc.;</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19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460" w:hanging="966"/>
        <w:spacing w:after="0" w:line="282" w:lineRule="auto"/>
        <w:tabs>
          <w:tab w:leader="none" w:pos="14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20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460" w:hanging="966"/>
        <w:spacing w:after="0" w:line="282" w:lineRule="auto"/>
        <w:tabs>
          <w:tab w:leader="none" w:pos="14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460" w:hanging="966"/>
        <w:spacing w:after="0" w:line="282" w:lineRule="auto"/>
        <w:tabs>
          <w:tab w:leader="none" w:pos="14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2016</w:t>
      </w:r>
    </w:p>
    <w:p>
      <w:pPr>
        <w:spacing w:after="0" w:line="171" w:lineRule="exact"/>
        <w:rPr>
          <w:sz w:val="20"/>
          <w:szCs w:val="20"/>
          <w:color w:val="auto"/>
        </w:rPr>
      </w:pPr>
    </w:p>
    <w:p>
      <w:pPr>
        <w:ind w:left="320"/>
        <w:spacing w:after="0"/>
        <w:tabs>
          <w:tab w:leader="none" w:pos="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34290</wp:posOffset>
            </wp:positionV>
            <wp:extent cx="21780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Raymond R. Quirk</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J. Park, certify that:</w:t>
      </w:r>
    </w:p>
    <w:p>
      <w:pPr>
        <w:spacing w:after="0" w:line="153"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Fidelity National Financial, Inc.;</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19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460" w:hanging="966"/>
        <w:spacing w:after="0" w:line="282" w:lineRule="auto"/>
        <w:tabs>
          <w:tab w:leader="none" w:pos="14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20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460" w:hanging="966"/>
        <w:spacing w:after="0" w:line="282" w:lineRule="auto"/>
        <w:tabs>
          <w:tab w:leader="none" w:pos="14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460" w:hanging="966"/>
        <w:spacing w:after="0" w:line="282" w:lineRule="auto"/>
        <w:tabs>
          <w:tab w:leader="none" w:pos="14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2016</w:t>
      </w:r>
    </w:p>
    <w:p>
      <w:pPr>
        <w:spacing w:after="0" w:line="333" w:lineRule="exact"/>
        <w:rPr>
          <w:sz w:val="20"/>
          <w:szCs w:val="20"/>
          <w:color w:val="auto"/>
        </w:rPr>
      </w:pPr>
    </w:p>
    <w:p>
      <w:pPr>
        <w:ind w:left="320"/>
        <w:spacing w:after="0"/>
        <w:tabs>
          <w:tab w:leader="none" w:pos="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34290</wp:posOffset>
            </wp:positionV>
            <wp:extent cx="21780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Anthony J. Park</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 18 U.S.C. §1350</w:t>
      </w:r>
    </w:p>
    <w:p>
      <w:pPr>
        <w:spacing w:after="0" w:line="229" w:lineRule="exact"/>
        <w:rPr>
          <w:sz w:val="20"/>
          <w:szCs w:val="20"/>
          <w:color w:val="auto"/>
        </w:rPr>
      </w:pPr>
    </w:p>
    <w:p>
      <w:pPr>
        <w:ind w:firstLine="362"/>
        <w:spacing w:after="0" w:line="282"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108" w:lineRule="exact"/>
        <w:rPr>
          <w:sz w:val="20"/>
          <w:szCs w:val="20"/>
          <w:color w:val="auto"/>
        </w:rPr>
      </w:pPr>
    </w:p>
    <w:p>
      <w:pPr>
        <w:ind w:left="900" w:hanging="892"/>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161" w:lineRule="exact"/>
        <w:rPr>
          <w:rFonts w:ascii="Times New Roman" w:cs="Times New Roman" w:eastAsia="Times New Roman" w:hAnsi="Times New Roman"/>
          <w:sz w:val="18"/>
          <w:szCs w:val="18"/>
          <w:color w:val="auto"/>
        </w:rPr>
      </w:pPr>
    </w:p>
    <w:p>
      <w:pPr>
        <w:ind w:left="900" w:hanging="892"/>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62" w:lineRule="exact"/>
        <w:rPr>
          <w:sz w:val="20"/>
          <w:szCs w:val="20"/>
          <w:color w:val="auto"/>
        </w:rPr>
      </w:pPr>
    </w:p>
    <w:p>
      <w:pPr>
        <w:ind w:right="1760" w:firstLine="225"/>
        <w:spacing w:after="0" w:line="470" w:lineRule="auto"/>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 Date: November 3, 2016</w:t>
      </w:r>
    </w:p>
    <w:p>
      <w:pPr>
        <w:spacing w:after="0" w:line="108" w:lineRule="exact"/>
        <w:rPr>
          <w:sz w:val="20"/>
          <w:szCs w:val="20"/>
          <w:color w:val="auto"/>
        </w:rPr>
      </w:pPr>
    </w:p>
    <w:p>
      <w:pPr>
        <w:ind w:left="40"/>
        <w:spacing w:after="0"/>
        <w:tabs>
          <w:tab w:leader="none" w:pos="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34290</wp:posOffset>
            </wp:positionV>
            <wp:extent cx="2744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Raymond R. Quirk</w:t>
      </w:r>
    </w:p>
    <w:p>
      <w:pPr>
        <w:spacing w:after="0" w:line="6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793" w:right="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 18 U.S.C. §1350</w:t>
      </w:r>
    </w:p>
    <w:p>
      <w:pPr>
        <w:spacing w:after="0" w:line="175" w:lineRule="exact"/>
        <w:rPr>
          <w:sz w:val="20"/>
          <w:szCs w:val="20"/>
          <w:color w:val="auto"/>
        </w:rPr>
      </w:pPr>
    </w:p>
    <w:p>
      <w:pPr>
        <w:ind w:firstLine="372"/>
        <w:spacing w:after="0" w:line="282"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08" w:lineRule="exact"/>
        <w:rPr>
          <w:sz w:val="20"/>
          <w:szCs w:val="20"/>
          <w:color w:val="auto"/>
        </w:rPr>
      </w:pPr>
    </w:p>
    <w:p>
      <w:pPr>
        <w:ind w:left="900" w:hanging="892"/>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161" w:lineRule="exact"/>
        <w:rPr>
          <w:rFonts w:ascii="Times New Roman" w:cs="Times New Roman" w:eastAsia="Times New Roman" w:hAnsi="Times New Roman"/>
          <w:sz w:val="18"/>
          <w:szCs w:val="18"/>
          <w:color w:val="auto"/>
        </w:rPr>
      </w:pPr>
    </w:p>
    <w:p>
      <w:pPr>
        <w:ind w:left="900" w:hanging="892"/>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62" w:lineRule="exact"/>
        <w:rPr>
          <w:sz w:val="20"/>
          <w:szCs w:val="20"/>
          <w:color w:val="auto"/>
        </w:rPr>
      </w:pPr>
    </w:p>
    <w:p>
      <w:pPr>
        <w:ind w:right="1760" w:firstLine="225"/>
        <w:spacing w:after="0" w:line="470" w:lineRule="auto"/>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 Date: November 3, 2016</w:t>
      </w:r>
    </w:p>
    <w:p>
      <w:pPr>
        <w:spacing w:after="0" w:line="108" w:lineRule="exact"/>
        <w:rPr>
          <w:sz w:val="20"/>
          <w:szCs w:val="20"/>
          <w:color w:val="auto"/>
        </w:rPr>
      </w:pPr>
    </w:p>
    <w:p>
      <w:pPr>
        <w:ind w:left="80"/>
        <w:spacing w:after="0"/>
        <w:tabs>
          <w:tab w:leader="none" w:pos="6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34290</wp:posOffset>
            </wp:positionV>
            <wp:extent cx="2744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Anthony J. Park</w:t>
      </w:r>
    </w:p>
    <w:p>
      <w:pPr>
        <w:spacing w:after="0" w:line="6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Attributed Financial Information for Fidelity National Financial Group Tracking Stock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present our assets, liabilities, revenues, expenses and cash flows that are attributed to our FNF core business, known as FNF Group (“we,” or “our,”). The financial information in this Exhibit should be read in conjunction with our unaudited condensed consolidated financial statements for the period ended September 30, 2016 included in this Quarterly Report on Form 10-Q.</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FNF Group is comprised of three operating segments as follows:</w:t>
      </w:r>
    </w:p>
    <w:p>
      <w:pPr>
        <w:spacing w:after="0" w:line="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Title</w:t>
      </w:r>
    </w:p>
    <w:p>
      <w:pPr>
        <w:spacing w:after="0" w:line="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segment consists of the operations of our title insurance underwriters and related businesses. This segment provides core title insurance and escrow and other title-related services including trust activities, trustee sales guarantees, recordings and reconveyances, and home warranty insurance. This segment also includes our transaction services business, which includes other title-related services used in the production and management of mortgage loans, including mortgage loans that experience default.</w:t>
      </w:r>
    </w:p>
    <w:p>
      <w:pPr>
        <w:spacing w:after="0" w:line="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Black Knight</w:t>
      </w:r>
    </w:p>
    <w:p>
      <w:pPr>
        <w:spacing w:after="0" w:line="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segment consists of the operations of Black Knight, which, through leading software systems and information solutions, provides mission critical technology and data and analytics services that facilitate and automate many of the business processes across the life cycle of a mortgage.</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FNF Group Corporate and Other</w:t>
      </w:r>
    </w:p>
    <w:p>
      <w:pPr>
        <w:spacing w:after="0" w:line="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segment consists of the operations of the parent holding company, certain other unallocated corporate overhead expenses, and other real estate and insurance-related operations.</w:t>
      </w:r>
    </w:p>
    <w:p>
      <w:pPr>
        <w:spacing w:after="0" w:line="21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adopted certain expense allocation policies, each of which are reflected in the attributed financial information of the FNF Group and the FNFV Group (see Exhibit 99.2). In general, corporate overhead is allocated to each group based upon the use of services by that group where practicable. Corporate overhead primarily includes costs of personnel and employee benefits, legal, accounting and auditing, insurance, investor relations and stockholder services and services related to FNF’s board of directors. We allocate in a similar manner a portion of costs of administrative shared services, such as information technology services. Where determinations based on use alone are not practical, we use other methods and criteria that we believe are equitable and that provide a reasonable estimate of the cost attributable to each group.</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the following attribution of assets, liabilities, revenue, expenses and cash flows to FNF Group, Fidelity National Financial, Inc.'s ("FNF, Inc.") tracking stock structure does not affect the ownership or the respective legal title to FNF Inc.'s assets or responsibility for FNF, Inc.'s liabilities. FNF, Inc. and its subsidiaries are each responsible for their respective liabilities. Holders of FNF Group common stock are subject to risks associated with an investment in FNF, Inc. and all of its businesses, assets and liabilities. See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 Risks Relating to the Ownership of Our FNFV Group Common Stock due to our Tracking Stock Capitalization" in our Annual Report on Form 10-K for the year ended December 31, 2015 for further discussion of risks associated with our tracking stock structure.</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GROUP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1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5"/>
        </w:trPr>
        <w:tc>
          <w:tcPr>
            <w:tcW w:w="8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80" w:type="dxa"/>
            <w:vAlign w:val="bottom"/>
            <w:gridSpan w:val="4"/>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75"/>
        </w:trPr>
        <w:tc>
          <w:tcPr>
            <w:tcW w:w="8580" w:type="dxa"/>
            <w:vAlign w:val="bottom"/>
          </w:tcPr>
          <w:p>
            <w:pPr>
              <w:ind w:left="47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Investments:</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858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Fixed maturity securities available for sale, at fair value, at September 30, 2016 and December 31, 2015 includes pledged fixed maturity</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2,454</w:t>
            </w:r>
          </w:p>
        </w:tc>
        <w:tc>
          <w:tcPr>
            <w:tcW w:w="100" w:type="dxa"/>
            <w:vAlign w:val="bottom"/>
          </w:tcPr>
          <w:p>
            <w:pPr>
              <w:spacing w:after="0"/>
              <w:rPr>
                <w:sz w:val="13"/>
                <w:szCs w:val="13"/>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2,558</w:t>
            </w:r>
          </w:p>
        </w:tc>
        <w:tc>
          <w:tcPr>
            <w:tcW w:w="0" w:type="dxa"/>
            <w:vAlign w:val="bottom"/>
          </w:tcPr>
          <w:p>
            <w:pPr>
              <w:spacing w:after="0"/>
              <w:rPr>
                <w:sz w:val="1"/>
                <w:szCs w:val="1"/>
                <w:color w:val="auto"/>
              </w:rPr>
            </w:pPr>
          </w:p>
        </w:tc>
      </w:tr>
      <w:tr>
        <w:trPr>
          <w:trHeight w:val="193"/>
        </w:trPr>
        <w:tc>
          <w:tcPr>
            <w:tcW w:w="8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securities of $332 and $342, respectively, related to secured trust deposits</w:t>
            </w:r>
          </w:p>
        </w:tc>
        <w:tc>
          <w:tcPr>
            <w:tcW w:w="1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Preferred stock available for sale, at fair value</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265"/>
        </w:trPr>
        <w:tc>
          <w:tcPr>
            <w:tcW w:w="8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 securities available for sale, at fair value</w:t>
            </w:r>
          </w:p>
        </w:tc>
        <w:tc>
          <w:tcPr>
            <w:tcW w:w="1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309</w:t>
            </w:r>
          </w:p>
        </w:tc>
        <w:tc>
          <w:tcPr>
            <w:tcW w:w="0" w:type="dxa"/>
            <w:vAlign w:val="bottom"/>
          </w:tcPr>
          <w:p>
            <w:pPr>
              <w:spacing w:after="0"/>
              <w:rPr>
                <w:sz w:val="1"/>
                <w:szCs w:val="1"/>
                <w:color w:val="auto"/>
              </w:rPr>
            </w:pPr>
          </w:p>
        </w:tc>
      </w:tr>
      <w:tr>
        <w:trPr>
          <w:trHeight w:val="275"/>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265"/>
        </w:trPr>
        <w:tc>
          <w:tcPr>
            <w:tcW w:w="8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1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58"/>
        </w:trPr>
        <w:tc>
          <w:tcPr>
            <w:tcW w:w="858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Short-term investments, at September 30, 2016 and December 31, 2015 includes short-term investments of $193 and $266, respectively, related</w:t>
            </w:r>
          </w:p>
        </w:tc>
        <w:tc>
          <w:tcPr>
            <w:tcW w:w="16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790</w:t>
            </w:r>
          </w:p>
        </w:tc>
        <w:tc>
          <w:tcPr>
            <w:tcW w:w="0" w:type="dxa"/>
            <w:vAlign w:val="bottom"/>
          </w:tcPr>
          <w:p>
            <w:pPr>
              <w:spacing w:after="0"/>
              <w:rPr>
                <w:sz w:val="1"/>
                <w:szCs w:val="1"/>
                <w:color w:val="auto"/>
              </w:rPr>
            </w:pPr>
          </w:p>
        </w:tc>
      </w:tr>
      <w:tr>
        <w:trPr>
          <w:trHeight w:val="193"/>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 secured trust deposits</w:t>
            </w:r>
          </w:p>
        </w:tc>
        <w:tc>
          <w:tcPr>
            <w:tcW w:w="1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investments</w:t>
            </w:r>
          </w:p>
        </w:tc>
        <w:tc>
          <w:tcPr>
            <w:tcW w:w="160" w:type="dxa"/>
            <w:vAlign w:val="bottom"/>
          </w:tcPr>
          <w:p>
            <w:pPr>
              <w:spacing w:after="0"/>
              <w:rPr>
                <w:sz w:val="21"/>
                <w:szCs w:val="21"/>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4,149</w:t>
            </w:r>
          </w:p>
        </w:tc>
        <w:tc>
          <w:tcPr>
            <w:tcW w:w="0" w:type="dxa"/>
            <w:vAlign w:val="bottom"/>
          </w:tcPr>
          <w:p>
            <w:pPr>
              <w:spacing w:after="0"/>
              <w:rPr>
                <w:sz w:val="1"/>
                <w:szCs w:val="1"/>
                <w:color w:val="auto"/>
              </w:rPr>
            </w:pPr>
          </w:p>
        </w:tc>
      </w:tr>
      <w:tr>
        <w:trPr>
          <w:trHeight w:val="158"/>
        </w:trPr>
        <w:tc>
          <w:tcPr>
            <w:tcW w:w="858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Cash and cash equivalents, at September 30, 2016 and December 31, 2015 includes $412 and $108, respectively, of pledged cash related to secured</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8"/>
              <w:spacing w:after="0" w:line="158" w:lineRule="exact"/>
              <w:rPr>
                <w:sz w:val="20"/>
                <w:szCs w:val="20"/>
                <w:color w:val="auto"/>
              </w:rPr>
            </w:pPr>
            <w:r>
              <w:rPr>
                <w:rFonts w:ascii="Times New Roman" w:cs="Times New Roman" w:eastAsia="Times New Roman" w:hAnsi="Times New Roman"/>
                <w:sz w:val="14"/>
                <w:szCs w:val="14"/>
                <w:color w:val="auto"/>
              </w:rPr>
              <w:t>1,043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28"/>
              <w:spacing w:after="0" w:line="158" w:lineRule="exact"/>
              <w:rPr>
                <w:sz w:val="20"/>
                <w:szCs w:val="20"/>
                <w:color w:val="auto"/>
              </w:rPr>
            </w:pPr>
            <w:r>
              <w:rPr>
                <w:rFonts w:ascii="Times New Roman" w:cs="Times New Roman" w:eastAsia="Times New Roman" w:hAnsi="Times New Roman"/>
                <w:sz w:val="14"/>
                <w:szCs w:val="14"/>
                <w:color w:val="auto"/>
              </w:rPr>
              <w:t>749</w:t>
            </w:r>
          </w:p>
        </w:tc>
        <w:tc>
          <w:tcPr>
            <w:tcW w:w="0" w:type="dxa"/>
            <w:vAlign w:val="bottom"/>
          </w:tcPr>
          <w:p>
            <w:pPr>
              <w:spacing w:after="0"/>
              <w:rPr>
                <w:sz w:val="1"/>
                <w:szCs w:val="1"/>
                <w:color w:val="auto"/>
              </w:rPr>
            </w:pPr>
          </w:p>
        </w:tc>
      </w:tr>
      <w:tr>
        <w:trPr>
          <w:trHeight w:val="198"/>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trust deposits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Trade and notes receivables, net of allowance of $42 and $32 at September 30, 2016 and December 31, 2015, respectively</w:t>
            </w:r>
          </w:p>
        </w:tc>
        <w:tc>
          <w:tcPr>
            <w:tcW w:w="1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453</w:t>
            </w:r>
          </w:p>
        </w:tc>
        <w:tc>
          <w:tcPr>
            <w:tcW w:w="0" w:type="dxa"/>
            <w:vAlign w:val="bottom"/>
          </w:tcPr>
          <w:p>
            <w:pPr>
              <w:spacing w:after="0"/>
              <w:rPr>
                <w:sz w:val="1"/>
                <w:szCs w:val="1"/>
                <w:color w:val="auto"/>
              </w:rPr>
            </w:pPr>
          </w:p>
        </w:tc>
      </w:tr>
      <w:tr>
        <w:trPr>
          <w:trHeight w:val="27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Due from affiliates</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65"/>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Goodwill</w:t>
            </w:r>
          </w:p>
        </w:tc>
        <w:tc>
          <w:tcPr>
            <w:tcW w:w="1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4,851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4,572</w:t>
            </w:r>
          </w:p>
        </w:tc>
        <w:tc>
          <w:tcPr>
            <w:tcW w:w="0" w:type="dxa"/>
            <w:vAlign w:val="bottom"/>
          </w:tcPr>
          <w:p>
            <w:pPr>
              <w:spacing w:after="0"/>
              <w:rPr>
                <w:sz w:val="1"/>
                <w:szCs w:val="1"/>
                <w:color w:val="auto"/>
              </w:rPr>
            </w:pPr>
          </w:p>
        </w:tc>
      </w:tr>
      <w:tr>
        <w:trPr>
          <w:trHeight w:val="27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551</w:t>
            </w:r>
          </w:p>
        </w:tc>
        <w:tc>
          <w:tcPr>
            <w:tcW w:w="0" w:type="dxa"/>
            <w:vAlign w:val="bottom"/>
          </w:tcPr>
          <w:p>
            <w:pPr>
              <w:spacing w:after="0"/>
              <w:rPr>
                <w:sz w:val="1"/>
                <w:szCs w:val="1"/>
                <w:color w:val="auto"/>
              </w:rPr>
            </w:pPr>
          </w:p>
        </w:tc>
      </w:tr>
      <w:tr>
        <w:trPr>
          <w:trHeight w:val="265"/>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Capitalized software, net</w:t>
            </w:r>
          </w:p>
        </w:tc>
        <w:tc>
          <w:tcPr>
            <w:tcW w:w="1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543</w:t>
            </w:r>
          </w:p>
        </w:tc>
        <w:tc>
          <w:tcPr>
            <w:tcW w:w="0" w:type="dxa"/>
            <w:vAlign w:val="bottom"/>
          </w:tcPr>
          <w:p>
            <w:pPr>
              <w:spacing w:after="0"/>
              <w:rPr>
                <w:sz w:val="1"/>
                <w:szCs w:val="1"/>
                <w:color w:val="auto"/>
              </w:rPr>
            </w:pPr>
          </w:p>
        </w:tc>
      </w:tr>
      <w:tr>
        <w:trPr>
          <w:trHeight w:val="27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842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802</w:t>
            </w:r>
          </w:p>
        </w:tc>
        <w:tc>
          <w:tcPr>
            <w:tcW w:w="0" w:type="dxa"/>
            <w:vAlign w:val="bottom"/>
          </w:tcPr>
          <w:p>
            <w:pPr>
              <w:spacing w:after="0"/>
              <w:rPr>
                <w:sz w:val="1"/>
                <w:szCs w:val="1"/>
                <w:color w:val="auto"/>
              </w:rPr>
            </w:pPr>
          </w:p>
        </w:tc>
      </w:tr>
      <w:tr>
        <w:trPr>
          <w:trHeight w:val="265"/>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Title plant</w:t>
            </w:r>
          </w:p>
        </w:tc>
        <w:tc>
          <w:tcPr>
            <w:tcW w:w="1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395</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278</w:t>
            </w:r>
          </w:p>
        </w:tc>
        <w:tc>
          <w:tcPr>
            <w:tcW w:w="0" w:type="dxa"/>
            <w:vAlign w:val="bottom"/>
          </w:tcPr>
          <w:p>
            <w:pPr>
              <w:spacing w:after="0"/>
              <w:rPr>
                <w:sz w:val="1"/>
                <w:szCs w:val="1"/>
                <w:color w:val="auto"/>
              </w:rPr>
            </w:pPr>
          </w:p>
        </w:tc>
      </w:tr>
      <w:tr>
        <w:trPr>
          <w:trHeight w:val="242"/>
        </w:trPr>
        <w:tc>
          <w:tcPr>
            <w:tcW w:w="85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13,001</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12,502</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406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Liabilities:</w:t>
            </w: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 and other accrued liabilities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897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878</w:t>
            </w:r>
          </w:p>
        </w:tc>
        <w:tc>
          <w:tcPr>
            <w:tcW w:w="0" w:type="dxa"/>
            <w:vAlign w:val="bottom"/>
          </w:tcPr>
          <w:p>
            <w:pPr>
              <w:spacing w:after="0"/>
              <w:rPr>
                <w:sz w:val="1"/>
                <w:szCs w:val="1"/>
                <w:color w:val="auto"/>
              </w:rPr>
            </w:pPr>
          </w:p>
        </w:tc>
      </w:tr>
      <w:tr>
        <w:trPr>
          <w:trHeight w:val="265"/>
        </w:trPr>
        <w:tc>
          <w:tcPr>
            <w:tcW w:w="8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taxes payable</w:t>
            </w:r>
          </w:p>
        </w:tc>
        <w:tc>
          <w:tcPr>
            <w:tcW w:w="1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75"/>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265"/>
        </w:trPr>
        <w:tc>
          <w:tcPr>
            <w:tcW w:w="8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Reserve for title claim losses</w:t>
            </w:r>
          </w:p>
        </w:tc>
        <w:tc>
          <w:tcPr>
            <w:tcW w:w="1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1,602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1,583</w:t>
            </w:r>
          </w:p>
        </w:tc>
        <w:tc>
          <w:tcPr>
            <w:tcW w:w="0" w:type="dxa"/>
            <w:vAlign w:val="bottom"/>
          </w:tcPr>
          <w:p>
            <w:pPr>
              <w:spacing w:after="0"/>
              <w:rPr>
                <w:sz w:val="1"/>
                <w:szCs w:val="1"/>
                <w:color w:val="auto"/>
              </w:rPr>
            </w:pPr>
          </w:p>
        </w:tc>
      </w:tr>
      <w:tr>
        <w:trPr>
          <w:trHeight w:val="275"/>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Secured trust deposits</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922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701</w:t>
            </w:r>
          </w:p>
        </w:tc>
        <w:tc>
          <w:tcPr>
            <w:tcW w:w="0" w:type="dxa"/>
            <w:vAlign w:val="bottom"/>
          </w:tcPr>
          <w:p>
            <w:pPr>
              <w:spacing w:after="0"/>
              <w:rPr>
                <w:sz w:val="1"/>
                <w:szCs w:val="1"/>
                <w:color w:val="auto"/>
              </w:rPr>
            </w:pPr>
          </w:p>
        </w:tc>
      </w:tr>
      <w:tr>
        <w:trPr>
          <w:trHeight w:val="265"/>
        </w:trPr>
        <w:tc>
          <w:tcPr>
            <w:tcW w:w="8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Notes payable</w:t>
            </w:r>
          </w:p>
        </w:tc>
        <w:tc>
          <w:tcPr>
            <w:tcW w:w="1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2,527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2,593</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tax liability</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669</w:t>
            </w:r>
          </w:p>
        </w:tc>
        <w:tc>
          <w:tcPr>
            <w:tcW w:w="0" w:type="dxa"/>
            <w:vAlign w:val="bottom"/>
          </w:tcPr>
          <w:p>
            <w:pPr>
              <w:spacing w:after="0"/>
              <w:rPr>
                <w:sz w:val="1"/>
                <w:szCs w:val="1"/>
                <w:color w:val="auto"/>
              </w:rPr>
            </w:pPr>
          </w:p>
        </w:tc>
      </w:tr>
      <w:tr>
        <w:trPr>
          <w:trHeight w:val="250"/>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Pr>
          <w:p>
            <w:pPr>
              <w:spacing w:after="0"/>
              <w:rPr>
                <w:sz w:val="21"/>
                <w:szCs w:val="21"/>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6,653</w:t>
            </w:r>
          </w:p>
        </w:tc>
        <w:tc>
          <w:tcPr>
            <w:tcW w:w="0" w:type="dxa"/>
            <w:vAlign w:val="bottom"/>
          </w:tcPr>
          <w:p>
            <w:pPr>
              <w:spacing w:after="0"/>
              <w:rPr>
                <w:sz w:val="1"/>
                <w:szCs w:val="1"/>
                <w:color w:val="auto"/>
              </w:rPr>
            </w:pPr>
          </w:p>
        </w:tc>
      </w:tr>
      <w:tr>
        <w:trPr>
          <w:trHeight w:val="27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Redeemable non-controlling interest by 21% minority holder of ServiceLink Holdings, LLC</w:t>
            </w:r>
          </w:p>
        </w:tc>
        <w:tc>
          <w:tcPr>
            <w:tcW w:w="1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344</w:t>
            </w:r>
          </w:p>
        </w:tc>
        <w:tc>
          <w:tcPr>
            <w:tcW w:w="0" w:type="dxa"/>
            <w:vAlign w:val="bottom"/>
          </w:tcPr>
          <w:p>
            <w:pPr>
              <w:spacing w:after="0"/>
              <w:rPr>
                <w:sz w:val="1"/>
                <w:szCs w:val="1"/>
                <w:color w:val="auto"/>
              </w:rPr>
            </w:pPr>
          </w:p>
        </w:tc>
      </w:tr>
      <w:tr>
        <w:trPr>
          <w:trHeight w:val="27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8580" w:type="dxa"/>
            <w:vAlign w:val="bottom"/>
          </w:tcPr>
          <w:p>
            <w:pPr>
              <w:ind w:left="280"/>
              <w:spacing w:after="0" w:line="153" w:lineRule="exact"/>
              <w:rPr>
                <w:sz w:val="20"/>
                <w:szCs w:val="20"/>
                <w:color w:val="auto"/>
              </w:rPr>
            </w:pPr>
            <w:r>
              <w:rPr>
                <w:rFonts w:ascii="Times New Roman" w:cs="Times New Roman" w:eastAsia="Times New Roman" w:hAnsi="Times New Roman"/>
                <w:sz w:val="14"/>
                <w:szCs w:val="14"/>
                <w:color w:val="auto"/>
              </w:rPr>
              <w:t>FNF Group common stock, $0.0001 par value; authorized 487,000,000 shares as of September 30, 2016 and December 31, 2015; outstanding</w:t>
            </w: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of 271,896,091 and 275,781,160 as of September 30, 2016 and December 31, 2015, respectively, and issued of 283,973,901 and 282,394,970</w:t>
            </w:r>
          </w:p>
        </w:tc>
        <w:tc>
          <w:tcPr>
            <w:tcW w:w="160" w:type="dxa"/>
            <w:vAlign w:val="bottom"/>
          </w:tcPr>
          <w:p>
            <w:pPr>
              <w:spacing w:after="0"/>
              <w:rPr>
                <w:sz w:val="12"/>
                <w:szCs w:val="12"/>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as of September 30, 2016 and December 31, 2015, respectively</w:t>
            </w: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3,678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3,639</w:t>
            </w:r>
          </w:p>
        </w:tc>
        <w:tc>
          <w:tcPr>
            <w:tcW w:w="0" w:type="dxa"/>
            <w:vAlign w:val="bottom"/>
          </w:tcPr>
          <w:p>
            <w:pPr>
              <w:spacing w:after="0"/>
              <w:rPr>
                <w:sz w:val="1"/>
                <w:szCs w:val="1"/>
                <w:color w:val="auto"/>
              </w:rPr>
            </w:pPr>
          </w:p>
        </w:tc>
      </w:tr>
      <w:tr>
        <w:trPr>
          <w:trHeight w:val="265"/>
        </w:trPr>
        <w:tc>
          <w:tcPr>
            <w:tcW w:w="8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Retained earnings</w:t>
            </w:r>
          </w:p>
        </w:tc>
        <w:tc>
          <w:tcPr>
            <w:tcW w:w="1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1,377</w:t>
            </w:r>
          </w:p>
        </w:tc>
        <w:tc>
          <w:tcPr>
            <w:tcW w:w="0" w:type="dxa"/>
            <w:vAlign w:val="bottom"/>
          </w:tcPr>
          <w:p>
            <w:pPr>
              <w:spacing w:after="0"/>
              <w:rPr>
                <w:sz w:val="1"/>
                <w:szCs w:val="1"/>
                <w:color w:val="auto"/>
              </w:rPr>
            </w:pPr>
          </w:p>
        </w:tc>
      </w:tr>
      <w:tr>
        <w:trPr>
          <w:trHeight w:val="275"/>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earnings</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65"/>
        </w:trPr>
        <w:tc>
          <w:tcPr>
            <w:tcW w:w="8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Less: treasury stock, 12,077,810 and 6,613,810 shares as of September 30, 2016 and December 31, 2015, respectively</w:t>
            </w: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255"/>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Fidelity National Financial Group shareholders’ equity</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4,952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4,785</w:t>
            </w:r>
          </w:p>
        </w:tc>
        <w:tc>
          <w:tcPr>
            <w:tcW w:w="0" w:type="dxa"/>
            <w:vAlign w:val="bottom"/>
          </w:tcPr>
          <w:p>
            <w:pPr>
              <w:spacing w:after="0"/>
              <w:rPr>
                <w:sz w:val="1"/>
                <w:szCs w:val="1"/>
                <w:color w:val="auto"/>
              </w:rPr>
            </w:pPr>
          </w:p>
        </w:tc>
      </w:tr>
      <w:tr>
        <w:trPr>
          <w:trHeight w:val="265"/>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720</w:t>
            </w:r>
          </w:p>
        </w:tc>
        <w:tc>
          <w:tcPr>
            <w:tcW w:w="0" w:type="dxa"/>
            <w:vAlign w:val="bottom"/>
          </w:tcPr>
          <w:p>
            <w:pPr>
              <w:spacing w:after="0"/>
              <w:rPr>
                <w:sz w:val="1"/>
                <w:szCs w:val="1"/>
                <w:color w:val="auto"/>
              </w:rPr>
            </w:pPr>
          </w:p>
        </w:tc>
      </w:tr>
      <w:tr>
        <w:trPr>
          <w:trHeight w:val="250"/>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equity</w:t>
            </w: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5,724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5,505</w:t>
            </w:r>
          </w:p>
        </w:tc>
        <w:tc>
          <w:tcPr>
            <w:tcW w:w="0" w:type="dxa"/>
            <w:vAlign w:val="bottom"/>
          </w:tcPr>
          <w:p>
            <w:pPr>
              <w:spacing w:after="0"/>
              <w:rPr>
                <w:sz w:val="1"/>
                <w:szCs w:val="1"/>
                <w:color w:val="auto"/>
              </w:rPr>
            </w:pPr>
          </w:p>
        </w:tc>
      </w:tr>
      <w:tr>
        <w:trPr>
          <w:trHeight w:val="242"/>
        </w:trPr>
        <w:tc>
          <w:tcPr>
            <w:tcW w:w="85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Total liabilities, redeemable noncontrolling interest and equity</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13,001</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12,502</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Attributed Financial Information for FNF Group Tracking Stock</w:t>
      </w:r>
    </w:p>
    <w:p>
      <w:pPr>
        <w:sectPr>
          <w:pgSz w:w="11900" w:h="16838" w:orient="portrait"/>
          <w:cols w:equalWidth="0" w:num="1">
            <w:col w:w="11420"/>
          </w:cols>
          <w:pgMar w:left="240" w:top="36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60" w:right="239" w:bottom="1440" w:gutter="0" w:footer="0" w:header="0"/>
          <w:type w:val="continuous"/>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FIDELITY NATIONAL FINANCIAL GROUP</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Earnings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except per share data)</w:t>
      </w:r>
    </w:p>
    <w:p>
      <w:pPr>
        <w:sectPr>
          <w:pgSz w:w="11900" w:h="16838" w:orient="portrait"/>
          <w:cols w:equalWidth="0" w:num="1">
            <w:col w:w="11420"/>
          </w:cols>
          <w:pgMar w:left="240" w:top="360" w:right="239" w:bottom="1440" w:gutter="0" w:footer="0" w:header="0"/>
        </w:sectPr>
      </w:pPr>
    </w:p>
    <w:p>
      <w:pPr>
        <w:spacing w:after="0" w:line="236" w:lineRule="exact"/>
        <w:rPr>
          <w:sz w:val="20"/>
          <w:szCs w:val="20"/>
          <w:color w:val="auto"/>
        </w:rPr>
      </w:pPr>
    </w:p>
    <w:p>
      <w:pPr>
        <w:jc w:val="center"/>
        <w:ind w:left="72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726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33020</wp:posOffset>
            </wp:positionV>
            <wp:extent cx="13976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56" w:lineRule="exact"/>
        <w:rPr>
          <w:sz w:val="20"/>
          <w:szCs w:val="20"/>
          <w:color w:val="auto"/>
        </w:rPr>
      </w:pPr>
    </w:p>
    <w:p>
      <w:pPr>
        <w:ind w:left="7340"/>
        <w:spacing w:after="0"/>
        <w:tabs>
          <w:tab w:leader="none" w:pos="8480" w:val="left"/>
        </w:tabs>
        <w:rPr>
          <w:sz w:val="20"/>
          <w:szCs w:val="20"/>
          <w:color w:val="auto"/>
        </w:rPr>
      </w:pPr>
      <w:r>
        <w:rPr>
          <w:rFonts w:ascii="Times New Roman" w:cs="Times New Roman" w:eastAsia="Times New Roman" w:hAnsi="Times New Roman"/>
          <w:sz w:val="16"/>
          <w:szCs w:val="16"/>
          <w:b w:val="1"/>
          <w:bCs w:val="1"/>
          <w:color w:val="auto"/>
        </w:rPr>
        <w:t>2016</w:t>
      </w:r>
      <w:r>
        <w:rPr>
          <w:sz w:val="20"/>
          <w:szCs w:val="20"/>
          <w:color w:val="auto"/>
        </w:rPr>
        <w:tab/>
      </w:r>
      <w:r>
        <w:rPr>
          <w:rFonts w:ascii="Times New Roman" w:cs="Times New Roman" w:eastAsia="Times New Roman" w:hAnsi="Times New Roman"/>
          <w:sz w:val="16"/>
          <w:szCs w:val="16"/>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38735</wp:posOffset>
            </wp:positionV>
            <wp:extent cx="13976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66"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33020</wp:posOffset>
            </wp:positionV>
            <wp:extent cx="13550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56"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6"/>
          <w:szCs w:val="16"/>
          <w:b w:val="1"/>
          <w:bCs w:val="1"/>
          <w:color w:val="auto"/>
        </w:rPr>
        <w:t>2016</w:t>
      </w:r>
      <w:r>
        <w:rPr>
          <w:sz w:val="20"/>
          <w:szCs w:val="20"/>
          <w:color w:val="auto"/>
        </w:rPr>
        <w:tab/>
      </w:r>
      <w:r>
        <w:rPr>
          <w:rFonts w:ascii="Times New Roman" w:cs="Times New Roman" w:eastAsia="Times New Roman" w:hAnsi="Times New Roman"/>
          <w:sz w:val="16"/>
          <w:szCs w:val="16"/>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38735</wp:posOffset>
            </wp:positionV>
            <wp:extent cx="13550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88" w:lineRule="exact"/>
        <w:rPr>
          <w:sz w:val="20"/>
          <w:szCs w:val="20"/>
          <w:color w:val="auto"/>
        </w:rPr>
      </w:pPr>
    </w:p>
    <w:p>
      <w:pPr>
        <w:sectPr>
          <w:pgSz w:w="11900" w:h="16838" w:orient="portrait"/>
          <w:cols w:equalWidth="0" w:num="2">
            <w:col w:w="8920" w:space="720"/>
            <w:col w:w="1780"/>
          </w:cols>
          <w:pgMar w:left="240" w:top="360"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6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Direct title insurance premiums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1,488</w:t>
            </w: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Agency title insurance premiums</w:t>
            </w:r>
          </w:p>
        </w:tc>
        <w:tc>
          <w:tcPr>
            <w:tcW w:w="34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1,685</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2,345</w:t>
            </w: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34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Realized gains and losses, net</w:t>
            </w:r>
          </w:p>
        </w:tc>
        <w:tc>
          <w:tcPr>
            <w:tcW w:w="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7"/>
        </w:trPr>
        <w:tc>
          <w:tcPr>
            <w:tcW w:w="69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revenues</w:t>
            </w:r>
          </w:p>
        </w:tc>
        <w:tc>
          <w:tcPr>
            <w:tcW w:w="3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2,198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6,051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5,601</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Expenses:</w:t>
            </w: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Personnel costs</w:t>
            </w:r>
          </w:p>
        </w:tc>
        <w:tc>
          <w:tcPr>
            <w:tcW w:w="34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690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1,971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1,878</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Agent commissions</w:t>
            </w: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1,279</w:t>
            </w: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operating expenses</w:t>
            </w:r>
          </w:p>
        </w:tc>
        <w:tc>
          <w:tcPr>
            <w:tcW w:w="34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489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1,359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1,277</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Claim loss expense</w:t>
            </w:r>
          </w:p>
        </w:tc>
        <w:tc>
          <w:tcPr>
            <w:tcW w:w="34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17"/>
        </w:trPr>
        <w:tc>
          <w:tcPr>
            <w:tcW w:w="69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expenses</w:t>
            </w:r>
          </w:p>
        </w:tc>
        <w:tc>
          <w:tcPr>
            <w:tcW w:w="3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1,923</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1,769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5,357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4,965</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Earnings from continuing operations before income taxes and equity in losses of unconsolidated affiliates</w:t>
            </w:r>
          </w:p>
        </w:tc>
        <w:tc>
          <w:tcPr>
            <w:tcW w:w="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636</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expense</w:t>
            </w:r>
          </w:p>
        </w:tc>
        <w:tc>
          <w:tcPr>
            <w:tcW w:w="34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Earnings from continuing operations before equity in earnings of unconsolidated affiliates</w:t>
            </w:r>
          </w:p>
        </w:tc>
        <w:tc>
          <w:tcPr>
            <w:tcW w:w="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399</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34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earnings</w:t>
            </w:r>
          </w:p>
        </w:tc>
        <w:tc>
          <w:tcPr>
            <w:tcW w:w="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Net earnings attributable to non-controlling interests</w:t>
            </w:r>
          </w:p>
        </w:tc>
        <w:tc>
          <w:tcPr>
            <w:tcW w:w="34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earnings attributable to FNF Group common shareholders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396</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Basic</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earnings per share attributable to FNF Group common shareholders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Diluted</w:t>
            </w: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9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earnings per share attributable to FNF Group common shareholders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 FNF Group common stock, basic basis</w:t>
            </w: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 FNF Group common stock, diluted basis</w:t>
            </w:r>
          </w:p>
        </w:tc>
        <w:tc>
          <w:tcPr>
            <w:tcW w:w="34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Attributed Financial Information for FNF Group Tracking Stock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60" w:right="239" w:bottom="1440" w:gutter="0" w:footer="0" w:header="0"/>
          <w:type w:val="continuous"/>
        </w:sectPr>
      </w:pPr>
    </w:p>
    <w:bookmarkStart w:id="52" w:name="page53"/>
    <w:bookmarkEnd w:id="5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FIDELITY NATIONAL FINANCIAL GROUP</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Statement of Cash Flows Information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millions)</w:t>
      </w:r>
    </w:p>
    <w:p>
      <w:pPr>
        <w:spacing w:after="0" w:line="209" w:lineRule="exact"/>
        <w:rPr>
          <w:sz w:val="20"/>
          <w:szCs w:val="20"/>
          <w:color w:val="auto"/>
        </w:rPr>
      </w:pPr>
    </w:p>
    <w:p>
      <w:pPr>
        <w:jc w:val="center"/>
        <w:ind w:left="948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p>
      <w:pPr>
        <w:jc w:val="center"/>
        <w:ind w:left="948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2015</w:t>
            </w:r>
          </w:p>
        </w:tc>
      </w:tr>
      <w:tr>
        <w:trPr>
          <w:trHeight w:val="33"/>
        </w:trPr>
        <w:tc>
          <w:tcPr>
            <w:tcW w:w="9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r>
      <w:tr>
        <w:trPr>
          <w:trHeight w:val="217"/>
        </w:trPr>
        <w:tc>
          <w:tcPr>
            <w:tcW w:w="9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(Unaudited)</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9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earnings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403</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Adjustments to reconcile net earnings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94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255</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37"/>
        </w:trPr>
        <w:tc>
          <w:tcPr>
            <w:tcW w:w="94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Loss on sales of investments and other assets, net</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Impairment of assets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94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Stock-based compensation cost</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Changes in assets and liabilities, net of effects from 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94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change in pledged cash, pledged investments, and secured trust deposits</w:t>
            </w: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increase in trade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37"/>
        </w:trPr>
        <w:tc>
          <w:tcPr>
            <w:tcW w:w="94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increase in prepaid expenses and other assets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(decrease) increase in accounts payable, accrued liabilities, deferred revenue and other</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r>
      <w:tr>
        <w:trPr>
          <w:trHeight w:val="237"/>
        </w:trPr>
        <w:tc>
          <w:tcPr>
            <w:tcW w:w="94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increase (decrease) in reserve for title claim losses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change in amount due to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37"/>
        </w:trPr>
        <w:tc>
          <w:tcPr>
            <w:tcW w:w="94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change in income taxes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w:t>
            </w:r>
          </w:p>
        </w:tc>
      </w:tr>
      <w:tr>
        <w:trPr>
          <w:trHeight w:val="33"/>
        </w:trPr>
        <w:tc>
          <w:tcPr>
            <w:tcW w:w="9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665</w:t>
            </w:r>
          </w:p>
        </w:tc>
      </w:tr>
      <w:tr>
        <w:trPr>
          <w:trHeight w:val="217"/>
        </w:trPr>
        <w:tc>
          <w:tcPr>
            <w:tcW w:w="9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Proceeds from sales of investment securities available for sale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712</w:t>
            </w:r>
          </w:p>
        </w:tc>
      </w:tr>
      <w:tr>
        <w:trPr>
          <w:trHeight w:val="237"/>
        </w:trPr>
        <w:tc>
          <w:tcPr>
            <w:tcW w:w="9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calls and maturities of investment securities available for sale</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245</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Additions to property and equipment and capitalized software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37"/>
        </w:trPr>
        <w:tc>
          <w:tcPr>
            <w:tcW w:w="9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Purchases of investment securities available for sale</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proceeds from (purchases of) short-term investment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r>
      <w:tr>
        <w:trPr>
          <w:trHeight w:val="237"/>
        </w:trPr>
        <w:tc>
          <w:tcPr>
            <w:tcW w:w="9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Purchases of other long-term investments</w:t>
            </w: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Contributions to investments in unconsolidated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37"/>
        </w:trPr>
        <w:tc>
          <w:tcPr>
            <w:tcW w:w="9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Distributions from investments in unconsolidated affiliates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other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r>
      <w:tr>
        <w:trPr>
          <w:trHeight w:val="237"/>
        </w:trPr>
        <w:tc>
          <w:tcPr>
            <w:tcW w:w="9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Acquisition of eLynx Holdings, Inc., net of cash acquired</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Acquisition of Commissions, Inc., net of cash acquired</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9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Acquisition of BPG Holdings, LLC, net of cash acquired</w:t>
            </w: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acquisitions/disposals of businesses, net of cash acquired</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7"/>
        </w:trPr>
        <w:tc>
          <w:tcPr>
            <w:tcW w:w="9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w:t>
            </w:r>
          </w:p>
        </w:tc>
      </w:tr>
      <w:tr>
        <w:trPr>
          <w:trHeight w:val="33"/>
        </w:trPr>
        <w:tc>
          <w:tcPr>
            <w:tcW w:w="9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r>
      <w:tr>
        <w:trPr>
          <w:trHeight w:val="237"/>
        </w:trPr>
        <w:tc>
          <w:tcPr>
            <w:tcW w:w="9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Borrowings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1,229</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Debt service payments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w:t>
            </w:r>
          </w:p>
        </w:tc>
      </w:tr>
      <w:tr>
        <w:trPr>
          <w:trHeight w:val="237"/>
        </w:trPr>
        <w:tc>
          <w:tcPr>
            <w:tcW w:w="9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Additional investment in non-controlling interest</w:t>
            </w: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Proceeds from BKFS IPO</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475</w:t>
            </w:r>
          </w:p>
        </w:tc>
      </w:tr>
      <w:tr>
        <w:trPr>
          <w:trHeight w:val="237"/>
        </w:trPr>
        <w:tc>
          <w:tcPr>
            <w:tcW w:w="9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Dividends paid</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Subsidiary dividends paid to non-controlling interest shareholders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37"/>
        </w:trPr>
        <w:tc>
          <w:tcPr>
            <w:tcW w:w="9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Payment of contingent consideration for prior period 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9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Distributions by BKFS to member</w:t>
            </w: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17"/>
        </w:trPr>
        <w:tc>
          <w:tcPr>
            <w:tcW w:w="9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r>
      <w:tr>
        <w:trPr>
          <w:trHeight w:val="33"/>
        </w:trPr>
        <w:tc>
          <w:tcPr>
            <w:tcW w:w="9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 excluding pledged cash related to secured trust deposits</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225</w:t>
            </w:r>
          </w:p>
        </w:tc>
      </w:tr>
      <w:tr>
        <w:trPr>
          <w:trHeight w:val="237"/>
        </w:trPr>
        <w:tc>
          <w:tcPr>
            <w:tcW w:w="9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excluding pledged cash related to secured trust deposits at beginning of period</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525</w:t>
            </w:r>
          </w:p>
        </w:tc>
      </w:tr>
      <w:tr>
        <w:trPr>
          <w:trHeight w:val="33"/>
        </w:trPr>
        <w:tc>
          <w:tcPr>
            <w:tcW w:w="9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excluding pledged cash related to secured trust deposits at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750</w:t>
            </w:r>
          </w:p>
        </w:tc>
      </w:tr>
      <w:tr>
        <w:trPr>
          <w:trHeight w:val="20"/>
        </w:trPr>
        <w:tc>
          <w:tcPr>
            <w:tcW w:w="9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jc w:val="center"/>
        <w:ind w:right="20"/>
        <w:spacing w:after="0"/>
        <w:rPr>
          <w:sz w:val="20"/>
          <w:szCs w:val="20"/>
          <w:color w:val="auto"/>
        </w:rPr>
      </w:pPr>
      <w:r>
        <w:rPr>
          <w:rFonts w:ascii="Times New Roman" w:cs="Times New Roman" w:eastAsia="Times New Roman" w:hAnsi="Times New Roman"/>
          <w:sz w:val="18"/>
          <w:szCs w:val="18"/>
          <w:color w:val="auto"/>
        </w:rPr>
        <w:t>See Notes to Unaudited Attributed Financial Information for FNF Group Tracking Stock</w:t>
      </w:r>
    </w:p>
    <w:p>
      <w:pPr>
        <w:sectPr>
          <w:pgSz w:w="11900" w:h="16838" w:orient="portrait"/>
          <w:cols w:equalWidth="0" w:num="1">
            <w:col w:w="11360"/>
          </w:cols>
          <w:pgMar w:left="280" w:top="360" w:right="259" w:bottom="671" w:gutter="0" w:footer="0" w:header="0"/>
        </w:sectPr>
      </w:pP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60"/>
          </w:cols>
          <w:pgMar w:left="280" w:top="360" w:right="259" w:bottom="671" w:gutter="0" w:footer="0" w:header="0"/>
          <w:type w:val="continuous"/>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Attributed Financial Information for Fidelity National Financial Group Tracking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Period Ended September 30,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right"/>
        <w:ind w:right="9040"/>
        <w:spacing w:after="0"/>
        <w:tabs>
          <w:tab w:leader="none" w:pos="10640" w:val="left"/>
        </w:tabs>
        <w:rPr>
          <w:sz w:val="20"/>
          <w:szCs w:val="20"/>
          <w:color w:val="auto"/>
        </w:rPr>
      </w:pPr>
      <w:r>
        <w:rPr>
          <w:rFonts w:ascii="Times New Roman" w:cs="Times New Roman" w:eastAsia="Times New Roman" w:hAnsi="Times New Roman"/>
          <w:sz w:val="18"/>
          <w:szCs w:val="18"/>
          <w:b w:val="1"/>
          <w:bCs w:val="1"/>
          <w:color w:val="auto"/>
        </w:rPr>
        <w:t>Note A.</w:t>
        <w:tab/>
        <w:t>Basis of Presentation</w:t>
      </w:r>
    </w:p>
    <w:p>
      <w:pPr>
        <w:spacing w:after="0" w:line="95" w:lineRule="exact"/>
        <w:rPr>
          <w:sz w:val="20"/>
          <w:szCs w:val="20"/>
          <w:color w:val="auto"/>
        </w:rPr>
      </w:pPr>
    </w:p>
    <w:p>
      <w:pPr>
        <w:jc w:val="right"/>
        <w:ind w:right="90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FNF Group is a leading provider of (i) title insurance, escrow and other title-related services, including trust activities, trustee sales guarantees, recordings and reconveyances and home warranty insurance and (ii) technology and transaction services to the real estate and mortgage industries. FNF is the nation’s largest title insurance company operating through its title insurance underwriters - Fidelity National Title Insurance Company, Chicago Title Insurance Company, Commonwealth Land Title Insurance Company, Alamo Title Insurance and National Title Insurance of New York Inc. - that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FNF also provides industry-leading mortgage technology solutions, including MSP®, the leading residential mortgage servicing technology platform in the U.S., through its majority-owned subsidiary, Black Knight Financial Services, Inc. ("Black Knight").</w:t>
      </w:r>
    </w:p>
    <w:p>
      <w:pPr>
        <w:spacing w:after="0" w:line="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August 23, 2016, FNF Group completed its acquisition of Commissions, Inc. ("CINC"), a leading provider of web-based real estate marketing and customer relationship management software for elite Realtors® and agent teams across North America, for $229 million. CINC’s product offerings include software, marketing and services designed to enhance the productivity and sales results of elite Realtors® and agent teams through lead generation and proactive lead management. See Note B to the Condensed Consolidated Financial Statements included within Part I, Item I of Form 10-Q in this Quarterly Report for further discussion.</w:t>
      </w:r>
    </w:p>
    <w:p>
      <w:pPr>
        <w:spacing w:after="0" w:line="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second quarter of 2016 we invested $30 million in CF Corporation (“CF Corp”, NYSE: CFCOU), a blank check company co-founded by William P. Foley, the Chairman of our Board of Directors. Mr. Foley also serves as the Co-Executive Chairman of CF Corp. As of September 30, 2016, our investment in CF Corp has a fair value of $31 million and is included in Equity securities available for sale on the corresponding Condensed Consolidated Balance Sheet.</w:t>
      </w:r>
    </w:p>
    <w:p>
      <w:pPr>
        <w:spacing w:after="0" w:line="4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16, 2016, Black Knight completed its acquisition of eLynx Holdings, Inc. ("eLynx"), a leading lending document and data delivery platform, for $115 million. eLynx helps clients in the financial services and real estate industries electronically capture and manage documents and associated data throughout the document lifecycle. This acquisition positions Black Knight to electronically support the full mortgage origination process. See Note B to the Condensed Consolidated Financial Statements included within Part I, Item I of Form 10-Q in this Quarterly Report for further discussion.</w:t>
      </w:r>
    </w:p>
    <w:p>
      <w:pPr>
        <w:spacing w:after="0" w:line="4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On April 29, 2016, pursuant to the terms of a certain “synthetic lease” agreement, dated as of June 29, 2004, as amended on June 27, 2011, and further described under </w:t>
      </w:r>
      <w:r>
        <w:rPr>
          <w:rFonts w:ascii="Times New Roman" w:cs="Times New Roman" w:eastAsia="Times New Roman" w:hAnsi="Times New Roman"/>
          <w:sz w:val="18"/>
          <w:szCs w:val="18"/>
          <w:i w:val="1"/>
          <w:iCs w:val="1"/>
          <w:color w:val="auto"/>
        </w:rPr>
        <w:t>Off-Balance Sheet Arrangements</w:t>
      </w:r>
      <w:r>
        <w:rPr>
          <w:rFonts w:ascii="Times New Roman" w:cs="Times New Roman" w:eastAsia="Times New Roman" w:hAnsi="Times New Roman"/>
          <w:sz w:val="18"/>
          <w:szCs w:val="18"/>
          <w:color w:val="auto"/>
        </w:rPr>
        <w:t xml:space="preserve"> in Item 2 of Part II of this Quarterly Report, we exercised our option to purchase the land and various real property improvements associated with our corporate campus and headquarters in Jacksonville, Florida from SunTrust Bank for $71 million.</w:t>
      </w:r>
    </w:p>
    <w:p>
      <w:pPr>
        <w:spacing w:after="0" w:line="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Included in the calculation of diluted earnings per share are convertible senior notes (the “Notes”) issued on August 2, 2011 by Fidelity National Financial, Inc. Under the terms of the indenture, if converted, a portion of the settlement may include shares of FNFV common stock. As the debt is the obligation of FNF Group, if FNF were to settle a portion of the Notes with FNFV common stock, FNF Group would reimburse FNFV Group for the shares issued upon settlement.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60" w:right="2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Attributed Financial Information for Fidelity National Financial Ventures Group Tracking Stock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present our assets, liabilities, revenue, expenses and cash flows that are attributed to our Fidelity National Financial Ventures business (“we,” “our,” "FNFV Group," or “FNFV”). The financial information in this Exhibit should be read in conjunction with our unaudited condensed consolidated financial statements for the period ended September 30, 2016 included in this Quarterly Report on Form 10-Q.</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FNFV Group common stock is intended to reflect the separate performance of our FNFV Group. We own majority and minority equity investment stakes in a number of entities, including American Blue Ribbon Holdings, LLC ("ABRH"), Ceridian HCM, Inc. ("Ceridian"), and Digital Insurance, Inc. ("Digital Insurance").</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FNFV Group is comprised of two operating segments as follows:</w:t>
      </w:r>
    </w:p>
    <w:p>
      <w:pPr>
        <w:spacing w:after="0" w:line="115" w:lineRule="exact"/>
        <w:rPr>
          <w:sz w:val="20"/>
          <w:szCs w:val="20"/>
          <w:color w:val="auto"/>
        </w:rPr>
      </w:pPr>
    </w:p>
    <w:p>
      <w:pPr>
        <w:jc w:val="both"/>
        <w:ind w:left="660" w:hanging="409"/>
        <w:spacing w:after="0" w:line="261" w:lineRule="auto"/>
        <w:tabs>
          <w:tab w:leader="none" w:pos="6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Restaurant Group. </w:t>
      </w:r>
      <w:r>
        <w:rPr>
          <w:rFonts w:ascii="Times New Roman" w:cs="Times New Roman" w:eastAsia="Times New Roman" w:hAnsi="Times New Roman"/>
          <w:sz w:val="18"/>
          <w:szCs w:val="18"/>
          <w:color w:val="auto"/>
        </w:rPr>
        <w:t>This segment consists of the operations of ABRH, in which we hold a 55% ownership interest. ABRH and its affiliates 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owners and operators of the O'Charley's, Ninety Nine Restaurants, Village Inn, Bakers Square, and Legendary Baking restaurant and food service concepts. This segment also included the results of operations of J. Alexander's, Inc. ("J. Alexander's") through the date it was distributed to FNFV shareholders, September 28, 2015, and the Max &amp; Erma's concept, which was sold pursuant to an Asset Purchase Agreement on January 25, 2016.</w:t>
      </w:r>
    </w:p>
    <w:p>
      <w:pPr>
        <w:spacing w:after="0" w:line="126" w:lineRule="exact"/>
        <w:rPr>
          <w:rFonts w:ascii="Times New Roman" w:cs="Times New Roman" w:eastAsia="Times New Roman" w:hAnsi="Times New Roman"/>
          <w:sz w:val="18"/>
          <w:szCs w:val="18"/>
          <w:i w:val="1"/>
          <w:iCs w:val="1"/>
          <w:color w:val="auto"/>
        </w:rPr>
      </w:pPr>
    </w:p>
    <w:p>
      <w:pPr>
        <w:ind w:left="660" w:right="20" w:hanging="409"/>
        <w:spacing w:after="0" w:line="284" w:lineRule="auto"/>
        <w:tabs>
          <w:tab w:leader="none" w:pos="6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FNFV Corporate and Other. </w:t>
      </w:r>
      <w:r>
        <w:rPr>
          <w:rFonts w:ascii="Times New Roman" w:cs="Times New Roman" w:eastAsia="Times New Roman" w:hAnsi="Times New Roman"/>
          <w:sz w:val="18"/>
          <w:szCs w:val="18"/>
          <w:color w:val="auto"/>
        </w:rPr>
        <w:t>This segment primarily consists of our share in the operations of certain equity investments, including Ceridian,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consolidated investments, including Digital Insurance, in which we own 96%, and other smaller operations which are not title related.</w:t>
      </w:r>
    </w:p>
    <w:p>
      <w:pPr>
        <w:spacing w:after="0" w:line="21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adopted certain expense allocation policies, each of which are reflected in the attributed financial information of the FNF Group (see Exhibit 99.1) and the FNFV Group. In general, corporate overhead is allocated to each group based upon the use of services by that group where practicable. Corporate overhead primarily includes costs of personnel and employee benefits, legal, accounting and auditing, insurance, investor relations and stockholder services and services related to FNF’s board of directors. We allocate in a similar manner a portion of costs of administrative shared services, such as information technology services. Where determinations based on use alone are not practical, we use other methods and criteria that we believe are equitable and that provide a reasonable estimate of the cost attributable to each group.</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the following attribution of assets, liabilities, revenue, expenses and cash flows to FNFV, Fidelity National Financial, Inc.'s ("FNF, Inc.") tracking stock structure does not affect the ownership or the respective legal title to FNF, Inc.'s assets or responsibility for FNF, Inc.'s liabilities. FNF, Inc. and its subsidiaries are each responsible for their respective liabilities. Holders of FNFV Group common stock are subject to risks associated with an investment in FNF, Inc. and all of its businesses, assets and liabilities. The issuance of FNFV Group common stock does not affect the rights of FNF, Inc.'s creditors or creditors of its subsidiaries. See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 Risks Relating to the Ownership of Our FNFV Group Common Stock due to our Tracking Stock Capitalization" in our Annual Report on Form 10-K for the year ended December 31, 2015 for further discussion of risks associated with our tracking stock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VENTURES GROUP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share data)</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7"/>
                <w:szCs w:val="17"/>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8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2015</w:t>
            </w:r>
          </w:p>
        </w:tc>
      </w:tr>
      <w:tr>
        <w:trPr>
          <w:trHeight w:val="33"/>
        </w:trPr>
        <w:tc>
          <w:tcPr>
            <w:tcW w:w="8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4"/>
          </w:tcPr>
          <w:p>
            <w:pPr>
              <w:spacing w:after="0"/>
              <w:rPr>
                <w:sz w:val="2"/>
                <w:szCs w:val="2"/>
                <w:color w:val="auto"/>
              </w:rPr>
            </w:pPr>
          </w:p>
        </w:tc>
      </w:tr>
      <w:tr>
        <w:trPr>
          <w:trHeight w:val="217"/>
        </w:trPr>
        <w:tc>
          <w:tcPr>
            <w:tcW w:w="8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4"/>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(Unaudited)</w:t>
            </w:r>
          </w:p>
        </w:tc>
      </w:tr>
      <w:tr>
        <w:trPr>
          <w:trHeight w:val="270"/>
        </w:trPr>
        <w:tc>
          <w:tcPr>
            <w:tcW w:w="8580" w:type="dxa"/>
            <w:vAlign w:val="bottom"/>
          </w:tcPr>
          <w:p>
            <w:pPr>
              <w:ind w:left="46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Fixed maturity securities available for sale, at fair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securities available for sale, at fair value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w:t>
            </w:r>
          </w:p>
        </w:tc>
      </w:tr>
      <w:tr>
        <w:trPr>
          <w:trHeight w:val="237"/>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396</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long-term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w:t>
            </w:r>
          </w:p>
        </w:tc>
      </w:tr>
      <w:tr>
        <w:trPr>
          <w:trHeight w:val="237"/>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Short-term investments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244</w:t>
            </w:r>
          </w:p>
        </w:tc>
      </w:tr>
      <w:tr>
        <w:trPr>
          <w:trHeight w:val="33"/>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investments</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703</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Trade and notes receivables, net of allowance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188</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Capitalized software, net</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166</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233</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tax asset</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w:t>
            </w:r>
          </w:p>
        </w:tc>
      </w:tr>
      <w:tr>
        <w:trPr>
          <w:trHeight w:val="244"/>
        </w:trPr>
        <w:tc>
          <w:tcPr>
            <w:tcW w:w="8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1,490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1,514</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6"/>
        </w:trPr>
        <w:tc>
          <w:tcPr>
            <w:tcW w:w="8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50"/>
        </w:trPr>
        <w:tc>
          <w:tcPr>
            <w:tcW w:w="8580" w:type="dxa"/>
            <w:vAlign w:val="bottom"/>
            <w:tcBorders>
              <w:bottom w:val="single" w:sz="8" w:color="CCEEFF"/>
            </w:tcBorders>
            <w:shd w:val="clear" w:color="auto" w:fill="CCEEFF"/>
          </w:tcPr>
          <w:p>
            <w:pPr>
              <w:ind w:left="394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Liabilities:</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191</w:t>
            </w:r>
          </w:p>
        </w:tc>
      </w:tr>
      <w:tr>
        <w:trPr>
          <w:trHeight w:val="237"/>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taxes payable</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revenue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r>
      <w:tr>
        <w:trPr>
          <w:trHeight w:val="237"/>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Notes payable</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Due to affiliates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r>
      <w:tr>
        <w:trPr>
          <w:trHeight w:val="21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431</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16"/>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FNFV Group common stock, $0.0001 par value; authorized 113,000,000 shares as of September 30, 2016 and December 31,</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3"/>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2015; outstanding of 66,636,822 and 72,217,882 as of September 30, 2016 and December 31, 2015, respectively, and issued of</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0"/>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80,581,675 and 80,581,466 as of September 30, 2016 and December 31, 2015, respectively</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1,156</w:t>
            </w:r>
          </w:p>
        </w:tc>
      </w:tr>
      <w:tr>
        <w:trPr>
          <w:trHeight w:val="237"/>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Retained earnings (deficit)</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37"/>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Less: treasury stock, 13,944,853 and 8,363,584 shares as of September 30, 2016 and December 31, 2015, respectively</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33"/>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Fidelity National Financial Ventures shareholders’ equity</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969</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114</w:t>
            </w:r>
          </w:p>
        </w:tc>
      </w:tr>
      <w:tr>
        <w:trPr>
          <w:trHeight w:val="33"/>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equity</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1,083</w:t>
            </w:r>
          </w:p>
        </w:tc>
      </w:tr>
      <w:tr>
        <w:trPr>
          <w:trHeight w:val="244"/>
        </w:trPr>
        <w:tc>
          <w:tcPr>
            <w:tcW w:w="8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1,490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1,514</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Attributed Financial Information for FNFV</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60" w:right="239" w:bottom="1440"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VENTURES GROUP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220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200" w:type="dxa"/>
            <w:vAlign w:val="bottom"/>
          </w:tcPr>
          <w:p>
            <w:pPr>
              <w:spacing w:after="0"/>
              <w:rPr>
                <w:sz w:val="13"/>
                <w:szCs w:val="13"/>
                <w:color w:val="auto"/>
              </w:rPr>
            </w:pPr>
          </w:p>
        </w:tc>
        <w:tc>
          <w:tcPr>
            <w:tcW w:w="1580" w:type="dxa"/>
            <w:vAlign w:val="bottom"/>
            <w:gridSpan w:val="4"/>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7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5"/>
        </w:trPr>
        <w:tc>
          <w:tcPr>
            <w:tcW w:w="7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21"/>
                <w:szCs w:val="21"/>
                <w:color w:val="auto"/>
              </w:rPr>
            </w:pPr>
          </w:p>
        </w:tc>
        <w:tc>
          <w:tcPr>
            <w:tcW w:w="1580" w:type="dxa"/>
            <w:vAlign w:val="bottom"/>
            <w:gridSpan w:val="4"/>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7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Revenues:</w:t>
            </w: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Operating revenue</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319</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982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1,256</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Realized gains and losses, net</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64"/>
        </w:trPr>
        <w:tc>
          <w:tcPr>
            <w:tcW w:w="74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Total revenues</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996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1,247</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Expenses:</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Personnel costs</w:t>
            </w: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operating expenses</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Cost of restaurant revenue</w:t>
            </w: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921</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64"/>
        </w:trPr>
        <w:tc>
          <w:tcPr>
            <w:tcW w:w="74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Total expenses</w:t>
            </w: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323</w:t>
            </w:r>
          </w:p>
        </w:tc>
        <w:tc>
          <w:tcPr>
            <w:tcW w:w="1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385</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980</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1,240</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(Loss) earnings from continuing operations before income taxes and equity in losses of unconsolidated affiliates</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tax benefit</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Earnings (loss) from continuing operations before equity in losses of unconsolidated affiliates</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 in losses of unconsolidated affiliates</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 earnings</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Less: Net (loss) earnings attributable to non-controlling interests</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9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 earnings attributable to FNFV Group common shareholders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51"/>
        </w:trPr>
        <w:tc>
          <w:tcPr>
            <w:tcW w:w="74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Earnings Per Share</w:t>
            </w:r>
          </w:p>
        </w:tc>
        <w:tc>
          <w:tcPr>
            <w:tcW w:w="20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Basic</w:t>
            </w: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 earnings per share from continuing operations attributable to FNFV Group common shareholders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0.06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7440" w:type="dxa"/>
            <w:vAlign w:val="bottom"/>
            <w:tcBorders>
              <w:bottom w:val="single" w:sz="8" w:color="CCEEFF"/>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 earnings per share attributable to FNFV Group common shareholders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0.06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7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Weighted average shares outstanding FNFV Group common stock, basic basis</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6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Weighted average shares outstanding FNFV Group common stock, diluted basis</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See Notes to Unaudited Attributed Financial Information for FNFV</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60" w:right="2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VENTURES GROUP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Cash Flows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60" w:type="dxa"/>
            <w:vAlign w:val="bottom"/>
          </w:tcPr>
          <w:p>
            <w:pPr>
              <w:spacing w:after="0"/>
              <w:rPr>
                <w:sz w:val="17"/>
                <w:szCs w:val="17"/>
                <w:color w:val="auto"/>
              </w:rPr>
            </w:pPr>
          </w:p>
        </w:tc>
        <w:tc>
          <w:tcPr>
            <w:tcW w:w="206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9360" w:type="dxa"/>
            <w:vAlign w:val="bottom"/>
          </w:tcPr>
          <w:p>
            <w:pPr>
              <w:spacing w:after="0"/>
              <w:rPr>
                <w:sz w:val="18"/>
                <w:szCs w:val="18"/>
                <w:color w:val="auto"/>
              </w:rPr>
            </w:pPr>
          </w:p>
        </w:tc>
        <w:tc>
          <w:tcPr>
            <w:tcW w:w="1600" w:type="dxa"/>
            <w:vAlign w:val="bottom"/>
            <w:gridSpan w:val="4"/>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2015</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1600" w:type="dxa"/>
            <w:vAlign w:val="bottom"/>
            <w:tcBorders>
              <w:bottom w:val="single" w:sz="8" w:color="auto"/>
            </w:tcBorders>
            <w:gridSpan w:val="4"/>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360" w:type="dxa"/>
            <w:vAlign w:val="bottom"/>
          </w:tcPr>
          <w:p>
            <w:pPr>
              <w:spacing w:after="0"/>
              <w:rPr>
                <w:sz w:val="18"/>
                <w:szCs w:val="18"/>
                <w:color w:val="auto"/>
              </w:rPr>
            </w:pPr>
          </w:p>
        </w:tc>
        <w:tc>
          <w:tcPr>
            <w:tcW w:w="1600" w:type="dxa"/>
            <w:vAlign w:val="bottom"/>
            <w:gridSpan w:val="4"/>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earnings</w:t>
            </w:r>
          </w:p>
        </w:tc>
        <w:tc>
          <w:tcPr>
            <w:tcW w:w="70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Adjustments to reconcile net earnings to net cash provided by operating activities: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3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70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Equity in losses of unconsolidated affiliates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37"/>
        </w:trPr>
        <w:tc>
          <w:tcPr>
            <w:tcW w:w="93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(Gain) loss on sales of investments and other assets, net</w:t>
            </w:r>
          </w:p>
        </w:tc>
        <w:tc>
          <w:tcPr>
            <w:tcW w:w="7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Gain on sale of Cascade Timberlands</w:t>
            </w:r>
          </w:p>
        </w:tc>
        <w:tc>
          <w:tcPr>
            <w:tcW w:w="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37"/>
        </w:trPr>
        <w:tc>
          <w:tcPr>
            <w:tcW w:w="93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Impairment of assets</w:t>
            </w:r>
          </w:p>
        </w:tc>
        <w:tc>
          <w:tcPr>
            <w:tcW w:w="70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Stock-based compensation cost</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Changes in assets and liabilities, net of effects from acquisitions:</w:t>
            </w: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(increase) decrease in trade receivables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7"/>
        </w:trPr>
        <w:tc>
          <w:tcPr>
            <w:tcW w:w="93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decrease in prepaid expenses and other assets</w:t>
            </w:r>
          </w:p>
        </w:tc>
        <w:tc>
          <w:tcPr>
            <w:tcW w:w="70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decrease in accounts payable, accrued liabilities, deferred revenue and other</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37"/>
        </w:trPr>
        <w:tc>
          <w:tcPr>
            <w:tcW w:w="93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change in amount due to affiliates</w:t>
            </w:r>
          </w:p>
        </w:tc>
        <w:tc>
          <w:tcPr>
            <w:tcW w:w="70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3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change in income taxes</w:t>
            </w:r>
          </w:p>
        </w:tc>
        <w:tc>
          <w:tcPr>
            <w:tcW w:w="7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7"/>
        </w:trPr>
        <w:tc>
          <w:tcPr>
            <w:tcW w:w="9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7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33"/>
        </w:trPr>
        <w:tc>
          <w:tcPr>
            <w:tcW w:w="93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7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Proceeds from the sale of cost method and other investments</w:t>
            </w:r>
          </w:p>
        </w:tc>
        <w:tc>
          <w:tcPr>
            <w:tcW w:w="70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Additions to property and equipment and capitalized software</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Contributions to investments in unconsolidated affiliates</w:t>
            </w:r>
          </w:p>
        </w:tc>
        <w:tc>
          <w:tcPr>
            <w:tcW w:w="7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proceeds from (purchases of) short-term investment securities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1"/>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Purchases of investment securities available for sale</w:t>
            </w:r>
          </w:p>
        </w:tc>
        <w:tc>
          <w:tcPr>
            <w:tcW w:w="7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Distributions from investments in unconsolidated affiliates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other investing activities</w:t>
            </w:r>
          </w:p>
        </w:tc>
        <w:tc>
          <w:tcPr>
            <w:tcW w:w="7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Acquisition of Compass/Prospective, net of cash acquired</w:t>
            </w:r>
          </w:p>
        </w:tc>
        <w:tc>
          <w:tcPr>
            <w:tcW w:w="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Proceeds from sale of Cascade Timberlands</w:t>
            </w:r>
          </w:p>
        </w:tc>
        <w:tc>
          <w:tcPr>
            <w:tcW w:w="70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acquisitions/disposals of businesses, net of cash acquired</w:t>
            </w:r>
          </w:p>
        </w:tc>
        <w:tc>
          <w:tcPr>
            <w:tcW w:w="7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7"/>
        </w:trPr>
        <w:tc>
          <w:tcPr>
            <w:tcW w:w="9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7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33"/>
        </w:trPr>
        <w:tc>
          <w:tcPr>
            <w:tcW w:w="93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7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Borrowings</w:t>
            </w:r>
          </w:p>
        </w:tc>
        <w:tc>
          <w:tcPr>
            <w:tcW w:w="70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Debt service payments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Payment for withholding taxes on stock-based compensation for shares withheld from participants and in treasury</w:t>
            </w:r>
          </w:p>
        </w:tc>
        <w:tc>
          <w:tcPr>
            <w:tcW w:w="7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Subsidiary dividends paid to non-controlling interest shareholders</w:t>
            </w: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Equity and debt issuance costs</w:t>
            </w:r>
          </w:p>
        </w:tc>
        <w:tc>
          <w:tcPr>
            <w:tcW w:w="70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7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17"/>
        </w:trPr>
        <w:tc>
          <w:tcPr>
            <w:tcW w:w="9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7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33"/>
        </w:trPr>
        <w:tc>
          <w:tcPr>
            <w:tcW w:w="93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7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37"/>
        </w:trPr>
        <w:tc>
          <w:tcPr>
            <w:tcW w:w="9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70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33"/>
        </w:trPr>
        <w:tc>
          <w:tcPr>
            <w:tcW w:w="93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700" w:type="dxa"/>
            <w:vAlign w:val="bottom"/>
            <w:tcBorders>
              <w:bottom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
        </w:trPr>
        <w:tc>
          <w:tcPr>
            <w:tcW w:w="9360" w:type="dxa"/>
            <w:vAlign w:val="bottom"/>
            <w:vMerge w:val="restart"/>
          </w:tcPr>
          <w:p>
            <w:pPr>
              <w:ind w:left="3280"/>
              <w:spacing w:after="0"/>
              <w:rPr>
                <w:sz w:val="20"/>
                <w:szCs w:val="20"/>
                <w:color w:val="auto"/>
              </w:rPr>
            </w:pPr>
            <w:r>
              <w:rPr>
                <w:rFonts w:ascii="Times New Roman" w:cs="Times New Roman" w:eastAsia="Times New Roman" w:hAnsi="Times New Roman"/>
                <w:sz w:val="18"/>
                <w:szCs w:val="18"/>
                <w:color w:val="auto"/>
              </w:rPr>
              <w:t>See Notes to Unaudited Attributed Financial Information for FNFV</w:t>
            </w: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36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0"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60" w:right="239" w:bottom="1440"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Attributed Financial Information for Fidelity National Financial Ventures Group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Period Ended September 30,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right"/>
        <w:ind w:right="9040"/>
        <w:spacing w:after="0"/>
        <w:tabs>
          <w:tab w:leader="none" w:pos="10640" w:val="left"/>
        </w:tabs>
        <w:rPr>
          <w:sz w:val="20"/>
          <w:szCs w:val="20"/>
          <w:color w:val="auto"/>
        </w:rPr>
      </w:pPr>
      <w:r>
        <w:rPr>
          <w:rFonts w:ascii="Times New Roman" w:cs="Times New Roman" w:eastAsia="Times New Roman" w:hAnsi="Times New Roman"/>
          <w:sz w:val="18"/>
          <w:szCs w:val="18"/>
          <w:b w:val="1"/>
          <w:bCs w:val="1"/>
          <w:color w:val="auto"/>
        </w:rPr>
        <w:t>Note A.</w:t>
        <w:tab/>
        <w:t>Basis of Presentation</w:t>
      </w:r>
    </w:p>
    <w:p>
      <w:pPr>
        <w:spacing w:after="0" w:line="95" w:lineRule="exact"/>
        <w:rPr>
          <w:sz w:val="20"/>
          <w:szCs w:val="20"/>
          <w:color w:val="auto"/>
        </w:rPr>
      </w:pPr>
    </w:p>
    <w:p>
      <w:pPr>
        <w:jc w:val="right"/>
        <w:ind w:right="90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Through our FNFV group, we own majority and minority equity investment stakes in a number of entities, including American Blue Ribbon Holdings, LLC ("ABRH"), Ceridian HCM, Inc. ("Ceridian") and Digital Insurance, Inc. ("Digital Insurance") and Del Frisco's Restaurant Group ("Del Frisco's", NYSE: DFRG).</w:t>
      </w:r>
    </w:p>
    <w:p>
      <w:pPr>
        <w:spacing w:after="0" w:line="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May 2, 2016, we purchased certain shares of common and preferred stock of Ceridian Holding, LLC, the ultimate parent of Ceridian, from third-party minority interest holders for $17 million. As a result of this purchase, our ownership of Ceridian increased from 32% to 33%.</w:t>
      </w:r>
    </w:p>
    <w:p>
      <w:pPr>
        <w:spacing w:after="0" w:line="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30, 2016, Ceridian HCM Holding, Inc., a wholly-owned subsidiary of Ceridian, completed its offering (the "Offering") of senior convertible preferred shares for aggregate proceeds of $150 million. As part of the Offering, FNF purchased a number of shares equal to its pro-rata ownership in Ceridian for $47 million. FNF's ownership percentage in Ceridian did not change as a result of the transaction.</w:t>
      </w:r>
    </w:p>
    <w:p>
      <w:pPr>
        <w:spacing w:after="0" w:line="4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18, 2016 our Board of Directors approved a new FNFV Group three-year stock repurchase program, effective March 1, 2016, under which we may repurchase up to 15 million shares of FNFV Group common stock. Purchases may be made from time to time by us in the open market at prevailing market prices or in privately negotiated transactions through February 28, 2019.</w:t>
      </w:r>
    </w:p>
    <w:p>
      <w:pPr>
        <w:spacing w:after="0" w:line="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Included in the calculation of diluted earnings per share are convertible senior notes (the “Notes”) issued on August 2, 2011 by Fidelity National Financial, Inc. Under the terms of the indenture, if converted, a portion of the settlement may include shares of FNFV common stock. As the debt is the obligation of FNF Group, if FNF were to settle a portion of the Notes with FNFV common stock, FNF Group would reimburse FNFV Group for the shares issued upon settlement.</w:t>
      </w:r>
    </w:p>
    <w:p>
      <w:pPr>
        <w:spacing w:after="0" w:line="4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B.</w:t>
        <w:tab/>
        <w:t>Investments in Consolidated and Unconsolidated Affiliates</w:t>
      </w:r>
    </w:p>
    <w:p>
      <w:pPr>
        <w:spacing w:after="0" w:line="12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our investments in consolidated and unconsolidated affiliates attributable to FNFV, including allocations of certain corporate assets and liabilities primarily related to taxes: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c>
          <w:tcPr>
            <w:tcW w:w="11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69"/>
        </w:trPr>
        <w:tc>
          <w:tcPr>
            <w:tcW w:w="8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Majority Owned Subsidiaries consolidated into the results of FNFV:</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American Blue Ribbon Holdings, LLC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169</w:t>
            </w:r>
          </w:p>
        </w:tc>
      </w:tr>
      <w:tr>
        <w:trPr>
          <w:trHeight w:val="27"/>
        </w:trPr>
        <w:tc>
          <w:tcPr>
            <w:tcW w:w="8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Digital Insurance, LLC</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73</w:t>
            </w:r>
          </w:p>
        </w:tc>
      </w:tr>
      <w:tr>
        <w:trPr>
          <w:trHeight w:val="243"/>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Minority Owned Subsidiaries or other ventures: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Ceridian/Fleetcor (33% minority equity interest)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432</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363</w:t>
            </w:r>
          </w:p>
        </w:tc>
      </w:tr>
      <w:tr>
        <w:trPr>
          <w:trHeight w:val="243"/>
        </w:trPr>
        <w:tc>
          <w:tcPr>
            <w:tcW w:w="8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Del Frisco's Restaurant Group</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8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Holding Company cash and short 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245</w:t>
            </w:r>
          </w:p>
        </w:tc>
      </w:tr>
      <w:tr>
        <w:trPr>
          <w:trHeight w:val="243"/>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investments</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8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ventures</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8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FNFV Book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923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969</w:t>
            </w:r>
          </w:p>
        </w:tc>
      </w:tr>
      <w:tr>
        <w:trPr>
          <w:trHeight w:val="20"/>
        </w:trPr>
        <w:tc>
          <w:tcPr>
            <w:tcW w:w="8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C.</w:t>
        <w:tab/>
        <w:t>FNFV Common Stock</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FNFV Group common stock has voting and redemption rights. Holders of FNFV Group common stock are entitled to one vote for each share of such stock held. Holders of FNFV Group common stock will vote as one class with holders of FNF Group common stock on all matters that are submitted to a vote of its stockholders unless a separate class vote is required by the terms of the current charter or Delaware law. In connection with certain dispositions of FNFV Group assets, the FNF board of directors may determine to seek approval of the holders of FNFV common stock, voting together as a separate class, to avoid effecting a mandatory dividend, redemption or conversion under the restated charter.</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60" w:right="239" w:bottom="1440" w:gutter="0" w:footer="0" w:header="0"/>
        </w:sectPr>
      </w:pPr>
    </w:p>
    <w:bookmarkStart w:id="59" w:name="page60"/>
    <w:bookmarkEnd w:id="59"/>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FNF may not redeem outstanding shares of FNFV Group common stock for shares of common stock of a subsidiary that holds assets and liabilities attributed to the FNFV Group unless its board of directors seeks and receives the approval to such redemption of holders of FNFV common stock, voting together as a separate class, and, if such subsidiary also holds assets and liabilities of the FNF Group, the approval of holders of FNF Group common stock to the corresponding FNF Group common stock redemption, with each affected group voting as a separate class. FNF can convert each share of FNFV Group common stock into a number of shares of the FNF Group common stock at a ratio that provides FNFV stockholders with the applicable Conversion Premium to which they are entitled.</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01"/>
    </w:lvl>
  </w:abstractNum>
  <w:abstractNum w:abstractNumId="11">
    <w:nsid w:val="7FDCC233"/>
    <w:multiLevelType w:val="hybridMultilevel"/>
    <w:lvl w:ilvl="0">
      <w:lvlJc w:val="left"/>
      <w:lvlText w:val="%1"/>
      <w:numFmt w:val="decimal"/>
      <w:start w:val="101"/>
    </w:lvl>
  </w:abstractNum>
  <w:abstractNum w:abstractNumId="12">
    <w:nsid w:val="1BEFD79F"/>
    <w:multiLevelType w:val="hybridMultilevel"/>
    <w:lvl w:ilvl="0">
      <w:lvlJc w:val="left"/>
      <w:lvlText w:val="%1."/>
      <w:numFmt w:val="decimal"/>
      <w:start w:val="1"/>
    </w:lvl>
    <w:lvl w:ilvl="1">
      <w:lvlJc w:val="left"/>
      <w:lvlText w:val="(%2)"/>
      <w:numFmt w:val="lowerLetter"/>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2019-12-29T09:06:49Z</dcterms:created>
  <dcterms:modified xsi:type="dcterms:W3CDTF">2019-12-29T09:06:49Z</dcterms:modified>
</cp:coreProperties>
</file>