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76200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91440</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98" w:lineRule="exact"/>
        <w:rPr>
          <w:sz w:val="24"/>
          <w:szCs w:val="24"/>
          <w:color w:val="auto"/>
        </w:rPr>
      </w:pPr>
    </w:p>
    <w:p>
      <w:pPr>
        <w:ind w:left="480" w:right="260" w:hanging="454"/>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4" w:lineRule="exact"/>
        <w:rPr>
          <w:sz w:val="24"/>
          <w:szCs w:val="24"/>
          <w:color w:val="auto"/>
        </w:rPr>
      </w:pPr>
    </w:p>
    <w:p>
      <w:pPr>
        <w:ind w:left="500" w:hanging="326"/>
        <w:spacing w:after="0"/>
        <w:tabs>
          <w:tab w:leader="none" w:pos="50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94615</wp:posOffset>
            </wp:positionV>
            <wp:extent cx="3643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FIDELITY NATIONAL FINANCIAL, INC.</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94615</wp:posOffset>
            </wp:positionV>
            <wp:extent cx="3643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300"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1"/>
              </w:rPr>
              <w:t>Delaware</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0" w:type="dxa"/>
            <w:vAlign w:val="bottom"/>
            <w:gridSpan w:val="3"/>
          </w:tcPr>
          <w:p>
            <w:pPr>
              <w:jc w:val="center"/>
              <w:ind w:left="1824"/>
              <w:spacing w:after="0"/>
              <w:rPr>
                <w:sz w:val="20"/>
                <w:szCs w:val="20"/>
                <w:color w:val="auto"/>
              </w:rPr>
            </w:pPr>
            <w:r>
              <w:rPr>
                <w:rFonts w:ascii="Arial" w:cs="Arial" w:eastAsia="Arial" w:hAnsi="Arial"/>
                <w:sz w:val="18"/>
                <w:szCs w:val="18"/>
                <w:b w:val="1"/>
                <w:bCs w:val="1"/>
                <w:color w:val="auto"/>
                <w:w w:val="89"/>
              </w:rPr>
              <w:t>16-1725106</w:t>
            </w:r>
          </w:p>
        </w:tc>
      </w:tr>
      <w:tr>
        <w:trPr>
          <w:trHeight w:val="180"/>
        </w:trPr>
        <w:tc>
          <w:tcPr>
            <w:tcW w:w="26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3"/>
              </w:rPr>
              <w:t>(State or other jurisdiction of</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4"/>
              </w:rPr>
              <w:t>incorporation or organization)</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601 Riverside Avenue</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Jacksonville, Florida, 32204</w:t>
            </w: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458"/>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gridSpan w:val="3"/>
          </w:tcPr>
          <w:p>
            <w:pPr>
              <w:jc w:val="center"/>
              <w:ind w:left="644"/>
              <w:spacing w:after="0"/>
              <w:rPr>
                <w:sz w:val="20"/>
                <w:szCs w:val="20"/>
                <w:color w:val="auto"/>
              </w:rPr>
            </w:pPr>
            <w:r>
              <w:rPr>
                <w:rFonts w:ascii="Arial" w:cs="Arial" w:eastAsia="Arial" w:hAnsi="Arial"/>
                <w:sz w:val="18"/>
                <w:szCs w:val="18"/>
                <w:b w:val="1"/>
                <w:bCs w:val="1"/>
                <w:color w:val="auto"/>
                <w:w w:val="90"/>
              </w:rPr>
              <w:t>(904) 854-8100</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8"/>
        </w:trPr>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05"/>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88"/>
        </w:trPr>
        <w:tc>
          <w:tcPr>
            <w:tcW w:w="5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94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72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Trading Symbol</w:t>
            </w:r>
          </w:p>
        </w:tc>
        <w:tc>
          <w:tcPr>
            <w:tcW w:w="3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268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FNF Common Stock, $0.0001 par value</w:t>
            </w:r>
          </w:p>
        </w:tc>
        <w:tc>
          <w:tcPr>
            <w:tcW w:w="840" w:type="dxa"/>
            <w:vAlign w:val="bottom"/>
          </w:tcPr>
          <w:p>
            <w:pPr>
              <w:spacing w:after="0"/>
              <w:rPr>
                <w:sz w:val="18"/>
                <w:szCs w:val="18"/>
                <w:color w:val="auto"/>
              </w:rPr>
            </w:pPr>
          </w:p>
        </w:tc>
        <w:tc>
          <w:tcPr>
            <w:tcW w:w="2720" w:type="dxa"/>
            <w:vAlign w:val="bottom"/>
            <w:gridSpan w:val="2"/>
          </w:tcPr>
          <w:p>
            <w:pPr>
              <w:jc w:val="center"/>
              <w:ind w:right="1740"/>
              <w:spacing w:after="0"/>
              <w:rPr>
                <w:sz w:val="20"/>
                <w:szCs w:val="20"/>
                <w:color w:val="auto"/>
              </w:rPr>
            </w:pPr>
            <w:r>
              <w:rPr>
                <w:rFonts w:ascii="Arial" w:cs="Arial" w:eastAsia="Arial" w:hAnsi="Arial"/>
                <w:sz w:val="14"/>
                <w:szCs w:val="14"/>
                <w:color w:val="auto"/>
                <w:w w:val="95"/>
              </w:rPr>
              <w:t>FNF</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203"/>
        </w:trPr>
        <w:tc>
          <w:tcPr>
            <w:tcW w:w="268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5.50% Notes due September 2022</w:t>
            </w:r>
          </w:p>
        </w:tc>
        <w:tc>
          <w:tcPr>
            <w:tcW w:w="840" w:type="dxa"/>
            <w:vAlign w:val="bottom"/>
          </w:tcPr>
          <w:p>
            <w:pPr>
              <w:spacing w:after="0"/>
              <w:rPr>
                <w:sz w:val="17"/>
                <w:szCs w:val="17"/>
                <w:color w:val="auto"/>
              </w:rPr>
            </w:pPr>
          </w:p>
        </w:tc>
        <w:tc>
          <w:tcPr>
            <w:tcW w:w="2720" w:type="dxa"/>
            <w:vAlign w:val="bottom"/>
            <w:gridSpan w:val="2"/>
          </w:tcPr>
          <w:p>
            <w:pPr>
              <w:jc w:val="center"/>
              <w:ind w:right="1740"/>
              <w:spacing w:after="0"/>
              <w:rPr>
                <w:sz w:val="20"/>
                <w:szCs w:val="20"/>
                <w:color w:val="auto"/>
              </w:rPr>
            </w:pPr>
            <w:r>
              <w:rPr>
                <w:rFonts w:ascii="Arial" w:cs="Arial" w:eastAsia="Arial" w:hAnsi="Arial"/>
                <w:sz w:val="14"/>
                <w:szCs w:val="14"/>
                <w:color w:val="auto"/>
                <w:w w:val="98"/>
              </w:rPr>
              <w:t>FNF22</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215"/>
        </w:trPr>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8" w:lineRule="exact"/>
        <w:rPr>
          <w:sz w:val="24"/>
          <w:szCs w:val="24"/>
          <w:color w:val="auto"/>
        </w:rPr>
      </w:pPr>
    </w:p>
    <w:p>
      <w:pPr>
        <w:ind w:right="20"/>
        <w:spacing w:after="0" w:line="23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 </w:t>
      </w:r>
      <w:r>
        <w:rPr>
          <w:rFonts w:ascii="MS PGothic" w:cs="MS PGothic" w:eastAsia="MS PGothic" w:hAnsi="MS PGothic"/>
          <w:sz w:val="21"/>
          <w:szCs w:val="21"/>
          <w:color w:val="auto"/>
        </w:rPr>
        <w:t>☐</w:t>
      </w:r>
    </w:p>
    <w:p>
      <w:pPr>
        <w:spacing w:after="0" w:line="52" w:lineRule="exact"/>
        <w:rPr>
          <w:sz w:val="24"/>
          <w:szCs w:val="24"/>
          <w:color w:val="auto"/>
        </w:rPr>
      </w:pPr>
    </w:p>
    <w:p>
      <w:pPr>
        <w:spacing w:after="0" w:line="24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6"/>
          <w:szCs w:val="16"/>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6" w:right="339" w:bottom="1440" w:gutter="0" w:footer="0" w:header="0"/>
        </w:sectPr>
      </w:pPr>
    </w:p>
    <w:p>
      <w:pPr>
        <w:spacing w:after="0" w:line="363" w:lineRule="exact"/>
        <w:rPr>
          <w:sz w:val="24"/>
          <w:szCs w:val="24"/>
          <w:color w:val="auto"/>
        </w:rPr>
      </w:pPr>
    </w:p>
    <w:p>
      <w:pPr>
        <w:ind w:left="1360"/>
        <w:spacing w:after="0"/>
        <w:rPr>
          <w:sz w:val="20"/>
          <w:szCs w:val="20"/>
          <w:color w:val="auto"/>
        </w:rPr>
      </w:pPr>
      <w:r>
        <w:rPr>
          <w:rFonts w:ascii="Arial" w:cs="Arial" w:eastAsia="Arial" w:hAnsi="Arial"/>
          <w:sz w:val="13"/>
          <w:szCs w:val="13"/>
          <w:color w:val="auto"/>
        </w:rPr>
        <w:t>Large Accelerated Filer</w:t>
      </w:r>
    </w:p>
    <w:p>
      <w:pPr>
        <w:spacing w:after="0" w:line="215" w:lineRule="exact"/>
        <w:rPr>
          <w:sz w:val="24"/>
          <w:szCs w:val="24"/>
          <w:color w:val="auto"/>
        </w:rPr>
      </w:pPr>
    </w:p>
    <w:p>
      <w:pPr>
        <w:ind w:left="13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144"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-3601085</wp:posOffset>
            </wp:positionH>
            <wp:positionV relativeFrom="paragraph">
              <wp:posOffset>714375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5"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4">
            <w:col w:w="4160" w:space="720"/>
            <w:col w:w="240" w:space="560"/>
            <w:col w:w="2800" w:space="720"/>
            <w:col w:w="2040"/>
          </w:cols>
          <w:pgMar w:left="320" w:top="1376" w:right="339" w:bottom="1440" w:gutter="0" w:footer="0" w:header="0"/>
          <w:type w:val="continuous"/>
        </w:sectPr>
      </w:pPr>
    </w:p>
    <w:bookmarkStart w:id="1" w:name="page2"/>
    <w:bookmarkEnd w:id="1"/>
    <w:p>
      <w:pPr>
        <w:spacing w:after="0" w:line="2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0"/>
          <w:szCs w:val="20"/>
          <w:color w:val="auto"/>
        </w:rPr>
      </w:pPr>
    </w:p>
    <w:p>
      <w:pPr>
        <w:spacing w:after="0" w:line="242" w:lineRule="exact"/>
        <w:tabs>
          <w:tab w:leader="none" w:pos="74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4"/>
          <w:szCs w:val="14"/>
          <w:color w:val="auto"/>
        </w:rPr>
        <w:t xml:space="preserve"> or</w:t>
        <w:tab/>
        <w:t xml:space="preserve">No </w:t>
      </w:r>
      <w:r>
        <w:rPr>
          <w:rFonts w:ascii="MS PGothic" w:cs="MS PGothic" w:eastAsia="MS PGothic" w:hAnsi="MS PGothic"/>
          <w:sz w:val="21"/>
          <w:szCs w:val="21"/>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July 31, 2020 were: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Common Stock 291,849,069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112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2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55"/>
        </w:trPr>
        <w:tc>
          <w:tcPr>
            <w:tcW w:w="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46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PART I. FINANCIAL INFORMATION</w:t>
            </w:r>
          </w:p>
        </w:tc>
        <w:tc>
          <w:tcPr>
            <w:tcW w:w="2420" w:type="dxa"/>
            <w:vAlign w:val="bottom"/>
          </w:tcPr>
          <w:p>
            <w:pPr>
              <w:spacing w:after="0"/>
              <w:rPr>
                <w:sz w:val="22"/>
                <w:szCs w:val="22"/>
                <w:color w:val="auto"/>
              </w:rPr>
            </w:pPr>
          </w:p>
        </w:tc>
      </w:tr>
      <w:tr>
        <w:trPr>
          <w:trHeight w:val="230"/>
        </w:trPr>
        <w:tc>
          <w:tcPr>
            <w:tcW w:w="39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Item 1. Condensed Consolidated Financial Statements:</w:t>
              </w:r>
            </w:hyperlink>
          </w:p>
        </w:tc>
        <w:tc>
          <w:tcPr>
            <w:tcW w:w="4820" w:type="dxa"/>
            <w:vAlign w:val="bottom"/>
            <w:gridSpan w:val="2"/>
          </w:tcPr>
          <w:p>
            <w:pPr>
              <w:spacing w:after="0"/>
              <w:rPr>
                <w:sz w:val="19"/>
                <w:szCs w:val="19"/>
                <w:color w:val="auto"/>
              </w:rPr>
            </w:pPr>
          </w:p>
        </w:tc>
        <w:tc>
          <w:tcPr>
            <w:tcW w:w="2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63"/>
        </w:trPr>
        <w:tc>
          <w:tcPr>
            <w:tcW w:w="8780" w:type="dxa"/>
            <w:vAlign w:val="bottom"/>
            <w:gridSpan w:val="5"/>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43"/>
        </w:trPr>
        <w:tc>
          <w:tcPr>
            <w:tcW w:w="8780" w:type="dxa"/>
            <w:vAlign w:val="bottom"/>
            <w:gridSpan w:val="5"/>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Earnings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43"/>
        </w:trPr>
        <w:tc>
          <w:tcPr>
            <w:tcW w:w="8780" w:type="dxa"/>
            <w:vAlign w:val="bottom"/>
            <w:gridSpan w:val="5"/>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Comprehensive Earnings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43"/>
        </w:trPr>
        <w:tc>
          <w:tcPr>
            <w:tcW w:w="8780" w:type="dxa"/>
            <w:vAlign w:val="bottom"/>
            <w:gridSpan w:val="5"/>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Equity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43"/>
        </w:trPr>
        <w:tc>
          <w:tcPr>
            <w:tcW w:w="8780" w:type="dxa"/>
            <w:vAlign w:val="bottom"/>
            <w:gridSpan w:val="5"/>
          </w:tcPr>
          <w:p>
            <w:pPr>
              <w:ind w:left="1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Cash Flows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r>
      <w:tr>
        <w:trPr>
          <w:trHeight w:val="243"/>
        </w:trPr>
        <w:tc>
          <w:tcPr>
            <w:tcW w:w="8780" w:type="dxa"/>
            <w:vAlign w:val="bottom"/>
            <w:gridSpan w:val="5"/>
          </w:tcPr>
          <w:p>
            <w:pPr>
              <w:ind w:left="1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Unaudited Condensed Consolidated Financial Statements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10</w:t>
              </w:r>
            </w:hyperlink>
          </w:p>
        </w:tc>
      </w:tr>
      <w:tr>
        <w:trPr>
          <w:trHeight w:val="243"/>
        </w:trPr>
        <w:tc>
          <w:tcPr>
            <w:tcW w:w="8780" w:type="dxa"/>
            <w:vAlign w:val="bottom"/>
            <w:gridSpan w:val="5"/>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2. Management's Discussion and Analysis of Financial Condition and Results of Operations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58</w:t>
              </w:r>
            </w:hyperlink>
          </w:p>
        </w:tc>
      </w:tr>
      <w:tr>
        <w:trPr>
          <w:trHeight w:val="230"/>
        </w:trPr>
        <w:tc>
          <w:tcPr>
            <w:tcW w:w="8780" w:type="dxa"/>
            <w:vAlign w:val="bottom"/>
            <w:gridSpan w:val="5"/>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3. Quantitative and Qualitative Disclosures about Market Risk</w:t>
              </w:r>
            </w:hyperlink>
          </w:p>
        </w:tc>
        <w:tc>
          <w:tcPr>
            <w:tcW w:w="242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91</w:t>
              </w:r>
            </w:hyperlink>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0000FF"/>
                <w:w w:val="94"/>
              </w:rPr>
              <w:t>Item 4.</w:t>
            </w:r>
          </w:p>
        </w:tc>
        <w:tc>
          <w:tcPr>
            <w:tcW w:w="8240" w:type="dxa"/>
            <w:vAlign w:val="bottom"/>
            <w:gridSpan w:val="4"/>
          </w:tcPr>
          <w:p>
            <w:pPr>
              <w:ind w:left="20"/>
              <w:spacing w:after="0" w:line="190" w:lineRule="exact"/>
              <w:rPr>
                <w:sz w:val="20"/>
                <w:szCs w:val="20"/>
                <w:color w:val="auto"/>
              </w:rPr>
            </w:pPr>
            <w:r>
              <w:rPr>
                <w:rFonts w:ascii="Arial" w:cs="Arial" w:eastAsia="Arial" w:hAnsi="Arial"/>
                <w:sz w:val="18"/>
                <w:szCs w:val="18"/>
                <w:color w:val="0000FF"/>
              </w:rPr>
              <w:t>Controls and Procedures</w:t>
            </w:r>
          </w:p>
        </w:tc>
        <w:tc>
          <w:tcPr>
            <w:tcW w:w="2420" w:type="dxa"/>
            <w:vAlign w:val="bottom"/>
          </w:tcPr>
          <w:p>
            <w:pPr>
              <w:jc w:val="right"/>
              <w:spacing w:after="0" w:line="190" w:lineRule="exact"/>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97</w:t>
              </w:r>
            </w:hyperlink>
          </w:p>
        </w:tc>
      </w:tr>
      <w:tr>
        <w:trPr>
          <w:trHeight w:val="534"/>
        </w:trPr>
        <w:tc>
          <w:tcPr>
            <w:tcW w:w="540" w:type="dxa"/>
            <w:vAlign w:val="bottom"/>
            <w:tcBorders>
              <w:top w:val="single" w:sz="8" w:color="0000FF"/>
            </w:tcBorders>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646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PART II. OTHER INFORMATION</w:t>
            </w:r>
          </w:p>
        </w:tc>
        <w:tc>
          <w:tcPr>
            <w:tcW w:w="2420" w:type="dxa"/>
            <w:vAlign w:val="bottom"/>
          </w:tcPr>
          <w:p>
            <w:pPr>
              <w:spacing w:after="0"/>
              <w:rPr>
                <w:sz w:val="24"/>
                <w:szCs w:val="24"/>
                <w:color w:val="auto"/>
              </w:rPr>
            </w:pPr>
          </w:p>
        </w:tc>
      </w:tr>
      <w:tr>
        <w:trPr>
          <w:trHeight w:val="269"/>
        </w:trPr>
        <w:tc>
          <w:tcPr>
            <w:tcW w:w="540" w:type="dxa"/>
            <w:vAlign w:val="bottom"/>
          </w:tcPr>
          <w:p>
            <w:pPr>
              <w:spacing w:after="0"/>
              <w:rPr>
                <w:rFonts w:ascii="Arial" w:cs="Arial" w:eastAsia="Arial" w:hAnsi="Arial"/>
                <w:sz w:val="18"/>
                <w:szCs w:val="18"/>
                <w:u w:val="single" w:color="auto"/>
                <w:color w:val="0000FF"/>
                <w:w w:val="94"/>
              </w:rPr>
            </w:pPr>
            <w:hyperlink w:anchor="page101">
              <w:r>
                <w:rPr>
                  <w:rFonts w:ascii="Arial" w:cs="Arial" w:eastAsia="Arial" w:hAnsi="Arial"/>
                  <w:sz w:val="18"/>
                  <w:szCs w:val="18"/>
                  <w:u w:val="single" w:color="auto"/>
                  <w:color w:val="0000FF"/>
                  <w:w w:val="94"/>
                </w:rPr>
                <w:t>Item 1.</w:t>
              </w:r>
            </w:hyperlink>
          </w:p>
        </w:tc>
        <w:tc>
          <w:tcPr>
            <w:tcW w:w="8240" w:type="dxa"/>
            <w:vAlign w:val="bottom"/>
            <w:gridSpan w:val="4"/>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Legal Proceedings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99</w:t>
              </w:r>
            </w:hyperlink>
          </w:p>
        </w:tc>
      </w:tr>
      <w:tr>
        <w:trPr>
          <w:trHeight w:val="243"/>
        </w:trPr>
        <w:tc>
          <w:tcPr>
            <w:tcW w:w="8780" w:type="dxa"/>
            <w:vAlign w:val="bottom"/>
            <w:gridSpan w:val="5"/>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1A. Risk Factors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99</w:t>
              </w:r>
            </w:hyperlink>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0000FF"/>
                <w:w w:val="94"/>
              </w:rPr>
              <w:t>Item 2.</w:t>
            </w:r>
          </w:p>
        </w:tc>
        <w:tc>
          <w:tcPr>
            <w:tcW w:w="8240" w:type="dxa"/>
            <w:vAlign w:val="bottom"/>
            <w:gridSpan w:val="4"/>
          </w:tcPr>
          <w:p>
            <w:pPr>
              <w:ind w:left="20"/>
              <w:spacing w:after="0" w:line="203" w:lineRule="exact"/>
              <w:rPr>
                <w:sz w:val="20"/>
                <w:szCs w:val="20"/>
                <w:color w:val="auto"/>
              </w:rPr>
            </w:pPr>
            <w:r>
              <w:rPr>
                <w:rFonts w:ascii="Arial" w:cs="Arial" w:eastAsia="Arial" w:hAnsi="Arial"/>
                <w:sz w:val="18"/>
                <w:szCs w:val="18"/>
                <w:color w:val="0000FF"/>
              </w:rPr>
              <w:t>Unregistered Sales of Equity Securities and Use of Proceeds</w:t>
            </w:r>
          </w:p>
        </w:tc>
        <w:tc>
          <w:tcPr>
            <w:tcW w:w="2420" w:type="dxa"/>
            <w:vAlign w:val="bottom"/>
          </w:tcPr>
          <w:p>
            <w:pPr>
              <w:jc w:val="right"/>
              <w:spacing w:after="0" w:line="203" w:lineRule="exact"/>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103</w:t>
              </w:r>
            </w:hyperlink>
          </w:p>
        </w:tc>
      </w:tr>
      <w:tr>
        <w:trPr>
          <w:trHeight w:val="263"/>
        </w:trPr>
        <w:tc>
          <w:tcPr>
            <w:tcW w:w="540" w:type="dxa"/>
            <w:vAlign w:val="bottom"/>
            <w:tcBorders>
              <w:top w:val="single" w:sz="8" w:color="0000FF"/>
            </w:tcBorders>
          </w:tcPr>
          <w:p>
            <w:pPr>
              <w:spacing w:after="0"/>
              <w:rPr>
                <w:rFonts w:ascii="Arial" w:cs="Arial" w:eastAsia="Arial" w:hAnsi="Arial"/>
                <w:sz w:val="18"/>
                <w:szCs w:val="18"/>
                <w:u w:val="single" w:color="auto"/>
                <w:color w:val="0000FF"/>
                <w:w w:val="94"/>
              </w:rPr>
            </w:pPr>
            <w:hyperlink w:anchor="page105">
              <w:r>
                <w:rPr>
                  <w:rFonts w:ascii="Arial" w:cs="Arial" w:eastAsia="Arial" w:hAnsi="Arial"/>
                  <w:sz w:val="18"/>
                  <w:szCs w:val="18"/>
                  <w:u w:val="single" w:color="auto"/>
                  <w:color w:val="0000FF"/>
                  <w:w w:val="94"/>
                </w:rPr>
                <w:t>Item 6.</w:t>
              </w:r>
            </w:hyperlink>
          </w:p>
        </w:tc>
        <w:tc>
          <w:tcPr>
            <w:tcW w:w="4360" w:type="dxa"/>
            <w:vAlign w:val="bottom"/>
            <w:tcBorders>
              <w:top w:val="single" w:sz="8" w:color="0000FF"/>
            </w:tcBorders>
            <w:gridSpan w:val="3"/>
          </w:tcPr>
          <w:p>
            <w:pPr>
              <w:ind w:left="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Exhibits</w:t>
              </w:r>
            </w:hyperlink>
          </w:p>
        </w:tc>
        <w:tc>
          <w:tcPr>
            <w:tcW w:w="3880" w:type="dxa"/>
            <w:vAlign w:val="bottom"/>
          </w:tcPr>
          <w:p>
            <w:pPr>
              <w:spacing w:after="0"/>
              <w:rPr>
                <w:sz w:val="22"/>
                <w:szCs w:val="22"/>
                <w:color w:val="auto"/>
              </w:rPr>
            </w:pPr>
          </w:p>
        </w:tc>
        <w:tc>
          <w:tcPr>
            <w:tcW w:w="242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103</w:t>
              </w:r>
            </w:hyperlink>
          </w:p>
        </w:tc>
      </w:tr>
      <w:tr>
        <w:trPr>
          <w:trHeight w:val="244"/>
        </w:trPr>
        <w:tc>
          <w:tcPr>
            <w:tcW w:w="8780" w:type="dxa"/>
            <w:vAlign w:val="bottom"/>
            <w:gridSpan w:val="5"/>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Signatures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8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(Unaudited)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92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9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2"/>
              </w:rPr>
              <w:t>Fixed maturity securities available for sale, at fair value, at June 30, 2020 and December 31, 2019, net of allowance for credit losses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25,114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$28 and $0, respectively.</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24"/>
        </w:trPr>
        <w:tc>
          <w:tcPr>
            <w:tcW w:w="8920" w:type="dxa"/>
            <w:vAlign w:val="bottom"/>
          </w:tcPr>
          <w:p>
            <w:pPr>
              <w:ind w:left="220"/>
              <w:spacing w:after="0"/>
              <w:rPr>
                <w:sz w:val="20"/>
                <w:szCs w:val="20"/>
                <w:color w:val="auto"/>
              </w:rPr>
            </w:pPr>
            <w:r>
              <w:rPr>
                <w:rFonts w:ascii="Arial" w:cs="Arial" w:eastAsia="Arial" w:hAnsi="Arial"/>
                <w:sz w:val="16"/>
                <w:szCs w:val="16"/>
                <w:color w:val="auto"/>
              </w:rPr>
              <w:t>Derivative investments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loans, net of allowance for credit losses of $28 at June 30, 2020</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4"/>
        </w:trPr>
        <w:tc>
          <w:tcPr>
            <w:tcW w:w="89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166"/>
        </w:trPr>
        <w:tc>
          <w:tcPr>
            <w:tcW w:w="8920" w:type="dxa"/>
            <w:vAlign w:val="bottom"/>
          </w:tcPr>
          <w:p>
            <w:pPr>
              <w:ind w:left="20"/>
              <w:spacing w:after="0" w:line="166" w:lineRule="exact"/>
              <w:rPr>
                <w:sz w:val="20"/>
                <w:szCs w:val="20"/>
                <w:color w:val="auto"/>
              </w:rPr>
            </w:pPr>
            <w:r>
              <w:rPr>
                <w:rFonts w:ascii="Arial" w:cs="Arial" w:eastAsia="Arial" w:hAnsi="Arial"/>
                <w:sz w:val="16"/>
                <w:szCs w:val="16"/>
                <w:color w:val="auto"/>
                <w:w w:val="92"/>
              </w:rPr>
              <w:t>Cash and cash equivalents, at June 30, 2020 and December 31, 2019 includes $327 and $384, respectively, of pledged cash related to</w:t>
            </w:r>
          </w:p>
        </w:tc>
        <w:tc>
          <w:tcPr>
            <w:tcW w:w="160" w:type="dxa"/>
            <w:vAlign w:val="bottom"/>
          </w:tcPr>
          <w:p>
            <w:pPr>
              <w:spacing w:after="0"/>
              <w:rPr>
                <w:sz w:val="14"/>
                <w:szCs w:val="14"/>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Arial" w:cs="Arial" w:eastAsia="Arial" w:hAnsi="Arial"/>
                <w:sz w:val="16"/>
                <w:szCs w:val="16"/>
                <w:color w:val="auto"/>
              </w:rPr>
              <w:t>secured trust deposits</w:t>
            </w: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$26 and $20 at June 30, 2020 and December 31, 2019, respectively</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54"/>
        </w:trPr>
        <w:tc>
          <w:tcPr>
            <w:tcW w:w="8920" w:type="dxa"/>
            <w:vAlign w:val="bottom"/>
          </w:tcPr>
          <w:p>
            <w:pPr>
              <w:ind w:left="20"/>
              <w:spacing w:after="0"/>
              <w:rPr>
                <w:sz w:val="20"/>
                <w:szCs w:val="20"/>
                <w:color w:val="auto"/>
              </w:rPr>
            </w:pPr>
            <w:r>
              <w:rPr>
                <w:rFonts w:ascii="Arial" w:cs="Arial" w:eastAsia="Arial" w:hAnsi="Arial"/>
                <w:sz w:val="16"/>
                <w:szCs w:val="16"/>
                <w:color w:val="auto"/>
              </w:rPr>
              <w:t>Reinsurance recoverable, net of allowance for credit losses of $22 at June 30, 2020</w:t>
            </w:r>
          </w:p>
        </w:tc>
        <w:tc>
          <w:tcPr>
            <w:tcW w:w="16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3,182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8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48,001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920" w:type="dxa"/>
            <w:vAlign w:val="bottom"/>
            <w:shd w:val="clear" w:color="auto" w:fill="CCEEFF"/>
          </w:tcPr>
          <w:p>
            <w:pPr>
              <w:ind w:left="470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Contractholder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26,628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4,092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Reserve for title claim losses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Funds withheld for reinsurance liabilities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Secured trust deposits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92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41,308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920" w:type="dxa"/>
            <w:vAlign w:val="bottom"/>
          </w:tcPr>
          <w:p>
            <w:pPr>
              <w:ind w:left="22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6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920" w:type="dxa"/>
            <w:vAlign w:val="bottom"/>
          </w:tcPr>
          <w:p>
            <w:pPr>
              <w:ind w:left="220"/>
              <w:spacing w:after="0" w:line="166" w:lineRule="exact"/>
              <w:rPr>
                <w:sz w:val="20"/>
                <w:szCs w:val="20"/>
                <w:color w:val="auto"/>
              </w:rPr>
            </w:pPr>
            <w:r>
              <w:rPr>
                <w:rFonts w:ascii="Arial" w:cs="Arial" w:eastAsia="Arial" w:hAnsi="Arial"/>
                <w:sz w:val="16"/>
                <w:szCs w:val="16"/>
                <w:color w:val="auto"/>
                <w:w w:val="92"/>
              </w:rPr>
              <w:t>FNF common stock, $0.0001 par value; authorized 600,000,000 shares as of June 30, 2020 and December 31, 2019; outstanding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20" w:type="dxa"/>
            <w:vAlign w:val="bottom"/>
          </w:tcPr>
          <w:p>
            <w:pPr>
              <w:ind w:left="220"/>
              <w:spacing w:after="0" w:line="162" w:lineRule="exact"/>
              <w:rPr>
                <w:sz w:val="20"/>
                <w:szCs w:val="20"/>
                <w:color w:val="auto"/>
              </w:rPr>
            </w:pPr>
            <w:r>
              <w:rPr>
                <w:rFonts w:ascii="Arial" w:cs="Arial" w:eastAsia="Arial" w:hAnsi="Arial"/>
                <w:sz w:val="16"/>
                <w:szCs w:val="16"/>
                <w:color w:val="auto"/>
                <w:w w:val="91"/>
              </w:rPr>
              <w:t>291,733,083 and 275,563,436 as of June 30, 2020 and December 31, 2019, respectively, and issued of 318,842,665 and 292,236,476</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Arial" w:cs="Arial" w:eastAsia="Arial" w:hAnsi="Arial"/>
                <w:sz w:val="16"/>
                <w:szCs w:val="16"/>
                <w:color w:val="auto"/>
              </w:rPr>
              <w:t>as of June 30, 2020 and December 31, 2019, respectively</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5,431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Less: Treasury stock, 27,109,582 shares and 16,673,040 shares as of June 30, 2020 and December 31, 2019, respectively, at cost</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20"/>
        </w:trPr>
        <w:tc>
          <w:tcPr>
            <w:tcW w:w="8920" w:type="dxa"/>
            <w:vAlign w:val="bottom"/>
          </w:tcPr>
          <w:p>
            <w:pPr>
              <w:ind w:left="500"/>
              <w:spacing w:after="0"/>
              <w:rPr>
                <w:sz w:val="20"/>
                <w:szCs w:val="20"/>
                <w:color w:val="auto"/>
              </w:rPr>
            </w:pPr>
            <w:r>
              <w:rPr>
                <w:rFonts w:ascii="Arial" w:cs="Arial" w:eastAsia="Arial" w:hAnsi="Arial"/>
                <w:sz w:val="16"/>
                <w:szCs w:val="16"/>
                <w:color w:val="auto"/>
              </w:rPr>
              <w:t>Total Fidelity National Financial, Inc. shareholders’ equity</w:t>
            </w:r>
          </w:p>
        </w:tc>
        <w:tc>
          <w:tcPr>
            <w:tcW w:w="16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92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6,349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5,365</w:t>
            </w:r>
          </w:p>
        </w:tc>
        <w:tc>
          <w:tcPr>
            <w:tcW w:w="0" w:type="dxa"/>
            <w:vAlign w:val="bottom"/>
          </w:tcPr>
          <w:p>
            <w:pPr>
              <w:spacing w:after="0"/>
              <w:rPr>
                <w:sz w:val="1"/>
                <w:szCs w:val="1"/>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redeemable non-controlling interest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48,001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ectPr>
          <w:pgSz w:w="11900" w:h="16838" w:orient="portrait"/>
          <w:cols w:equalWidth="0" w:num="1">
            <w:col w:w="11240"/>
          </w:cols>
          <w:pgMar w:left="320" w:top="607" w:right="339" w:bottom="360" w:gutter="0" w:footer="0" w:header="0"/>
        </w:sect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360" w:gutter="0" w:footer="0" w:header="0"/>
          <w:type w:val="continuous"/>
        </w:sectPr>
      </w:pPr>
    </w:p>
    <w:bookmarkStart w:id="5" w:name="page6"/>
    <w:bookmarkEnd w:id="5"/>
    <w:p>
      <w:pPr>
        <w:ind w:left="30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gridSpan w:val="2"/>
          </w:tcPr>
          <w:p>
            <w:pPr>
              <w:ind w:left="4400"/>
              <w:spacing w:after="0"/>
              <w:rPr>
                <w:sz w:val="20"/>
                <w:szCs w:val="20"/>
                <w:color w:val="auto"/>
              </w:rPr>
            </w:pPr>
            <w:r>
              <w:rPr>
                <w:rFonts w:ascii="Arial" w:cs="Arial" w:eastAsia="Arial" w:hAnsi="Arial"/>
                <w:sz w:val="14"/>
                <w:szCs w:val="14"/>
                <w:color w:val="auto"/>
              </w:rPr>
              <w:t>(Dollars in millions, except per share data)</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6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24"/>
                <w:szCs w:val="24"/>
                <w:color w:val="auto"/>
              </w:rPr>
            </w:pPr>
          </w:p>
        </w:tc>
        <w:tc>
          <w:tcPr>
            <w:tcW w:w="174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74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8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12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575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24"/>
        </w:trPr>
        <w:tc>
          <w:tcPr>
            <w:tcW w:w="618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3"/>
        </w:trPr>
        <w:tc>
          <w:tcPr>
            <w:tcW w:w="6180" w:type="dxa"/>
            <w:vAlign w:val="bottom"/>
          </w:tcPr>
          <w:p>
            <w:pPr>
              <w:ind w:left="220"/>
              <w:spacing w:after="0"/>
              <w:rPr>
                <w:sz w:val="20"/>
                <w:szCs w:val="20"/>
                <w:color w:val="auto"/>
              </w:rPr>
            </w:pPr>
            <w:r>
              <w:rPr>
                <w:rFonts w:ascii="Arial" w:cs="Arial" w:eastAsia="Arial" w:hAnsi="Arial"/>
                <w:sz w:val="16"/>
                <w:szCs w:val="16"/>
                <w:color w:val="auto"/>
              </w:rPr>
              <w:t>Realized gains and losses, net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2,420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3,866</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23"/>
        </w:trPr>
        <w:tc>
          <w:tcPr>
            <w:tcW w:w="618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24"/>
        </w:trPr>
        <w:tc>
          <w:tcPr>
            <w:tcW w:w="618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4"/>
        </w:trPr>
        <w:tc>
          <w:tcPr>
            <w:tcW w:w="618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6180" w:type="dxa"/>
            <w:vAlign w:val="bottom"/>
          </w:tcPr>
          <w:p>
            <w:pPr>
              <w:ind w:left="780"/>
              <w:spacing w:after="0"/>
              <w:rPr>
                <w:sz w:val="20"/>
                <w:szCs w:val="20"/>
                <w:color w:val="auto"/>
              </w:rPr>
            </w:pPr>
            <w:r>
              <w:rPr>
                <w:rFonts w:ascii="Arial" w:cs="Arial" w:eastAsia="Arial" w:hAnsi="Arial"/>
                <w:sz w:val="16"/>
                <w:szCs w:val="16"/>
                <w:color w:val="auto"/>
              </w:rPr>
              <w:t>Total expenses</w:t>
            </w:r>
          </w:p>
        </w:tc>
        <w:tc>
          <w:tcPr>
            <w:tcW w:w="1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1,791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3,717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7"/>
              </w:rPr>
              <w:t>Earnings from continuing operations before income taxes and equity in earnings of unconsolidated affiliates</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equity in earnings of unconsolidated affiliates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 net of tax</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309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2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0.97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12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0.97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2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0.96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12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0.96</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6180" w:type="dxa"/>
            <w:vAlign w:val="bottom"/>
          </w:tcPr>
          <w:p>
            <w:pPr>
              <w:ind w:left="20"/>
              <w:spacing w:after="0"/>
              <w:rPr>
                <w:sz w:val="20"/>
                <w:szCs w:val="20"/>
                <w:color w:val="auto"/>
              </w:rPr>
            </w:pPr>
            <w:r>
              <w:rPr>
                <w:rFonts w:ascii="Arial" w:cs="Arial" w:eastAsia="Arial" w:hAnsi="Arial"/>
                <w:sz w:val="16"/>
                <w:szCs w:val="16"/>
                <w:color w:val="auto"/>
              </w:rPr>
              <w:t>Weighted average shares outstanding FNF common stock, basic basis</w:t>
            </w:r>
          </w:p>
        </w:tc>
        <w:tc>
          <w:tcPr>
            <w:tcW w:w="1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680"/>
              <w:spacing w:after="0"/>
              <w:rPr>
                <w:sz w:val="20"/>
                <w:szCs w:val="20"/>
                <w:color w:val="auto"/>
              </w:rPr>
            </w:pPr>
            <w:r>
              <w:rPr>
                <w:rFonts w:ascii="Arial" w:cs="Arial" w:eastAsia="Arial" w:hAnsi="Arial"/>
                <w:sz w:val="16"/>
                <w:szCs w:val="16"/>
                <w:color w:val="auto"/>
                <w:w w:val="86"/>
              </w:rPr>
              <w:t>See Notes to Condensed Consolidated</w:t>
            </w:r>
            <w:r>
              <w:rPr>
                <w:rFonts w:ascii="Arial" w:cs="Arial" w:eastAsia="Arial" w:hAnsi="Arial"/>
                <w:sz w:val="17"/>
                <w:szCs w:val="17"/>
                <w:color w:val="auto"/>
                <w:w w:val="86"/>
              </w:rPr>
              <w:t>4</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180" w:type="dxa"/>
            <w:vAlign w:val="bottom"/>
            <w:vMerge w:val="continue"/>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color w:val="auto"/>
                <w:w w:val="93"/>
              </w:rPr>
              <w:t>Financial Statements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jc w:val="center"/>
        <w:ind w:left="340" w:right="220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9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6"/>
        </w:trPr>
        <w:tc>
          <w:tcPr>
            <w:tcW w:w="69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476</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Unrealized gain on investments and other financial instruments, net of adjustments to</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intangible assets and unearned revenue (excluding investments in unconsolidated affiliates)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Unrealized gain on investments in unconsolidated affiliates (2)</w:t>
            </w:r>
          </w:p>
        </w:tc>
        <w:tc>
          <w:tcPr>
            <w:tcW w:w="1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foreign currency translation (3)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w w:val="98"/>
              </w:rPr>
              <w:t>Reclassification adjustments for change in unrealized gains and losses included in net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earnings (4)</w:t>
            </w:r>
          </w:p>
        </w:tc>
        <w:tc>
          <w:tcPr>
            <w:tcW w:w="120" w:type="dxa"/>
            <w:vAlign w:val="bottom"/>
          </w:tcPr>
          <w:p>
            <w:pPr>
              <w:spacing w:after="0"/>
              <w:rPr>
                <w:sz w:val="20"/>
                <w:szCs w:val="20"/>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Change in reinsurance liabilities held at fair value resulting from a change in the instrument-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specific credit risk (5)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49</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525</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12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Comprehensive earnings attributable to Fidelity National Financial, Inc.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right="2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$121 million and $6 million for the three-month periods ended June 30, 2020 and 2019, respectively, and $118 million and $14 million for the six-month periods ended June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$0 million and $1 million for the three-month periods ended June 30, 2020 and 2019, respectively, and $2 million and $2 million for the six-month periods ended June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$2 million and $1 million for the three-month periods ended June 30, 2020 and 2019, respectively, and $(1) million and $1 million for the six-month periods ended June 30, 2020 and 2019,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$(1) million for the three-month periods ended June 30, 2020 and 2019, respectively, and $0 million and $(2) million for the six-month periods ended June 30, 2020 and 2019,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for the three and six-month periods ended June 30, 2020.</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7" w:name="page8"/>
    <w:bookmarkEnd w:id="7"/>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Redeemable</w:t>
            </w: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13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r>
      <w:tr>
        <w:trPr>
          <w:trHeight w:val="198"/>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13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controlling</w:t>
            </w: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March 31, 2019</w:t>
            </w:r>
          </w:p>
        </w:tc>
        <w:tc>
          <w:tcPr>
            <w:tcW w:w="500" w:type="dxa"/>
            <w:vAlign w:val="bottom"/>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762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(516)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4,765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Purchase of additional share in consolidated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subsidiaries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Reclassification adjustments for change in unrealized</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$0.31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Subsidiary dividends declared to non-controlling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June 30, 2019</w:t>
            </w:r>
          </w:p>
        </w:tc>
        <w:tc>
          <w:tcPr>
            <w:tcW w:w="500" w:type="dxa"/>
            <w:vAlign w:val="bottom"/>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6"/>
                <w:szCs w:val="16"/>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(544)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4,952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2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March 31, 2020</w:t>
            </w:r>
          </w:p>
        </w:tc>
        <w:tc>
          <w:tcPr>
            <w:tcW w:w="500" w:type="dxa"/>
            <w:vAlign w:val="bottom"/>
          </w:tcPr>
          <w:p>
            <w:pPr>
              <w:jc w:val="right"/>
              <w:spacing w:after="0"/>
              <w:rPr>
                <w:sz w:val="20"/>
                <w:szCs w:val="20"/>
                <w:color w:val="auto"/>
              </w:rPr>
            </w:pPr>
            <w:r>
              <w:rPr>
                <w:rFonts w:ascii="Arial" w:cs="Arial" w:eastAsia="Arial" w:hAnsi="Arial"/>
                <w:sz w:val="13"/>
                <w:szCs w:val="13"/>
                <w:color w:val="auto"/>
              </w:rPr>
              <w:t>292</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4,592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(692)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5,116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F&amp;G acquisition</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Change in reinsurance liabilities held at fair value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9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8"/>
              </w:rPr>
              <w:t>resulting from a change in instrument-specific credit</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risk</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gain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comprehensive gain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Reclassification adjustments for change in unrealized</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$0.33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Subsidiary dividends declared to non-controlling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June 30, 2020</w:t>
            </w:r>
          </w:p>
        </w:tc>
        <w:tc>
          <w:tcPr>
            <w:tcW w:w="500" w:type="dxa"/>
            <w:vAlign w:val="bottom"/>
          </w:tcPr>
          <w:p>
            <w:pPr>
              <w:jc w:val="right"/>
              <w:spacing w:after="0"/>
              <w:rPr>
                <w:sz w:val="20"/>
                <w:szCs w:val="20"/>
                <w:color w:val="auto"/>
              </w:rPr>
            </w:pPr>
            <w:r>
              <w:rPr>
                <w:rFonts w:ascii="Arial" w:cs="Arial" w:eastAsia="Arial" w:hAnsi="Arial"/>
                <w:sz w:val="13"/>
                <w:szCs w:val="13"/>
                <w:color w:val="auto"/>
              </w:rPr>
              <w:t>318</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5,431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1,417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6"/>
                <w:szCs w:val="16"/>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(919)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6,349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Redeemable</w:t>
            </w:r>
          </w:p>
        </w:tc>
      </w:tr>
      <w:tr>
        <w:trPr>
          <w:trHeight w:val="189"/>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13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r>
      <w:tr>
        <w:trPr>
          <w:trHeight w:val="198"/>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13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7"/>
                <w:szCs w:val="17"/>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controlling</w:t>
            </w: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500" w:type="dxa"/>
            <w:vAlign w:val="bottom"/>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(498)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4,628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Purchase of additional share in consolidated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subsidiaries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Reclassification adjustments for change in unrealized</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$0.62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Subsidiary dividends declared to non-controlling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June 30, 2019</w:t>
            </w:r>
          </w:p>
        </w:tc>
        <w:tc>
          <w:tcPr>
            <w:tcW w:w="500" w:type="dxa"/>
            <w:vAlign w:val="bottom"/>
          </w:tcPr>
          <w:p>
            <w:pPr>
              <w:jc w:val="right"/>
              <w:spacing w:after="0"/>
              <w:rPr>
                <w:sz w:val="20"/>
                <w:szCs w:val="20"/>
                <w:color w:val="auto"/>
              </w:rPr>
            </w:pPr>
            <w:r>
              <w:rPr>
                <w:rFonts w:ascii="Arial" w:cs="Arial" w:eastAsia="Arial" w:hAnsi="Arial"/>
                <w:sz w:val="13"/>
                <w:szCs w:val="13"/>
                <w:color w:val="auto"/>
              </w:rPr>
              <w:t>290</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6"/>
                <w:szCs w:val="16"/>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(544)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4,952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2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December 31, 2019</w:t>
            </w:r>
          </w:p>
        </w:tc>
        <w:tc>
          <w:tcPr>
            <w:tcW w:w="500" w:type="dxa"/>
            <w:vAlign w:val="bottom"/>
          </w:tcPr>
          <w:p>
            <w:pPr>
              <w:jc w:val="right"/>
              <w:spacing w:after="0"/>
              <w:rPr>
                <w:sz w:val="20"/>
                <w:szCs w:val="20"/>
                <w:color w:val="auto"/>
              </w:rPr>
            </w:pPr>
            <w:r>
              <w:rPr>
                <w:rFonts w:ascii="Arial" w:cs="Arial" w:eastAsia="Arial" w:hAnsi="Arial"/>
                <w:sz w:val="13"/>
                <w:szCs w:val="13"/>
                <w:color w:val="auto"/>
              </w:rPr>
              <w:t>292</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(598)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F&amp;G acquisition</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Change in reinsurance liabilities held at fair value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9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8"/>
              </w:rPr>
              <w:t>resulting from a change in instrument-specific credit</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risk</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 — unrealized gain 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6"/>
              </w:rPr>
              <w:t>Other comprehensive earnings — unrealized gain 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2"/>
              </w:rPr>
              <w:t>Other comprehensive loss — unrealized loss on foreign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translation</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$0.66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9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Subsidiary dividends declared to non-controlling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2980" w:type="dxa"/>
            <w:vAlign w:val="bottom"/>
            <w:gridSpan w:val="2"/>
          </w:tcPr>
          <w:p>
            <w:pPr>
              <w:ind w:left="20"/>
              <w:spacing w:after="0"/>
              <w:rPr>
                <w:sz w:val="20"/>
                <w:szCs w:val="20"/>
                <w:color w:val="auto"/>
              </w:rPr>
            </w:pPr>
            <w:r>
              <w:rPr>
                <w:rFonts w:ascii="Arial" w:cs="Arial" w:eastAsia="Arial" w:hAnsi="Arial"/>
                <w:sz w:val="13"/>
                <w:szCs w:val="13"/>
                <w:color w:val="auto"/>
              </w:rPr>
              <w:t>Balance, June 30, 2020</w:t>
            </w:r>
          </w:p>
        </w:tc>
        <w:tc>
          <w:tcPr>
            <w:tcW w:w="500" w:type="dxa"/>
            <w:vAlign w:val="bottom"/>
          </w:tcPr>
          <w:p>
            <w:pPr>
              <w:jc w:val="right"/>
              <w:spacing w:after="0"/>
              <w:rPr>
                <w:sz w:val="20"/>
                <w:szCs w:val="20"/>
                <w:color w:val="auto"/>
              </w:rPr>
            </w:pPr>
            <w:r>
              <w:rPr>
                <w:rFonts w:ascii="Arial" w:cs="Arial" w:eastAsia="Arial" w:hAnsi="Arial"/>
                <w:sz w:val="13"/>
                <w:szCs w:val="13"/>
                <w:color w:val="auto"/>
              </w:rPr>
              <w:t>318</w:t>
            </w:r>
          </w:p>
        </w:tc>
        <w:tc>
          <w:tcPr>
            <w:tcW w:w="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5,431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1,417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6"/>
                <w:szCs w:val="16"/>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7"/>
              </w:rPr>
              <w:t>$ (919)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6,349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344</w:t>
            </w:r>
          </w:p>
        </w:tc>
      </w:tr>
      <w:tr>
        <w:trPr>
          <w:trHeight w:val="21"/>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9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For the six months ended June</w:t>
            </w:r>
          </w:p>
        </w:tc>
      </w:tr>
      <w:tr>
        <w:trPr>
          <w:trHeight w:val="192"/>
        </w:trPr>
        <w:tc>
          <w:tcPr>
            <w:tcW w:w="9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30,</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6"/>
        </w:trPr>
        <w:tc>
          <w:tcPr>
            <w:tcW w:w="9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9"/>
              </w:rPr>
              <w:t>2019</w:t>
            </w:r>
          </w:p>
        </w:tc>
      </w:tr>
      <w:tr>
        <w:trPr>
          <w:trHeight w:val="190"/>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6"/>
                <w:szCs w:val="16"/>
                <w:color w:val="auto"/>
              </w:rPr>
            </w:pPr>
          </w:p>
        </w:tc>
      </w:tr>
      <w:tr>
        <w:trPr>
          <w:trHeight w:val="209"/>
        </w:trPr>
        <w:tc>
          <w:tcPr>
            <w:tcW w:w="93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476</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r>
      <w:tr>
        <w:trPr>
          <w:trHeight w:val="197"/>
        </w:trPr>
        <w:tc>
          <w:tcPr>
            <w:tcW w:w="930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sales of investments and other assets and asset impairments, net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r>
      <w:tr>
        <w:trPr>
          <w:trHeight w:val="197"/>
        </w:trPr>
        <w:tc>
          <w:tcPr>
            <w:tcW w:w="9300" w:type="dxa"/>
            <w:vAlign w:val="bottom"/>
          </w:tcPr>
          <w:p>
            <w:pPr>
              <w:ind w:left="460"/>
              <w:spacing w:after="0"/>
              <w:rPr>
                <w:sz w:val="20"/>
                <w:szCs w:val="20"/>
                <w:color w:val="auto"/>
              </w:rPr>
            </w:pPr>
            <w:r>
              <w:rPr>
                <w:rFonts w:ascii="Arial" w:cs="Arial" w:eastAsia="Arial" w:hAnsi="Arial"/>
                <w:sz w:val="14"/>
                <w:szCs w:val="14"/>
                <w:color w:val="auto"/>
              </w:rPr>
              <w:t>Interest credited/index credits to contractholder account balances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policy acquisition costs and deferred sales inducements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300" w:type="dxa"/>
            <w:vAlign w:val="bottom"/>
          </w:tcPr>
          <w:p>
            <w:pPr>
              <w:ind w:left="460"/>
              <w:spacing w:after="0"/>
              <w:rPr>
                <w:sz w:val="20"/>
                <w:szCs w:val="20"/>
                <w:color w:val="auto"/>
              </w:rPr>
            </w:pPr>
            <w:r>
              <w:rPr>
                <w:rFonts w:ascii="Arial" w:cs="Arial" w:eastAsia="Arial" w:hAnsi="Arial"/>
                <w:sz w:val="14"/>
                <w:szCs w:val="14"/>
                <w:color w:val="auto"/>
              </w:rPr>
              <w:t>Charges assessed to contractholders for mortality and admin</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costs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r>
      <w:tr>
        <w:trPr>
          <w:trHeight w:val="197"/>
        </w:trPr>
        <w:tc>
          <w:tcPr>
            <w:tcW w:w="9300" w:type="dxa"/>
            <w:vAlign w:val="bottom"/>
          </w:tcPr>
          <w:p>
            <w:pPr>
              <w:ind w:left="460"/>
              <w:spacing w:after="0"/>
              <w:rPr>
                <w:sz w:val="20"/>
                <w:szCs w:val="20"/>
                <w:color w:val="auto"/>
              </w:rPr>
            </w:pPr>
            <w:r>
              <w:rPr>
                <w:rFonts w:ascii="Arial" w:cs="Arial" w:eastAsia="Arial" w:hAnsi="Arial"/>
                <w:sz w:val="14"/>
                <w:szCs w:val="14"/>
                <w:color w:val="auto"/>
              </w:rPr>
              <w:t>Operating lease payments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r>
      <w:tr>
        <w:trPr>
          <w:trHeight w:val="197"/>
        </w:trPr>
        <w:tc>
          <w:tcPr>
            <w:tcW w:w="930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208"/>
        </w:trPr>
        <w:tc>
          <w:tcPr>
            <w:tcW w:w="9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equity and preferred securities, net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8"/>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collateral returned (posted)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300" w:type="dxa"/>
            <w:vAlign w:val="bottom"/>
          </w:tcPr>
          <w:p>
            <w:pPr>
              <w:ind w:left="500"/>
              <w:spacing w:after="0"/>
              <w:rPr>
                <w:sz w:val="20"/>
                <w:szCs w:val="20"/>
                <w:color w:val="auto"/>
              </w:rPr>
            </w:pPr>
            <w:r>
              <w:rPr>
                <w:rFonts w:ascii="Arial" w:cs="Arial" w:eastAsia="Arial" w:hAnsi="Arial"/>
                <w:sz w:val="14"/>
                <w:szCs w:val="14"/>
                <w:color w:val="auto"/>
              </w:rPr>
              <w:t>Change in reinsurance recoverable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future policy benefits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300" w:type="dxa"/>
            <w:vAlign w:val="bottom"/>
          </w:tcPr>
          <w:p>
            <w:pPr>
              <w:ind w:left="500"/>
              <w:spacing w:after="0"/>
              <w:rPr>
                <w:sz w:val="20"/>
                <w:szCs w:val="20"/>
                <w:color w:val="auto"/>
              </w:rPr>
            </w:pPr>
            <w:r>
              <w:rPr>
                <w:rFonts w:ascii="Arial" w:cs="Arial" w:eastAsia="Arial" w:hAnsi="Arial"/>
                <w:sz w:val="14"/>
                <w:szCs w:val="14"/>
                <w:color w:val="auto"/>
              </w:rPr>
              <w:t>Change in funds withheld from reinsurers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trade receivables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196"/>
        </w:trPr>
        <w:tc>
          <w:tcPr>
            <w:tcW w:w="9300" w:type="dxa"/>
            <w:vAlign w:val="bottom"/>
          </w:tcPr>
          <w:p>
            <w:pPr>
              <w:ind w:left="500"/>
              <w:spacing w:after="0"/>
              <w:rPr>
                <w:sz w:val="20"/>
                <w:szCs w:val="20"/>
                <w:color w:val="auto"/>
              </w:rPr>
            </w:pPr>
            <w:r>
              <w:rPr>
                <w:rFonts w:ascii="Arial" w:cs="Arial" w:eastAsia="Arial" w:hAnsi="Arial"/>
                <w:sz w:val="14"/>
                <w:szCs w:val="14"/>
                <w:color w:val="auto"/>
              </w:rPr>
              <w:t>Net (increase) in prepaid expenses and other assets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(48)</w:t>
            </w:r>
          </w:p>
        </w:tc>
      </w:tr>
      <w:tr>
        <w:trPr>
          <w:trHeight w:val="208"/>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196"/>
        </w:trPr>
        <w:tc>
          <w:tcPr>
            <w:tcW w:w="9300" w:type="dxa"/>
            <w:vAlign w:val="bottom"/>
          </w:tcPr>
          <w:p>
            <w:pPr>
              <w:ind w:left="500"/>
              <w:spacing w:after="0"/>
              <w:rPr>
                <w:sz w:val="20"/>
                <w:szCs w:val="20"/>
                <w:color w:val="auto"/>
              </w:rPr>
            </w:pPr>
            <w:r>
              <w:rPr>
                <w:rFonts w:ascii="Arial" w:cs="Arial" w:eastAsia="Arial" w:hAnsi="Arial"/>
                <w:sz w:val="14"/>
                <w:szCs w:val="14"/>
                <w:color w:val="auto"/>
              </w:rPr>
              <w:t>Net increase (decrease) in reserve for title claim losses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03"/>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r>
      <w:tr>
        <w:trPr>
          <w:trHeight w:val="19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372</w:t>
            </w:r>
          </w:p>
        </w:tc>
      </w:tr>
      <w:tr>
        <w:trPr>
          <w:trHeight w:val="202"/>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Proceeds from sales of investment securities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405</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calls and maturities of investment securities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Fundings of Cannae Holdings Inc. note receivable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Proceeds from repayments of Cannae Holdings Inc. note receivable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Purchases of investment securities</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(518)</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sales and maturities of short-term investment securities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F&amp;G acquisition</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197"/>
        </w:trPr>
        <w:tc>
          <w:tcPr>
            <w:tcW w:w="9300" w:type="dxa"/>
            <w:vAlign w:val="bottom"/>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203"/>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other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196"/>
        </w:trPr>
        <w:tc>
          <w:tcPr>
            <w:tcW w:w="930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0" w:name="page11"/>
    <w:bookmarkEnd w:id="10"/>
    <w:p>
      <w:pPr>
        <w:jc w:val="center"/>
        <w:spacing w:after="0" w:line="358"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CASH FLOWS (CONTINUED) </w:t>
      </w:r>
      <w:r>
        <w:rPr>
          <w:rFonts w:ascii="Arial" w:cs="Arial" w:eastAsia="Arial" w:hAnsi="Arial"/>
          <w:sz w:val="18"/>
          <w:szCs w:val="18"/>
          <w:color w:val="auto"/>
        </w:rPr>
        <w:t>(In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Debt offering</w:t>
            </w:r>
          </w:p>
        </w:tc>
        <w:tc>
          <w:tcPr>
            <w:tcW w:w="3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costs/equity issuance additions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90</w:t>
            </w: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additional share in consolidated subsidiaries</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09"/>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Contractholder account deposits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9300" w:type="dxa"/>
            <w:vAlign w:val="bottom"/>
          </w:tcPr>
          <w:p>
            <w:pPr>
              <w:ind w:left="220"/>
              <w:spacing w:after="0"/>
              <w:rPr>
                <w:sz w:val="20"/>
                <w:szCs w:val="20"/>
                <w:color w:val="auto"/>
              </w:rPr>
            </w:pPr>
            <w:r>
              <w:rPr>
                <w:rFonts w:ascii="Arial" w:cs="Arial" w:eastAsia="Arial" w:hAnsi="Arial"/>
                <w:sz w:val="14"/>
                <w:szCs w:val="14"/>
                <w:color w:val="auto"/>
              </w:rPr>
              <w:t>Contractholder account withdrawals</w:t>
            </w:r>
          </w:p>
        </w:tc>
        <w:tc>
          <w:tcPr>
            <w:tcW w:w="3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treasury stock</w:t>
            </w: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r>
        <w:trPr>
          <w:trHeight w:val="19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r>
      <w:tr>
        <w:trPr>
          <w:trHeight w:val="202"/>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w:t>
            </w:r>
          </w:p>
        </w:tc>
      </w:tr>
      <w:tr>
        <w:trPr>
          <w:trHeight w:val="19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1,257</w:t>
            </w:r>
          </w:p>
        </w:tc>
      </w:tr>
      <w:tr>
        <w:trPr>
          <w:trHeight w:val="227"/>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left="30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 annuities ("FIA"), fixed rate annuities, and immediate annuities and indexed universal life ("IUL") insurance through our wholly-owned subsidiary, FGL Holdings ("F&amp;G").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K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F&amp;G</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1, 2020, we completed our previously announced acquisition of F&amp;G for approximately $2.7 billion pursuant to the Agreement and Plan of Merger, dated February 7, 2020, as amended (the "Merger Agreement").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our acquisition of F&amp;G refer to Note B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acquisition of F&amp;G, on April 22, 2020, we entered into a term loan credit agreement that provides for an aggregate principal borrowing of $1.0 billion (the "Term Loan Agreement") with Bank of America, N.A, as administrative agent (in such capacity, the "Administrative Agent"), JPMorgan Chase Bank, N.A., as syndication agent, and the other lenders party thereto from time to time (the “Term Lenders”), pursuant to which the Term Lenders provided a $1.0 billion delayed draw term loan facility (the “Term Loan”). On June 1, 2020, we drew down the full $1.0 billion in aggregate borrowing under the Term Loan to fund a portion of the acquisition of F&amp;G.</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3.40% Senior Notes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12, 2020, we completed our underwritten public offering of $650 million aggregate principal amount of our 3.40% Notes due June 15, 2030 (the “3.40% Notes”). The net proceeds from the registered offering of the 3.40% Notes were approximately $642 million, after deducting underwriting discounts and commissions and offering expenses. We used the net proceeds from the offering to repay $640 million of the outstanding principal amount under the Term Loan Agreement.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further information related to the Term Loan and the 3.40% Notes refer to Note G </w:t>
      </w:r>
      <w:r>
        <w:rPr>
          <w:rFonts w:ascii="Arial" w:cs="Arial" w:eastAsia="Arial" w:hAnsi="Arial"/>
          <w:sz w:val="18"/>
          <w:szCs w:val="18"/>
          <w:i w:val="1"/>
          <w:iCs w:val="1"/>
          <w:color w:val="auto"/>
        </w:rPr>
        <w:t>Notes Payable.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of redeemable non-controlling interest of ServiceLink</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we purchased for $90 million the outstanding Class A units of ServiceLink held by minority owners. As of the purchase date ServiceLink is a wholly owned subsidiary of FNF.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Income tax expense was $89 million and $86 million in the three-month periods ended June 30, 2020 and 2019, respectively and $61 million and $151 million in the six-month periods ended June 30, 2020 and 2019, respectively. Income tax expense as a percentage of earnings before income taxes was 22% and 24% in the three-month periods ended June 30, 2020 and 2019, respectively and 19% and 24% in the six-month periods ended June 30, 2020 and 2019, respectively. The decline in income tax expense as a percentage of earnings before taxes in the 2020 periods from the comparable periods in 2019 is primarily attributable to the inclusion of our F&amp;G business, which incurs minimal state taxes, and stock compensation related tax benefits recognized, partially offset by non-deductible acquisition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Options or other instruments which provide the ability to purchase shares of our common stock that are antidilutive are excluded from the computation of diluted earnings per share. There were 1 million antidilutive securities outstanding during the three and six-month periods ended June 30, 2020, respectively. There were no antidilutive instruments outstanding during the three or six-month periods ended June 30,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2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 xml:space="preserve">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 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 Recoveries of amounts previously written off relating to improvements in cash flows after January 1, 2020 will be recorded in earnings when received. See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discussion of the adoption as it relates to our fixed maturity securities available for sale.</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We have adopted this standard as of January 1, 2020 and are applying this guidance on a prospective basis. The overall effect of Topic 350 had no impact to the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effective for fiscal years beginning after December 15, 2019 including interim periods within those fiscal years. The new guidance introduces the following requirements: for investments in certain entities that calculate net asset value, investors are required to disclose the timing of liquidation of an investee's assets and the date when restrictions from redemption might lapse if the investee has communicated timing to the entity or announced timing publicly; entities should use the measurement uncertainty disclosure to communicate information about the uncertainty in measurement as of the reporting date; entities must disclose changes in unrealized gains and losses included in other comprehensive income for recurring Level 3 fair value measurements, as well as the range and weighted average of significant unobservable inputs used to develop Level 3 fair value measurements, or other quantitative information in lieu of weighted average if the entity determines such information would be more reasonable and rational; and entities are no longer required to disclose the amounts and reasons for transfers between Level 1 and Level 2 of the fair value hierarchy, the policy for timing of transfers between levels, and the valuation processes for Level 3 fair value measurements. We adopted this standard on June 1, 2020 as a result of our acquisition of F&amp;G, and the overall effect of Topic 820 on our unaudited Condensed Consolidated Financial Statements was not material upon adoption.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the FASB issued ASU 2018-17, Consolidation (Topic 810), Targeted Improvements to Related Party Guidance for Variable Interest Entities, effective for fiscal years beginning after December 15, 2019 including interim periods within those fiscal years. Under this update, entities must consider indirect interests held through related parties under common control on a proportional basis to determine whether a decision-making fee is a variable interest. We adopted this standard on June 1, 2020 as a result of our acquisition of F&amp;G, and it did not have an impact on our unaudited Condensed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2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do not expect this guidance to have a material impact on our Consolidated Financial Statements and related disclosures upon adoption.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2018, the FASB issued ASU 2018-12, Financial Services-Insurance (Topic 944), Targeted Improvements to the Accounting for Long-Duration Contracts, effective for fiscal years beginning after December 15, 2021 including interim periods within those fiscal years. In June of 2020, the FASB voted to propose a one-year deferral of the effective date of ASU 2018-12 in response to implementation challenges resulting from COVID-19.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 proportion to premiums, gross profits, or gross margins and those balances must be amortized on a constant level basis over the expected term of the related contracts; deferred acquisition costs must be written off for unexpected contract terminations; an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Summary of additional significant accounting policies</w:t>
      </w:r>
    </w:p>
    <w:p>
      <w:pPr>
        <w:spacing w:after="0" w:line="90" w:lineRule="exact"/>
        <w:rPr>
          <w:sz w:val="20"/>
          <w:szCs w:val="20"/>
          <w:color w:val="auto"/>
        </w:rPr>
      </w:pPr>
    </w:p>
    <w:p>
      <w:pPr>
        <w:ind w:right="700"/>
        <w:spacing w:after="0" w:line="334" w:lineRule="auto"/>
        <w:rPr>
          <w:sz w:val="20"/>
          <w:szCs w:val="20"/>
          <w:color w:val="auto"/>
        </w:rPr>
      </w:pPr>
      <w:r>
        <w:rPr>
          <w:rFonts w:ascii="Arial" w:cs="Arial" w:eastAsia="Arial" w:hAnsi="Arial"/>
          <w:sz w:val="16"/>
          <w:szCs w:val="16"/>
          <w:color w:val="auto"/>
        </w:rPr>
        <w:t>Since our Annual Report on Form 10-K for the year ended December 31, 2019, as a result of our acquisition of F&amp;G we have added the following significant accounting policies, which have been followed in preparing the accompanying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 VIEs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involved in certain entities that are considered variable interest entities ("VIEs") as defined under U.S. GAAP. Our involvement with VIEs is primarily to invest in assets that allow us to gain exposure to a broadly diversified portfolio of asset classes. A VIE is an entity that does not have sufficient equity to finance its own activities without additional financial support or where investors lack certain characteristics of a controlling financial interest. We assess our relationships to determine if we have the ability to direct the activities, or otherwise exert control, to evaluate if we are the primary beneficiary of the VIE. If we determine we are the primary beneficiary of a VIE, we consolidate the assets and liabilities of the VIE in our unaudited consolidated financial statements. See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additional information on our investments in VIEs.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Life Insurance and Annuity Premiums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insurance premiums for traditional life insurance products are recognized as revenue when due from the contractholder, net of premiums ceded under reinsurance, and are included within Escrow, title-related, and other fees in the Condensed Consolidated Statements of Earnings. Our traditional life insurance products include those products with fixed and guaranteed premiums and benefits and consist primarily of term life insurance and certain annuities with life contingencies.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 collections for FIA and fixed rate annuities, IUL policies and immediate annuities without life contingency are reported as an increase to deposit liabilities (i.e., contractholder funds) instead of as revenues. Similarly, cash payments to policyholders are reported as decreases in the liability for contractholder funds and not as expenses. Sources of revenues for products accounted for as deposit liabilities are net investment income, surrender and other charges deducted from contractholder funds, and net realized gains (losses) on investments. Surrender charges are earned when a policyholder withdraws funds from the contract early or cancels the contract.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Interest and investment income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Dividends and interest income are recorded in Interest and investment income and recognized when earned. Income or losses upon call or prepayment of available-for-sale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mortgage-backed and asset-backed securities, included in the fixed maturity available-for-sale (“AFS”) securities portfolios, we recognize income using a constant effective yield based on anticipated cash flows and the estimated economic life of the securities. When actual prepayments differ significantly from originally anticipated prepayments, the effective yield is generally recalculated prospectively to reflect actual payments to date plus anticipated future payments. Any adjustments resulting from changes in effective yield are reflected in Interest and investment income.</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details on interest and investment income recognition on investments in unconsolidated affiliates and mortgage loans, refer to the respective subsections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and investment income is presented net of earned investment management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Investment Product Fees and Other</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fee revenue from indexed universal life ("IUL") products and annuities is comprised of policy and contract fees charged for the cost of insurance, policy administration and rider fees. Fees are assessed on a monthly basis and recognized as revenue when earned. Product fee revenue also includes surrender charges which are collected and recognized as revenue when the policy is surrendered. Some of the product fee revenue is not level by policy year. The unearned portion of the revenues are deferred and brought into income relative to the gross profits of the business. Insurance and investment product fees and other are included within Escrow, title-related, and other fees in the Condensed Consolidated Statements of Earnings, and unearned revenue liability is included within Accounts payable and accrued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Benefits and Other Changes in Policy Reserves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Benefit expenses for FIA, fixed rate annuities and IUL policies include index credits and interest credited to contractholder account balances and benefit claims in excess of contract account balances, net of reinsurance recoveries, are charged to expense in the period that they are earned by the policyholder based on their selected strategy. Interest crediting rates associated with funds invested in the general account of our insurance subsidiaries range from 0.5% to 6.0% for deferred annuities and FIAs combined, and 3.0% to 4.8% for IULs. Other changes in policy reserves include the change in the fair value of the FIA embedded derivative and the change in the reserve for secondary guarantee benefit payments.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changes in policy reserves also include the change in reserves for life insurance products. For traditional life and immediate annuities, policy benefit claims are charged to expense in the period that the claims are incurred, net of reinsurance recoveries.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investments in fixed maturity securities have been designated as AFS and are carried at fair value with unrealized gains and losses included in Accumulated other comprehensive income (“AOCI”), net of associated intangible asset and unearned revenue ("UREV") “shadow adjustments” (discussed in Note M </w:t>
      </w:r>
      <w:r>
        <w:rPr>
          <w:rFonts w:ascii="Arial" w:cs="Arial" w:eastAsia="Arial" w:hAnsi="Arial"/>
          <w:sz w:val="18"/>
          <w:szCs w:val="18"/>
          <w:i w:val="1"/>
          <w:iCs w:val="1"/>
          <w:color w:val="auto"/>
        </w:rPr>
        <w:t>Intangibles</w:t>
      </w:r>
      <w:r>
        <w:rPr>
          <w:rFonts w:ascii="Arial" w:cs="Arial" w:eastAsia="Arial" w:hAnsi="Arial"/>
          <w:sz w:val="18"/>
          <w:szCs w:val="18"/>
          <w:color w:val="auto"/>
        </w:rPr>
        <w:t>), SOP 03-1 reserves and deferred income taxes. Our investments in equity securities and preferred securities are carried at fair value with unrealized gains and losses included in Realized gains and losses, net.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investment in mortgage loans consists of commercial and residential mortgage loans on real estate, which are reported at amortized cost, less allowance for losses. For details on our policy around allowance for expected credit loss on mortgage loans, refer to Note E </w:t>
      </w:r>
      <w:r>
        <w:rPr>
          <w:rFonts w:ascii="Arial" w:cs="Arial" w:eastAsia="Arial" w:hAnsi="Arial"/>
          <w:sz w:val="17"/>
          <w:szCs w:val="17"/>
          <w:i w:val="1"/>
          <w:iCs w:val="1"/>
          <w:color w:val="auto"/>
        </w:rPr>
        <w:t>Investments</w:t>
      </w:r>
      <w:r>
        <w:rPr>
          <w:rFonts w:ascii="Arial" w:cs="Arial" w:eastAsia="Arial" w:hAnsi="Arial"/>
          <w:sz w:val="17"/>
          <w:szCs w:val="17"/>
          <w:color w:val="auto"/>
        </w:rPr>
        <w:t>.</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mortgage loans are continuously monitored by reviewing appraisals, operating statements, rent revenues, annual inspection reports, loan specific credit quality, property characteristics, market trends and other factors.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mortgage loans are rated for the purpose of quantifying the level of risk. Loans are placed on a watch list when the debt service coverage ("DSC") ratio falls below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and/or in nonaccrual status which is assessed monthly. Generally, nonperforming residential mortgage loans have a higher risk of experiencing a credit loss.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hedge certain portions of our exposure to product related equity market risk by entering into derivative transactions (primarily call options). All such derivative instruments are recognized as either assets or liabilities in the accompanying Condensed Consolidated Balance Sheets at fair value. The changes in fair value are reported within Realized gains and losses, net in the accompanying Condensed Consolidated Statements of Earnings.</w:t>
      </w:r>
    </w:p>
    <w:p>
      <w:pPr>
        <w:spacing w:after="0" w:line="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embedded derivative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are reported within Benefits and other changes in policy reserves in the accompanying Condensed Consolidated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Statements of Earnings. See a description of the fair value methodology used in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unconsolidated affiliates using the equity method and use net asset value ("NAV") as a practical expedient to determine the carrying value. Income from investments in unconsolidated affiliates is included within Interest and investment income in the accompanying Condensed Consolidated Statements of Earnings. Recognition of income is delayed due to the availability of the related financial statements, which are obtained from the affiliate’s general partner generally on a one to three-month delay. Management meets quarterly with the general partner to determine whether any credit or other market events have occurred since prior quarter financial statements to ensure any material events are properly included in current quarter valuation and investment income. In addition, the impact of audit adjustments related to completion of calendar-year financial statement audits of the unconsolidated affiliates are typically received during the second quarter of each calendar year. Accordingly, our investment income from our investments in unconsolidated affiliates for any calendar-year period may not include the complete impact of the change in the underlying net assets for the unconsolidated affiliate for that calendar-year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an intangible asset reflecting the value of insurance and reinsurance contracts acquired (hereafter referred to as the value of business acquired (“VOBA”), the value of distribution network acquired ("VODA"), deferred acquisition costs (“DAC”), deferred sales inducements (“DSI”), internally developed software, trademarks and state licenses.</w:t>
      </w:r>
    </w:p>
    <w:p>
      <w:pPr>
        <w:spacing w:after="0" w:line="4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VOBA is an intangible asset that reflects the amount recorded as insurance contract liabilities less the estimated fair value of in-force contracts in a life insurance company acquisition. It represents the portion of the purchase price allocated to the value of the rights to receive future cash flows from the business in force at the acquisition date. VODA is an intangible asset that represents the value of an existing distribution network. DAC consists principally of commissions that are related directly to the successful sale of new or renewal insurance contracts, which may be deferred to the extent recoverable. Indirect or unsuccessful acquisition costs, maintenance, product development and overhead expenses are charged to expense as incurred. DSI represents up front bonus credits and vesting bonuses to policyholder account values which may be deferred to the extent recoverable.</w:t>
      </w:r>
    </w:p>
    <w:p>
      <w:pPr>
        <w:spacing w:after="0" w:line="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methodology for determining the amortization of DAC, DSI and VOBA varies by product type. For all insurance contracts accounted for under long-duration contract deposit accounting, amortization is based on assumptions consistent with those used in the development of the underlying contract liabilities adjusted for emerging experience and expected trends. Internally developed software and trade name intangible assets are amortized on a straight-line basis over their deemed useful lives while VODA is amortized using the sum of years digits method. For all of the insurance intangibles (DAC, DSI and VOBA), the balances are generally amortized over the lives of the policies in relation to the expected emergence of estimated gross profits (“EGPs”) from investment income, surrender charges and other product fees, less policy benefits, maintenance expenses, mortality net of reinsurance ceded, and expense margins. Recognized gains (losses) on investments and changes in fair value of the funds withheld coinsurance embedded derivative are included in actual gross profits in the period realized as described further below. Amortization is reported within Depreciation and amortization in the accompanying Condensed Consolidated Statements of Earnings.</w:t>
      </w:r>
    </w:p>
    <w:p>
      <w:pPr>
        <w:spacing w:after="0" w:line="4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Changes in assumptions, including our earned rate (i.e., long term assumptions of the Company’s expected earnings on related investments), budgeted option costs (i.e., the expected cost to purchase call options in future periods to fund the equity indexed linked feature) and surrender rates can have a significant impact on VOBA, DAC and DSI balances and amortization rates. Due to the relative size and sensitivity to minor changes in underlying assumptions of those intangible balances, we perform quarterly and annual analysis of the VOBA, DAC and DSI balances for recoverability to ensure that the unamortized portion does not exceed the expected recoverable amounts. At each evaluation date, actual historical gross profits are reflected with the impact on the intangibles reported as “unlocking” as a component of amortization expense, and estimated future gross profits and related assumptions are evaluated for continued reasonableness. Any adjustment in estimated future gross profits requires that the amortization rate be revised (“unlocking”) retroactively to the date of the policy or contract issuance. The cumulative unlocking adjustment is recognized as a component of current period amortization.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jc w:val="both"/>
        <w:ind w:firstLine="432"/>
        <w:spacing w:after="0" w:line="263" w:lineRule="auto"/>
        <w:rPr>
          <w:sz w:val="20"/>
          <w:szCs w:val="20"/>
          <w:color w:val="auto"/>
        </w:rPr>
      </w:pPr>
      <w:r>
        <w:rPr>
          <w:rFonts w:ascii="Arial" w:cs="Arial" w:eastAsia="Arial" w:hAnsi="Arial"/>
          <w:sz w:val="18"/>
          <w:szCs w:val="18"/>
          <w:color w:val="auto"/>
        </w:rPr>
        <w:t>Amortization expense of VOBA, DAC and DSI reflects an assumption for an expected level of credit-related investment losses. When actual credit-related investment losses are realized, we perform a retrospective unlocking of amortization for those intangibles as actual margins vary from expected margins. This unlocking is reflected in the accompanying Condensed Consolidated Statements of Earnings.</w:t>
      </w:r>
    </w:p>
    <w:p>
      <w:pPr>
        <w:spacing w:after="0" w:line="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investment-type products, the VOBA, DAC and DSI assets are adjusted for the impact of unrealized gains (losses) on AFS investments as if these gains (losses) had been realized, with corresponding credits or charges included in AOCI ("shadow adjustments").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Reinsurance</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Our insurance subsidiaries enter into reinsurance agreements with other companies in the normal course of business. Reinsurance agreements are reported on a gross basis in our Consolidated Balance Sheets as an asset for amounts recoverable from reinsurers or as a component of other liabilities for amounts, such as premiums, owed to the reinsurers. Premiums and benefits are reported net of insurance ceded. The effects of certain reinsurance agreements are not accounted for as reinsurance as they do not satisfy the risk transfer requirements for GAAP. The assets and liabilities of certain reinsurance contracts are presented on a net basis in the accompanying Condensed Consolidated Balance Sheets and Condensed Consolidated Statements of Operations, respectively, when there is a right of offset explicit in the reinsurance agreement and deposit accounting is being applied. See Note P </w:t>
      </w:r>
      <w:r>
        <w:rPr>
          <w:rFonts w:ascii="Arial" w:cs="Arial" w:eastAsia="Arial" w:hAnsi="Arial"/>
          <w:sz w:val="18"/>
          <w:szCs w:val="18"/>
          <w:i w:val="1"/>
          <w:iCs w:val="1"/>
          <w:color w:val="auto"/>
        </w:rPr>
        <w:t xml:space="preserve">Reinsurance </w:t>
      </w:r>
      <w:r>
        <w:rPr>
          <w:rFonts w:ascii="Arial" w:cs="Arial" w:eastAsia="Arial" w:hAnsi="Arial"/>
          <w:sz w:val="18"/>
          <w:szCs w:val="18"/>
          <w:color w:val="auto"/>
        </w:rPr>
        <w:t>for details.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Contractholder Funds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liabilities for contractholder funds for deferred annuities and IUL policies consist of contract account balances that accrue to the benefit of the contractholders. The liabilities for FIA policies consist of the value of the host contract plus the fair value of the embedded derivative. The embedded derivative is carried at fair value in Contractholder funds in the accompanying Condensed Consolidated Balance Sheets with changes in fair value reported in Benefits and other changes in policy reserves in the accompanying Condensed Consolidated Statements of Earnings, and changes in fair value resulting from unrealized gain/loss reported within Accumulated other comprehensive earnings in the accompanying Condensed Consolidated Balance Sheets. See a description of the fair value methodology used in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Liabilities for immediate annuities with life contingencies are recorded at the present value of future benefits.</w:t>
      </w:r>
    </w:p>
    <w:p>
      <w:pPr>
        <w:spacing w:after="0" w:line="6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Liabilities for the secondary guarantees on UL-type products or Investment-type contracts are calculated by multiplying the benefit ratio by the cumulative assessments recorded from contract inception through the balance sheet date less the cumulative secondary guarantee benefit payments plus interest. The benefit ratio is the ratio of the present value of future secondary guarantees to the present value of the assessments used to provide the secondary guarantees using the same assumptions as we use for our intangible assets. If experience or assumption changes result in a new benefit ratio, the reserves are adjusted to reflect the changes in a manner similar to the unlocking of DAC, DSI and VOBA. The accounting for secondary guarantee benefits impact EGPs used to calculate amortization of DAC, DSI and VOBA.</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SOP 03-1 reserve is adjusted for the impact of unrealized gains (losses) on AFS investments as if these gains (losses) had been realized, with corresponding credits or charges included in AOCI.</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Future Policy Benefits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liabilities for future policy benefits and claim reserves for traditional life policies and life contingent pay-out annuity policies are computed using assumptions for investment yields, mortality and withdrawals based on generally accepted actuarial methods and assumptions at the time of contract issue. Investment yield assumption for traditional direct life reserves for all contracts is 6.0%. The investment yield assumption for life contingent pay-out annuities is 2.5%. Policies are terminated through surrenders and maturities, where surrenders represent the voluntary terminations of policies by policyholders and maturities are determined by policy contract terms. Surrender assumptions are based upon cedant experience adjusted for expected future conditions.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Federal Home Loan Bank of Atlanta Agreements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Contractholder funds include funds related to funding agreements that have been issued by the Company to the Federal Home Loan Bank of Atlanta (“FHLB”) as a funding medium for single premium funding agreements. The funding agreements (i.e., immediate annuity contracts without life contingencies) provide a guaranteed stream of payments or provide for a bullet payment with renewal provisions. Single premiums were received at the initiation of the funding agreements and were in the form of advances from the FHLB. Payments under the funding agreements extend through 2022. The reserves for the funding agreements are included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Contractholder funds in the accompanying Condensed Consolidated Balance Sheets. In accordance with the agreements, the investments supporting the funding agreement liabilities are pledged as collateral to secure the FHLB funding agreement liabilities and are not available to settle our general obligations.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04" w:lineRule="exact"/>
        <w:rPr>
          <w:sz w:val="20"/>
          <w:szCs w:val="20"/>
          <w:color w:val="auto"/>
        </w:rPr>
      </w:pPr>
    </w:p>
    <w:p>
      <w:pPr>
        <w:ind w:right="160" w:firstLine="324"/>
        <w:spacing w:after="0" w:line="237" w:lineRule="auto"/>
        <w:rPr>
          <w:sz w:val="20"/>
          <w:szCs w:val="20"/>
          <w:color w:val="auto"/>
        </w:rPr>
      </w:pPr>
      <w:r>
        <w:rPr>
          <w:rFonts w:ascii="Arial" w:cs="Arial" w:eastAsia="Arial" w:hAnsi="Arial"/>
          <w:sz w:val="17"/>
          <w:szCs w:val="17"/>
          <w:color w:val="auto"/>
        </w:rPr>
        <w:t xml:space="preserve">On June 1, 2020, we acquired 100% of the outstanding equity of F&amp;G for approximately $2.7 billion. In connection with the Merger, we issued approximately 24 million shares of FNF common stock and paid approximately $1.8 billion in cash to former holders of F&amp;G ordinary and preferred shares. Additionally, we accrued $132 million as a liability to the Kingstown Dissenters, who are former owners of F&amp;G common stock. For more information related to the Dissenting Shareholders, refer to Note H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At closing, all outstanding shares of F&amp;G common stock, excluding shares associated with the liability to former owners, were converted into the right to receive the Merger Consideration (as defined in the Merger Agreement). Additionally, each outstanding F&amp;G Option and F&amp;G Phantom unit was cancelled and converted into options to purchase FNF common stock and phantom units denominated in FNF common stock, and each outstanding warrant to purchase F&amp;G common stock was converted into the right to purchase and receive upon exercise $8.18 in cash and .0833 shares of FNF common stock. At closing, our subsidiaries' ownership of F&amp;G common and preferred shares was converted into approximately 7 million shares of FNF common stock, which are reflected as treasury shares in the Condensed Consolidated Financial Statements as of June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340"/>
              <w:spacing w:after="0"/>
              <w:rPr>
                <w:sz w:val="20"/>
                <w:szCs w:val="20"/>
                <w:color w:val="auto"/>
              </w:rPr>
            </w:pPr>
            <w:r>
              <w:rPr>
                <w:rFonts w:ascii="Arial" w:cs="Arial" w:eastAsia="Arial" w:hAnsi="Arial"/>
                <w:sz w:val="18"/>
                <w:szCs w:val="18"/>
                <w:color w:val="auto"/>
              </w:rPr>
              <w:t>The initial purchase price is as follows (in millions):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outstanding F&amp;G shares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1,803</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827</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F&amp;G</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Value of FNF share consideration</w:t>
            </w: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772</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of outstanding converted equity awards attributed to services already rendered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Liability accrued to former owners of F&amp;G common shares</w:t>
            </w:r>
          </w:p>
        </w:tc>
        <w:tc>
          <w:tcPr>
            <w:tcW w:w="4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132</w:t>
            </w:r>
          </w:p>
        </w:tc>
      </w:tr>
      <w:tr>
        <w:trPr>
          <w:trHeight w:val="27"/>
        </w:trPr>
        <w:tc>
          <w:tcPr>
            <w:tcW w:w="9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1,908</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acquisition was accounted for as a business combination under FASB Accounting Standards Codification Topic 805, Business Combinations ("Topic 805").The purchase price has been allocated to F&amp;G's assets acquired and liabilities assumed based on our best estimates of their fair values as of the acquisition date. Due to the close proximity in timing of the F&amp;G acquisition and our filing of this Quarterly Report on Form 10-Q, the fair value of assets acquired and liabilities assumed represent a preliminary allocation as our evaluation of facts and circumstances available as of June 1, 2020 is ongoing. Goodwill has been recorded based on the amount that the purchase price exceeds 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Topic 805, the financial statements will not be retrospectively adjusted for any provisional amount changes that occur in subsequent periods. Rather, we will recognize any provisional adjustments as we obtain information not available as of the completion of this preliminary fair value calculation as determined within the measurement period. We will also be required to record, in the same period as the financial statements, the effect on earnings of changes in depreciation, amortization, or other income effects, if any, as a result of any change to the provisional amounts, calculated as if the accounting had been completed at the acquisition date. We expect to finalize the purchase price allocation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ind w:right="20" w:firstLine="324"/>
        <w:spacing w:after="0" w:line="277" w:lineRule="auto"/>
        <w:rPr>
          <w:sz w:val="20"/>
          <w:szCs w:val="20"/>
          <w:color w:val="auto"/>
        </w:rPr>
      </w:pPr>
      <w:r>
        <w:rPr>
          <w:rFonts w:ascii="Arial" w:cs="Arial" w:eastAsia="Arial" w:hAnsi="Arial"/>
          <w:sz w:val="18"/>
          <w:szCs w:val="18"/>
          <w:color w:val="auto"/>
        </w:rPr>
        <w:t>The following table summarizes the preliminary fair value amounts recognized for the assets acquired and liabilities assumed as of the acquisition date (dollars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0"/>
        </w:trPr>
        <w:tc>
          <w:tcPr>
            <w:tcW w:w="99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22,389</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52</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1,754</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Other long-term investments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430</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Trade and notes receivable</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3,241</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1,725</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Assets of discontinued operations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2,392</w:t>
            </w:r>
          </w:p>
        </w:tc>
      </w:tr>
      <w:tr>
        <w:trPr>
          <w:trHeight w:val="27"/>
        </w:trPr>
        <w:tc>
          <w:tcPr>
            <w:tcW w:w="9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36,728</w:t>
            </w:r>
          </w:p>
        </w:tc>
      </w:tr>
      <w:tr>
        <w:trPr>
          <w:trHeight w:val="270"/>
        </w:trPr>
        <w:tc>
          <w:tcPr>
            <w:tcW w:w="9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Contractholder funds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26,454</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Future policy benefits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4,106</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858</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589</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withheld for reinsurance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9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2,268</w:t>
            </w:r>
          </w:p>
        </w:tc>
      </w:tr>
      <w:tr>
        <w:trPr>
          <w:trHeight w:val="237"/>
        </w:trPr>
        <w:tc>
          <w:tcPr>
            <w:tcW w:w="998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34,820</w:t>
            </w:r>
          </w:p>
        </w:tc>
      </w:tr>
      <w:tr>
        <w:trPr>
          <w:trHeight w:val="27"/>
        </w:trPr>
        <w:tc>
          <w:tcPr>
            <w:tcW w:w="9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99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r>
      <w:tr>
        <w:trPr>
          <w:trHeight w:val="263"/>
        </w:trPr>
        <w:tc>
          <w:tcPr>
            <w:tcW w:w="99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1,908</w:t>
            </w:r>
          </w:p>
        </w:tc>
      </w:tr>
      <w:tr>
        <w:trPr>
          <w:trHeight w:val="21"/>
        </w:trPr>
        <w:tc>
          <w:tcPr>
            <w:tcW w:w="9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Other intangible assets acquired in the F&amp;G acquisition consist of the following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 Carrying Value</w:t>
            </w:r>
          </w:p>
        </w:tc>
        <w:tc>
          <w:tcPr>
            <w:tcW w:w="1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business acquired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Value of distribution network acquired</w:t>
            </w:r>
          </w:p>
        </w:tc>
        <w:tc>
          <w:tcPr>
            <w:tcW w:w="260" w:type="dxa"/>
            <w:vAlign w:val="bottom"/>
          </w:tcPr>
          <w:p>
            <w:pPr>
              <w:spacing w:after="0"/>
              <w:rPr>
                <w:sz w:val="21"/>
                <w:szCs w:val="21"/>
                <w:color w:val="auto"/>
              </w:rPr>
            </w:pPr>
          </w:p>
        </w:tc>
        <w:tc>
          <w:tcPr>
            <w:tcW w:w="1920" w:type="dxa"/>
            <w:vAlign w:val="bottom"/>
          </w:tcPr>
          <w:p>
            <w:pPr>
              <w:jc w:val="right"/>
              <w:ind w:right="53"/>
              <w:spacing w:after="0"/>
              <w:rPr>
                <w:sz w:val="20"/>
                <w:szCs w:val="20"/>
                <w:color w:val="auto"/>
              </w:rPr>
            </w:pPr>
            <w:r>
              <w:rPr>
                <w:rFonts w:ascii="Arial" w:cs="Arial" w:eastAsia="Arial" w:hAnsi="Arial"/>
                <w:sz w:val="18"/>
                <w:szCs w:val="18"/>
                <w:color w:val="auto"/>
              </w:rPr>
              <w:t>185</w:t>
            </w:r>
          </w:p>
        </w:tc>
        <w:tc>
          <w:tcPr>
            <w:tcW w:w="23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Trademarks and licenses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w:t>
            </w:r>
          </w:p>
        </w:tc>
        <w:tc>
          <w:tcPr>
            <w:tcW w:w="2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1"/>
                <w:szCs w:val="21"/>
                <w:color w:val="auto"/>
              </w:rPr>
            </w:pPr>
          </w:p>
        </w:tc>
        <w:tc>
          <w:tcPr>
            <w:tcW w:w="192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6" w:right="339" w:bottom="8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871"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F&amp;G's revenues and net loss of $124 million and $39 million, respectively, are included in the Condensed Consolidated Statements of Earnings for the period from June 1, 2020 through June 30, 2020. For comparative purposes, selected unaudited pro-forma consolidated results of operations of FNF for the three and six-month periods ending June 30, 2020 and 2019 are presented below. Pro-forma results presented assume the consolidation of F&amp;G occurred as of the beginning of the respective 2019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08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6"/>
        </w:trPr>
        <w:tc>
          <w:tcPr>
            <w:tcW w:w="6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2,770</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4,151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4,848</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Net earnings attributable to FNF common shareholders</w:t>
            </w:r>
          </w:p>
        </w:tc>
        <w:tc>
          <w:tcPr>
            <w:tcW w:w="22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581</w:t>
            </w:r>
          </w:p>
        </w:tc>
      </w:tr>
    </w:tbl>
    <w:p>
      <w:pPr>
        <w:spacing w:after="0" w:line="200" w:lineRule="exact"/>
        <w:rPr>
          <w:sz w:val="20"/>
          <w:szCs w:val="20"/>
          <w:color w:val="auto"/>
        </w:rPr>
      </w:pPr>
    </w:p>
    <w:p>
      <w:pPr>
        <w:spacing w:after="0" w:line="27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Amounts reflect certain pro forma adjustments to revenue and net earnings that were directly attributable to the acquisition, and for the elimination of historical activity between FNF and F&amp;G prior to the acquisition. These adjustments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valuation changes on FNF's investment in F&amp;G common and preferred shares prior to the acquisition;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dividends received by FNF related to its holdings of F&amp;G's common and preferred shares prior to the acquisition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advisory fees F&amp;G paid to FNF</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transaction costs paid by F&amp;G</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record interest expense related to financing associated with the acquisition</w:t>
      </w:r>
    </w:p>
    <w:p>
      <w:pPr>
        <w:spacing w:after="0" w:line="238"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elimination of historical amortization of F&amp;G intangibles and the additional amortization of F&amp;G intangibles measured at fair value as of the acquisition date</w:t>
      </w:r>
    </w:p>
    <w:p>
      <w:pPr>
        <w:spacing w:after="0" w:line="197"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adjustment to reflect the prospective reclassification from accumulated other comprehensive earnings of the unrealized gains on available-for-sale securities to a premium which will be amortized into income based on the expected life of the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C — Summary of Reserve for Title Claim Losses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title claim losses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76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1,509</w:t>
            </w:r>
          </w:p>
        </w:tc>
        <w:tc>
          <w:tcPr>
            <w:tcW w:w="134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1,488</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Change in reinsurance recoverable</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Total title claim loss provision</w:t>
            </w:r>
          </w:p>
        </w:tc>
        <w:tc>
          <w:tcPr>
            <w:tcW w:w="10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Total title claims paid, net of recoupments</w:t>
            </w:r>
          </w:p>
        </w:tc>
        <w:tc>
          <w:tcPr>
            <w:tcW w:w="10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auto"/>
            </w:tcBorders>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1,528</w:t>
            </w:r>
          </w:p>
        </w:tc>
        <w:tc>
          <w:tcPr>
            <w:tcW w:w="134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1,480</w:t>
            </w:r>
          </w:p>
        </w:tc>
        <w:tc>
          <w:tcPr>
            <w:tcW w:w="180" w:type="dxa"/>
            <w:vAlign w:val="bottom"/>
            <w:shd w:val="clear" w:color="auto" w:fill="CCEEFF"/>
          </w:tcPr>
          <w:p>
            <w:pPr>
              <w:spacing w:after="0"/>
              <w:rPr>
                <w:sz w:val="24"/>
                <w:szCs w:val="24"/>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7660" w:type="dxa"/>
            <w:vAlign w:val="bottom"/>
          </w:tcPr>
          <w:p>
            <w:pPr>
              <w:ind w:left="2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10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It is further alleged that Chicago Title Company participated with Ms. Champion-Cain and her entities in a fraud scheme involving an escrow account maintained by Chicago Title Company into which the plaintiffs’ funds were deposited.</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lawsuits are as follows: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22, 2019, a lawsuit styled, Ovation Fin. Holdings 2 LLC, Ovation Fund Mgmt. II, LLC, Banc of California, N.A. v. Chicago Title Ins. Co., Chicago Title Co., was filed in the United States District Court for the Southern District of California. Plaintiffs claim losses of more than $75 million as a result of the alleged fraud scheme, and also seek consequential, treble, and punitive damages. The Named Companies are defending and have filed a motion to dismiss the complaint on several grounds, or alternatively, to stay the case.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5, 2019, a putative class action lawsuit styled, Blake E. Allred and Melissa M. Allred v. Chicago Title Co., Chicago Title Ins. Co., Adelle E. Ducharme, Betty Elixman, Gina Champion-Cain, Joelle Hanson, Cris Torres, and Rachel Bond, was filed in the United States District Court for the Southern District of California. Plaintiffs seek class certification and consequential, treble, and punitive damages. The Named Companies are defending and have filed a motion to dismiss the complaint on several grounds, or alternatively, to stay the case.</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13, 2019, a lawsuit styled, Kim Funding, LLC, Kim H. Peterson, Joseph J. Cohen, and ABC Funding Strategies, LLC v. Chicago Title Co., Chicago Title Ins. Co., Thomas Schwiebert, Adelle Ducharme, and Betty Elixman, was filed in the Superior Court of San Diego County for the State of California. Plaintiffs claim losses of more than $250 million as a result of the alleged fraud scheme, and also seek statutory, treble, and punitive damages. The Named Companies are defending and have filed a motion to dismiss the complaint on several grounds.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6, 2020, a lawsuit styled, Wakefield Capital, LLC, Wakefield Investments, LLC, 2Budz Holding, LLC, Doug and Kristine Heidrich, and Jeff and Heidi Orr v. Chicago Title Co. and Chicago Title Ins. Co., was filed in the Superior Court of San Diego County for the State of California. Plaintiffs claim losses in excess of $7.0 million as a result of the alleged fraud scheme, and also seek punitive damages, recovery of attorneys’ fees,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and disgorgement. The Named Companies are defending and have filed a motion to dismiss the complaint on several grounds.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2020, a lawsuit styled, Randolph L. Levin, et al., v. Chicago Title Co., Chicago Title Ins. Co., Thomas Schwiebert, Adelle Ducharme, Betty Elixman, et al., was filed in the Superior Court of San Diego County for the State of California. Plaintiffs claim losses in excess of $38 million as a result of the alleged fraud scheme, and also seek punitive damages and the recovery of attorneys’ fees. The Named Companies are defending and have filed a motion to dismiss the complaint on several grounds.</w:t>
      </w:r>
    </w:p>
    <w:p>
      <w:pPr>
        <w:spacing w:after="0" w:line="3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On May 29, 2020, a lawsuit styled, Mark Atherton, et al., v. Chicago Title Co. and Chicago Title Ins. Co., was filed in the Superior Court of San Diego County for the State of California. Plaintiffs claim losses of more than $30 million as a result of the alleged fraud scheme, and also seek statutory, treble, and punitive damages, as well as the recovery of attorneys’ fees. The Named Companies are investigating and will file a response on or before the due date.</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29, 2020, a lawsuit styled, Susan Heller Fenley Separate Property Trust, DTD 03/04/2010, Susan Heller Fenley Inherited Roth IRA, Shelley Lynn Tarditi Trust and ROJ, LLC v. Chicago Title Co., Chicago Title Ins. Co., Thomas Schwiebert, Adelle Ducharme, and Betty Elixman, was filed in the Superior Court of San Diego County for the State of California. Plaintiffs claim losses in excess of $6 million as a result of the alleged fraud scheme, and also seek statutory, treble, and punitive damages. The Named Companies are investigating and will file a response on or before the due date.</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29, 2020, a lawsuit styled, Yuan Yu and Polly Yu v. Chicago Title Co., Chicago Title Ins. Co., Thomas Schwiebert, Adelle Ducharme, and Betty Elixman, was filed in the Superior Court of San Diego County for the State of California. Plaintiffs claim losses in excess of $1 million as a result of the alleged fraud scheme, and also seek statutory, treble, and punitive damages. The Named Companies are investigating and will file a response on or before the due date.</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7, 2020, a cross-claim styled, Laurie Peterson v. Chicago Title Co., Chicago Title Ins. Co., Thomas Schwiebert, Adelle Ducharme, and Betty Elixman, was filed in an existing lawsuit styled, Banc of California, National Association v. Laurie Peterson, which is pending in Superior Court of San Diego County for the State of California. Cross-complaint plaintiff was sued by a bank to recover more than $35 million that she allegedly guaranteed to repay based upon a loan to one of the investors, which is purportedly in default as a result of the alleged fraud scheme. Cross-complaint plaintiff has, in turn, sued the Named Companies in that action for monetary losses as well as exemplary damages and attorneys’ fees. The Named Companies are investigating and will file a response on or before the due date.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Chicago Title Company recently resolved a claim from another group of alleged investors under confidential terms during a pre-suit mediation.</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this time, the Company is unable to ascertain its liability, if any, and is unable to make an estimate of a reasonably possible claim loss for any of these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The Company, however, has recorded an incurred claim loss reserve for legal fees related to these matters as of June 30, 2020, which is included in its consolidated reserve for claim losses. As further information becomes available, the Company will continue to evaluate the adequacy of its consolidated reserve for claim losses.</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D — Fair Value of Financial Instruments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Values are unadjusted quoted prices for identical assets and liabilities in active markets accessible at the measurement date.</w:t>
      </w:r>
    </w:p>
    <w:p>
      <w:pPr>
        <w:spacing w:after="0" w:line="90"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include quoted prices for similar assets or liabilities in active markets, quoted prices from those willing to trade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or other inputs that are observable or can be corroborated by market data for the term of the instrument. Such inputs include market interest rates and volatilities, spreads, and yield curves.</w:t>
      </w:r>
    </w:p>
    <w:p>
      <w:pPr>
        <w:spacing w:after="0" w:line="49"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Certain inputs are unobservable (supported by little or no market activity) and significant to the fair value measurement.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reflect the Company’s best estimate of what hypothetical market participants would use to determine a transaction price for the asset or liability at the reporting date based on the best information available in the circumstances.</w:t>
      </w:r>
    </w:p>
    <w:p>
      <w:pPr>
        <w:spacing w:after="0" w:line="10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ind w:firstLine="445"/>
        <w:spacing w:after="0" w:line="259" w:lineRule="auto"/>
        <w:rPr>
          <w:sz w:val="20"/>
          <w:szCs w:val="20"/>
          <w:color w:val="auto"/>
        </w:rPr>
      </w:pPr>
      <w:r>
        <w:rPr>
          <w:rFonts w:ascii="Arial" w:cs="Arial" w:eastAsia="Arial" w:hAnsi="Arial"/>
          <w:sz w:val="18"/>
          <w:szCs w:val="18"/>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2,353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2,353</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4,594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5,610</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13,014</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1,468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Derivative investments</w:t>
            </w: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27"/>
        </w:trPr>
        <w:tc>
          <w:tcPr>
            <w:tcW w:w="43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financial assets at fair value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29,959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future policy benefits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FIA embedded derivatives, included in contractholder funds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2,952</w:t>
            </w:r>
          </w:p>
        </w:tc>
        <w:tc>
          <w:tcPr>
            <w:tcW w:w="0" w:type="dxa"/>
            <w:vAlign w:val="bottom"/>
          </w:tcPr>
          <w:p>
            <w:pPr>
              <w:spacing w:after="0"/>
              <w:rPr>
                <w:sz w:val="1"/>
                <w:szCs w:val="1"/>
                <w:color w:val="auto"/>
              </w:rPr>
            </w:pPr>
          </w:p>
        </w:tc>
      </w:tr>
      <w:tr>
        <w:trPr>
          <w:trHeight w:val="157"/>
        </w:trPr>
        <w:tc>
          <w:tcPr>
            <w:tcW w:w="4340" w:type="dxa"/>
            <w:vAlign w:val="bottom"/>
          </w:tcPr>
          <w:p>
            <w:pPr>
              <w:ind w:left="220"/>
              <w:spacing w:after="0" w:line="157" w:lineRule="exact"/>
              <w:rPr>
                <w:sz w:val="20"/>
                <w:szCs w:val="20"/>
                <w:color w:val="auto"/>
              </w:rPr>
            </w:pPr>
            <w:r>
              <w:rPr>
                <w:rFonts w:ascii="Arial" w:cs="Arial" w:eastAsia="Arial" w:hAnsi="Arial"/>
                <w:sz w:val="14"/>
                <w:szCs w:val="14"/>
                <w:color w:val="auto"/>
              </w:rPr>
              <w:t>Reinsurance related embedded derivatives, included in accounts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payable and accrued liabilities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2"/>
        </w:trPr>
        <w:tc>
          <w:tcPr>
            <w:tcW w:w="4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financial liabilities at fair value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Carrying Amount</w:t>
            </w:r>
          </w:p>
        </w:tc>
      </w:tr>
      <w:tr>
        <w:trPr>
          <w:trHeight w:val="188"/>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1,376</w:t>
            </w:r>
          </w:p>
        </w:tc>
      </w:tr>
      <w:tr>
        <w:trPr>
          <w:trHeight w:val="20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3940" w:type="dxa"/>
            <w:vAlign w:val="bottom"/>
          </w:tcPr>
          <w:p>
            <w:pPr>
              <w:ind w:left="220"/>
              <w:spacing w:after="0"/>
              <w:rPr>
                <w:sz w:val="20"/>
                <w:szCs w:val="20"/>
                <w:color w:val="auto"/>
              </w:rPr>
            </w:pPr>
            <w:r>
              <w:rPr>
                <w:rFonts w:ascii="Arial" w:cs="Arial" w:eastAsia="Arial" w:hAnsi="Arial"/>
                <w:sz w:val="14"/>
                <w:szCs w:val="14"/>
                <w:color w:val="auto"/>
              </w:rPr>
              <w:t>Commercial mortgage-backed securities</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22</w:t>
            </w:r>
          </w:p>
        </w:tc>
      </w:tr>
      <w:tr>
        <w:trPr>
          <w:trHeight w:val="208"/>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1,557</w:t>
            </w:r>
          </w:p>
        </w:tc>
      </w:tr>
      <w:tr>
        <w:trPr>
          <w:trHeight w:val="197"/>
        </w:trPr>
        <w:tc>
          <w:tcPr>
            <w:tcW w:w="3940" w:type="dxa"/>
            <w:vAlign w:val="bottom"/>
          </w:tcPr>
          <w:p>
            <w:pPr>
              <w:ind w:left="220"/>
              <w:spacing w:after="0"/>
              <w:rPr>
                <w:sz w:val="20"/>
                <w:szCs w:val="20"/>
                <w:color w:val="auto"/>
              </w:rPr>
            </w:pPr>
            <w:r>
              <w:rPr>
                <w:rFonts w:ascii="Arial" w:cs="Arial" w:eastAsia="Arial" w:hAnsi="Arial"/>
                <w:sz w:val="14"/>
                <w:szCs w:val="14"/>
                <w:color w:val="auto"/>
              </w:rPr>
              <w:t>Hybrids</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30</w:t>
            </w:r>
          </w:p>
        </w:tc>
      </w:tr>
      <w:tr>
        <w:trPr>
          <w:trHeight w:val="208"/>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Municipals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w:t>
            </w:r>
          </w:p>
        </w:tc>
      </w:tr>
      <w:tr>
        <w:trPr>
          <w:trHeight w:val="197"/>
        </w:trPr>
        <w:tc>
          <w:tcPr>
            <w:tcW w:w="3940" w:type="dxa"/>
            <w:vAlign w:val="bottom"/>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40</w:t>
            </w:r>
          </w:p>
        </w:tc>
      </w:tr>
      <w:tr>
        <w:trPr>
          <w:trHeight w:val="208"/>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w:t>
            </w:r>
          </w:p>
        </w:tc>
      </w:tr>
      <w:tr>
        <w:trPr>
          <w:trHeight w:val="196"/>
        </w:trPr>
        <w:tc>
          <w:tcPr>
            <w:tcW w:w="394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60</w:t>
            </w:r>
          </w:p>
        </w:tc>
      </w:tr>
      <w:tr>
        <w:trPr>
          <w:trHeight w:val="20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323</w:t>
            </w: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811</w:t>
            </w:r>
          </w:p>
        </w:tc>
      </w:tr>
      <w:tr>
        <w:trPr>
          <w:trHeight w:val="20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876</w:t>
            </w: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120</w:t>
            </w:r>
          </w:p>
        </w:tc>
      </w:tr>
      <w:tr>
        <w:trPr>
          <w:trHeight w:val="227"/>
        </w:trPr>
        <w:tc>
          <w:tcPr>
            <w:tcW w:w="39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financial assets at fair value</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Maturity Securities &amp; Equity Securities</w:t>
      </w:r>
    </w:p>
    <w:p>
      <w:pPr>
        <w:spacing w:after="0" w:line="13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 We have an equity investment in a private business development company which is not traded on an exchange or valued by other sources such as analytics or brokers. We base the fair value of this investment on an estimated net asset value provided by the investee. We did not make any adjustments to this valuation.</w:t>
      </w:r>
    </w:p>
    <w:p>
      <w:pPr>
        <w:spacing w:after="0" w:line="7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analyze the third-party valuation methodologies and related inputs to perform assessments to determine the appropriate level within the fair value hierarchy. However, we did not adjust prices received from third parties as of June 30, 2020 or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3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call option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June 30, 2020 was applied to the Annuity 2000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fair value of the reinsurance-related embedded derivative in the funds withheld reinsurance agreement with Kubera Insurance (SAC) Ltd. ("Kubera") is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inputs and classified as Level 2. Please see Note P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for further discussion on F&amp;G reinsurance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investments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Fair value of the available-for-sale embedded derivative is based on an unobservable input, the net asset value of the fund at the balance sheet date. The embedded derivative is similar to a call option on the net asset value of the fund with a strike price of zero since Fidelity &amp; Guaranty Life Insurance Company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t>
      </w:r>
    </w:p>
    <w:p>
      <w:pPr>
        <w:spacing w:after="0" w:line="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Policy Benefits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Front Street Re Cayman Ltd. ("FSRC") elected to apply the Fair Value Option to account for its future policy benefits liability related to its assumed reinsurance. FSRC uses a discounted cash flows approach to measure the fair value of the Future Policy Benefits Reserve. The cash flows associated with future policy premiums and benefits are generated using best estimate assumptions (plus a risk margin, where applicable) and are consistent with market prices, where available. Risk margins are typically applied to non-observable, non-hedgeable market inputs.</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significant unobservable inputs used in the fair value measurement of the FSRC future policy benefit liability are non-performance risk spread and risk margin to reflect uncertainty. Undiscounted cash flows used in our June 30, 2020 discounted cash flow model equaled $(5) million. Increases or decreases in non-performance risk spread and risk margin to reflect uncertainty would result in a lower or higher fair value measurement,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spacing w:after="0" w:line="184" w:lineRule="exact"/>
        <w:rPr>
          <w:sz w:val="20"/>
          <w:szCs w:val="20"/>
          <w:color w:val="auto"/>
        </w:rPr>
      </w:pPr>
    </w:p>
    <w:p>
      <w:pPr>
        <w:ind w:firstLine="368"/>
        <w:spacing w:after="0" w:line="277" w:lineRule="auto"/>
        <w:rPr>
          <w:sz w:val="20"/>
          <w:szCs w:val="20"/>
          <w:color w:val="auto"/>
        </w:rPr>
      </w:pPr>
      <w:r>
        <w:rPr>
          <w:rFonts w:ascii="Arial" w:cs="Arial" w:eastAsia="Arial" w:hAnsi="Arial"/>
          <w:sz w:val="18"/>
          <w:szCs w:val="18"/>
          <w:color w:val="auto"/>
        </w:rPr>
        <w:t>Quantitative information regarding significant unobservable inputs used for recurring Level 3 fair value measurements of financial instruments carried at fair value as of June 30, 2020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2"/>
              </w:rPr>
              <w:t>June 30, 2020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2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40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Assets</w:t>
            </w:r>
          </w:p>
        </w:tc>
        <w:tc>
          <w:tcPr>
            <w:tcW w:w="1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32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98.66% - 122.19% (104.48)%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3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0.00%</w:t>
            </w:r>
          </w:p>
        </w:tc>
        <w:tc>
          <w:tcPr>
            <w:tcW w:w="1660" w:type="dxa"/>
            <w:vAlign w:val="bottom"/>
          </w:tcPr>
          <w:p>
            <w:pPr>
              <w:ind w:left="20"/>
              <w:spacing w:after="0"/>
              <w:rPr>
                <w:sz w:val="20"/>
                <w:szCs w:val="20"/>
                <w:color w:val="auto"/>
              </w:rPr>
            </w:pPr>
            <w:r>
              <w:rPr>
                <w:rFonts w:ascii="Arial" w:cs="Arial" w:eastAsia="Arial" w:hAnsi="Arial"/>
                <w:sz w:val="14"/>
                <w:szCs w:val="14"/>
                <w:color w:val="auto"/>
              </w:rPr>
              <w:t>- 112.65% (83.58)%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89.90% - 126.22% (125.18)%</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13.70% - 111.18% (102.46)%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Corporates</w:t>
            </w:r>
          </w:p>
        </w:tc>
        <w:tc>
          <w:tcPr>
            <w:tcW w:w="13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84.04% - 124.53% (105.51)%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Hybrids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Third-Party Valuation</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109.54% - 109.54% (109.54)%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Municipals</w:t>
            </w:r>
          </w:p>
        </w:tc>
        <w:tc>
          <w:tcPr>
            <w:tcW w:w="13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122.62% - 122.62% (122.62)%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- 106.86% (106.86)%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Foreign governments</w:t>
            </w:r>
          </w:p>
        </w:tc>
        <w:tc>
          <w:tcPr>
            <w:tcW w:w="13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98.72% - 99.90% (99.53)%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Income-Approach</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Yield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2.61%</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Available-for-sale embedded derivative</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Scholes model</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 value of fund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Credit Linked Note</w:t>
            </w:r>
          </w:p>
        </w:tc>
        <w:tc>
          <w:tcPr>
            <w:tcW w:w="13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financial assets at fair value</w:t>
            </w:r>
          </w:p>
        </w:tc>
        <w:tc>
          <w:tcPr>
            <w:tcW w:w="132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2,920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Future policy benefits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Risk margin to reflect</w:t>
            </w: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uncertainty</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0.00%</w:t>
            </w:r>
          </w:p>
        </w:tc>
        <w:tc>
          <w:tcPr>
            <w:tcW w:w="1660" w:type="dxa"/>
            <w:vAlign w:val="bottom"/>
          </w:tcPr>
          <w:p>
            <w:pPr>
              <w:ind w:left="20"/>
              <w:spacing w:after="0"/>
              <w:rPr>
                <w:sz w:val="20"/>
                <w:szCs w:val="20"/>
                <w:color w:val="auto"/>
              </w:rPr>
            </w:pPr>
            <w:r>
              <w:rPr>
                <w:rFonts w:ascii="Arial" w:cs="Arial" w:eastAsia="Arial" w:hAnsi="Arial"/>
                <w:sz w:val="14"/>
                <w:szCs w:val="14"/>
                <w:color w:val="auto"/>
              </w:rPr>
              <w:t>- 0.50% (0.50)%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Derivatives:</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6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FIA embedded derivatives, included in contractholder</w:t>
            </w: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funds</w:t>
            </w:r>
          </w:p>
        </w:tc>
        <w:tc>
          <w:tcPr>
            <w:tcW w:w="132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2,952</w:t>
            </w: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Market value of option</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0.00%</w:t>
            </w:r>
          </w:p>
        </w:tc>
        <w:tc>
          <w:tcPr>
            <w:tcW w:w="1660" w:type="dxa"/>
            <w:vAlign w:val="bottom"/>
          </w:tcPr>
          <w:p>
            <w:pPr>
              <w:ind w:left="20"/>
              <w:spacing w:after="0"/>
              <w:rPr>
                <w:sz w:val="20"/>
                <w:szCs w:val="20"/>
                <w:color w:val="auto"/>
              </w:rPr>
            </w:pPr>
            <w:r>
              <w:rPr>
                <w:rFonts w:ascii="Arial" w:cs="Arial" w:eastAsia="Arial" w:hAnsi="Arial"/>
                <w:sz w:val="14"/>
                <w:szCs w:val="14"/>
                <w:color w:val="auto"/>
              </w:rPr>
              <w:t>- 40.32% (2.22)%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rates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0.13%</w:t>
            </w: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- 1.41% (0.77)%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Mortality multiplier</w:t>
            </w: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80.00% - 80.00% (80.00)%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0.50%</w:t>
            </w: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- 75.00% (5.72)%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Partial withdrawals</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2.00%</w:t>
            </w:r>
          </w:p>
        </w:tc>
        <w:tc>
          <w:tcPr>
            <w:tcW w:w="1660" w:type="dxa"/>
            <w:vAlign w:val="bottom"/>
          </w:tcPr>
          <w:p>
            <w:pPr>
              <w:ind w:left="20"/>
              <w:spacing w:after="0"/>
              <w:rPr>
                <w:sz w:val="20"/>
                <w:szCs w:val="20"/>
                <w:color w:val="auto"/>
              </w:rPr>
            </w:pPr>
            <w:r>
              <w:rPr>
                <w:rFonts w:ascii="Arial" w:cs="Arial" w:eastAsia="Arial" w:hAnsi="Arial"/>
                <w:sz w:val="14"/>
                <w:szCs w:val="14"/>
                <w:color w:val="auto"/>
              </w:rPr>
              <w:t>- 3.50% (2.55)%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1.19%</w:t>
            </w: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- 1.19% (1.19)%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Option cost</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0.05%</w:t>
            </w:r>
          </w:p>
        </w:tc>
        <w:tc>
          <w:tcPr>
            <w:tcW w:w="1660" w:type="dxa"/>
            <w:vAlign w:val="bottom"/>
          </w:tcPr>
          <w:p>
            <w:pPr>
              <w:ind w:left="20"/>
              <w:spacing w:after="0"/>
              <w:rPr>
                <w:sz w:val="20"/>
                <w:szCs w:val="20"/>
                <w:color w:val="auto"/>
              </w:rPr>
            </w:pPr>
            <w:r>
              <w:rPr>
                <w:rFonts w:ascii="Arial" w:cs="Arial" w:eastAsia="Arial" w:hAnsi="Arial"/>
                <w:sz w:val="14"/>
                <w:szCs w:val="14"/>
                <w:color w:val="auto"/>
              </w:rPr>
              <w:t>- 16.61% (2.19)%</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financial liabilities at fair value</w:t>
            </w:r>
          </w:p>
        </w:tc>
        <w:tc>
          <w:tcPr>
            <w:tcW w:w="132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2,957</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firstLine="405"/>
        <w:spacing w:after="0" w:line="301" w:lineRule="auto"/>
        <w:rPr>
          <w:sz w:val="20"/>
          <w:szCs w:val="20"/>
          <w:color w:val="auto"/>
        </w:rPr>
      </w:pPr>
      <w:r>
        <w:rPr>
          <w:rFonts w:ascii="Arial" w:cs="Arial" w:eastAsia="Arial" w:hAnsi="Arial"/>
          <w:sz w:val="16"/>
          <w:szCs w:val="16"/>
          <w:color w:val="auto"/>
        </w:rPr>
        <w:t>The following tables summarize changes to the Company’s financial instruments carried at fair value and classified within Level 3 of the fair value hierarchy for the three and six months ended June 30, 2020 and 2019, respectively. F&amp;G related activity for the three and six months ended June 30, 2020 in the tables below is comprised of the one-month period ended June 30, 2020 only. This summary excludes any impact of amortization of VOBA, DAC and DSI. The gains and losses below may include changes in fair value due in part to observable inputs that are a component of the valuation methodology.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8"/>
          </w:tcPr>
          <w:p>
            <w:pPr>
              <w:ind w:left="18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7"/>
                <w:szCs w:val="17"/>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F&amp;G</w:t>
            </w:r>
          </w:p>
        </w:tc>
        <w:tc>
          <w:tcPr>
            <w:tcW w:w="120" w:type="dxa"/>
            <w:vAlign w:val="bottom"/>
          </w:tcPr>
          <w:p>
            <w:pPr>
              <w:spacing w:after="0"/>
              <w:rPr>
                <w:sz w:val="17"/>
                <w:szCs w:val="17"/>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Total Gains (Losses)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transfer</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Balance at</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Beginning</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Settlements</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 (Out) of</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 of</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Period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 (a)</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available-for-sale: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ind w:left="22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Commercial mortgage-backed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Residential mortgage-backed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Available-for-sale embedded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Credit linked note</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b w:val="1"/>
                <w:bCs w:val="1"/>
                <w:color w:val="auto"/>
                <w:w w:val="96"/>
              </w:rPr>
              <w:t>Total assets at Level 3 fair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2,754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40" w:type="dxa"/>
            <w:vAlign w:val="bottom"/>
          </w:tcPr>
          <w:p>
            <w:pPr>
              <w:ind w:left="20"/>
              <w:spacing w:after="0" w:line="157" w:lineRule="exact"/>
              <w:rPr>
                <w:sz w:val="20"/>
                <w:szCs w:val="20"/>
                <w:color w:val="auto"/>
              </w:rPr>
            </w:pPr>
            <w:r>
              <w:rPr>
                <w:rFonts w:ascii="Arial" w:cs="Arial" w:eastAsia="Arial" w:hAnsi="Arial"/>
                <w:sz w:val="14"/>
                <w:szCs w:val="14"/>
                <w:color w:val="auto"/>
              </w:rPr>
              <w:t>FIA embedded derivatives,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included in contractholder funds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2,852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b w:val="1"/>
                <w:bCs w:val="1"/>
                <w:color w:val="auto"/>
              </w:rPr>
              <w:t>Total liabilities at Level 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2,857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2,957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The net transfers out of Level 3 during the three months ended June 30, 2020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9" w:name="page30"/>
    <w:bookmarkEnd w:id="29"/>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7"/>
                <w:szCs w:val="17"/>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F&amp;G</w:t>
            </w:r>
          </w:p>
        </w:tc>
        <w:tc>
          <w:tcPr>
            <w:tcW w:w="120" w:type="dxa"/>
            <w:vAlign w:val="bottom"/>
          </w:tcPr>
          <w:p>
            <w:pPr>
              <w:spacing w:after="0"/>
              <w:rPr>
                <w:sz w:val="17"/>
                <w:szCs w:val="17"/>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Total Gains (Losses)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transfer</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Balance at</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Beginning</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Settlements</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 (Out) of</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 of</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Period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 (a)</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available-for-sale: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Commercial mortgage-backed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Residential mortgage-backed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Available-for-sale embedded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Credit linked note</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w w:val="96"/>
              </w:rPr>
              <w:t>Total assets at Level 3 fair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2,754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2,920</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2040" w:type="dxa"/>
            <w:vAlign w:val="bottom"/>
          </w:tcPr>
          <w:p>
            <w:pPr>
              <w:ind w:left="340"/>
              <w:spacing w:after="0"/>
              <w:rPr>
                <w:sz w:val="20"/>
                <w:szCs w:val="20"/>
                <w:color w:val="auto"/>
              </w:rPr>
            </w:pPr>
            <w:r>
              <w:rPr>
                <w:rFonts w:ascii="Arial" w:cs="Arial" w:eastAsia="Arial" w:hAnsi="Arial"/>
                <w:sz w:val="14"/>
                <w:szCs w:val="14"/>
                <w:b w:val="1"/>
                <w:bCs w:val="1"/>
                <w:color w:val="auto"/>
              </w:rPr>
              <w:t>value</w:t>
            </w: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FIA embedded derivatives,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included in contractholder funds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2,852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40" w:type="dxa"/>
            <w:vAlign w:val="bottom"/>
          </w:tcPr>
          <w:p>
            <w:pPr>
              <w:ind w:left="340"/>
              <w:spacing w:after="0" w:line="133" w:lineRule="exact"/>
              <w:rPr>
                <w:sz w:val="20"/>
                <w:szCs w:val="20"/>
                <w:color w:val="auto"/>
              </w:rPr>
            </w:pPr>
            <w:r>
              <w:rPr>
                <w:rFonts w:ascii="Arial" w:cs="Arial" w:eastAsia="Arial" w:hAnsi="Arial"/>
                <w:sz w:val="14"/>
                <w:szCs w:val="14"/>
                <w:b w:val="1"/>
                <w:bCs w:val="1"/>
                <w:color w:val="auto"/>
              </w:rPr>
              <w:t>Total liabilities at Level 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2,857</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a) The net transfers out of Level 3 during the six months ended June 30, 2020 were to Level 2, except for the net transfers out related to our other long-term investment, which was to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Three months ended June 30, 2019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7"/>
                <w:szCs w:val="17"/>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Total Gains (Losses)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transfer</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6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Settlements</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 (Out) of</w:t>
            </w:r>
          </w:p>
        </w:tc>
        <w:tc>
          <w:tcPr>
            <w:tcW w:w="12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Level 3 (a)</w:t>
            </w:r>
          </w:p>
        </w:tc>
        <w:tc>
          <w:tcPr>
            <w:tcW w:w="12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ind w:left="220"/>
              <w:spacing w:after="0"/>
              <w:rPr>
                <w:sz w:val="20"/>
                <w:szCs w:val="20"/>
                <w:color w:val="auto"/>
              </w:rPr>
            </w:pPr>
            <w:r>
              <w:rPr>
                <w:rFonts w:ascii="Arial" w:cs="Arial" w:eastAsia="Arial" w:hAnsi="Arial"/>
                <w:sz w:val="14"/>
                <w:szCs w:val="14"/>
                <w:color w:val="auto"/>
              </w:rPr>
              <w:t>Corporates</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ind w:left="5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long-term investment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3"/>
                <w:szCs w:val="13"/>
                <w:b w:val="1"/>
                <w:bCs w:val="1"/>
                <w:color w:val="auto"/>
              </w:rPr>
              <w:t xml:space="preserve">Total assets at Level 3 fair value   </w:t>
            </w:r>
            <w:r>
              <w:rPr>
                <w:rFonts w:ascii="Arial" w:cs="Arial" w:eastAsia="Arial" w:hAnsi="Arial"/>
                <w:sz w:val="23"/>
                <w:szCs w:val="23"/>
                <w:color w:val="auto"/>
                <w:vertAlign w:val="superscript"/>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Six months ended June 30, 2019</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7"/>
                <w:szCs w:val="17"/>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Total Gains (Losses)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transfer</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Settlements</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 (Out) of</w:t>
            </w:r>
          </w:p>
        </w:tc>
        <w:tc>
          <w:tcPr>
            <w:tcW w:w="12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Level 3 (a)</w:t>
            </w:r>
          </w:p>
        </w:tc>
        <w:tc>
          <w:tcPr>
            <w:tcW w:w="12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00" w:type="dxa"/>
            <w:vAlign w:val="bottom"/>
            <w:gridSpan w:val="2"/>
          </w:tcPr>
          <w:p>
            <w:pPr>
              <w:ind w:left="220"/>
              <w:spacing w:after="0"/>
              <w:rPr>
                <w:sz w:val="20"/>
                <w:szCs w:val="20"/>
                <w:color w:val="auto"/>
              </w:rPr>
            </w:pPr>
            <w:r>
              <w:rPr>
                <w:rFonts w:ascii="Arial" w:cs="Arial" w:eastAsia="Arial" w:hAnsi="Arial"/>
                <w:sz w:val="14"/>
                <w:szCs w:val="14"/>
                <w:color w:val="auto"/>
              </w:rPr>
              <w:t>Corporates</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5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ind w:left="58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long-term investment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3"/>
                <w:szCs w:val="13"/>
                <w:b w:val="1"/>
                <w:bCs w:val="1"/>
                <w:color w:val="auto"/>
              </w:rPr>
              <w:t xml:space="preserve">Total assets at Level 3 fair value   </w:t>
            </w:r>
            <w:r>
              <w:rPr>
                <w:rFonts w:ascii="Arial" w:cs="Arial" w:eastAsia="Arial" w:hAnsi="Arial"/>
                <w:sz w:val="23"/>
                <w:szCs w:val="23"/>
                <w:color w:val="auto"/>
                <w:vertAlign w:val="superscript"/>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and Associated Inputs for Financial Instruments Not Carried at Fair Value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Loans (included within Other long-term investments)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Owned Life Insurance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Invested Assets (included within Other long-term investments)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Contracts</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Investment contracts include deferred annuities, FIAs, indexed universal life policies ("IULs") and immediate annuities. The fair value of deferred annuity, FIA, and IUL contracts is based on their cash surrender value (i.e. the cost the Company would incur to extinguish the liability) as these contracts are generally issued without an annuitization date. The fair value of immediate annuities contracts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debt is based on quoted market prices. The inputs used to measure the fair value of our outstanding debt are classified as Level 2 within the fair value hierarchy.</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15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Total Estimated Fair</w:t>
            </w:r>
          </w:p>
        </w:tc>
        <w:tc>
          <w:tcPr>
            <w:tcW w:w="140" w:type="dxa"/>
            <w:vAlign w:val="bottom"/>
          </w:tcPr>
          <w:p>
            <w:pPr>
              <w:spacing w:after="0"/>
              <w:rPr>
                <w:sz w:val="13"/>
                <w:szCs w:val="13"/>
                <w:color w:val="auto"/>
              </w:rPr>
            </w:pP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 loans</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Policy loans</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20,666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20,666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23,683</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9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202"/>
        </w:trPr>
        <w:tc>
          <w:tcPr>
            <w:tcW w:w="406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20,666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23,262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26,113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includes assets that have not been classified in the fair value hierarchy as the fair value of these investments are measured using the net asset value ("NAV") per share practical expedient.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Carrying Value After</w:t>
            </w:r>
          </w:p>
        </w:tc>
      </w:tr>
      <w:tr>
        <w:trPr>
          <w:trHeight w:val="192"/>
        </w:trPr>
        <w:tc>
          <w:tcPr>
            <w:tcW w:w="9580" w:type="dxa"/>
            <w:vAlign w:val="bottom"/>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Measurement (in millions)</w:t>
            </w:r>
          </w:p>
        </w:tc>
      </w:tr>
      <w:tr>
        <w:trPr>
          <w:trHeight w:val="196"/>
        </w:trPr>
        <w:tc>
          <w:tcPr>
            <w:tcW w:w="9580" w:type="dxa"/>
            <w:vAlign w:val="bottom"/>
          </w:tcPr>
          <w:p>
            <w:pPr>
              <w:spacing w:after="0"/>
              <w:rPr>
                <w:sz w:val="17"/>
                <w:szCs w:val="17"/>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2020</w:t>
            </w:r>
          </w:p>
        </w:tc>
      </w:tr>
      <w:tr>
        <w:trPr>
          <w:trHeight w:val="202"/>
        </w:trPr>
        <w:tc>
          <w:tcPr>
            <w:tcW w:w="9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 in unconsolidated affiliates</w:t>
            </w:r>
          </w:p>
        </w:tc>
        <w:tc>
          <w:tcPr>
            <w:tcW w:w="15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1,191</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investments for which NAV is used as a practical expedient for fair value, we do not have any significant restrictions in their ability to liquidate their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E — Investments</w:t>
      </w:r>
    </w:p>
    <w:p>
      <w:pPr>
        <w:spacing w:after="0" w:line="17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equity securities investments are carried at fair value with unrealized gains and losses included in net income (loss). The Company’s consolidated investments at June 30, 2020 and December 31, 2019 are summarized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Gross Unrealized</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Expected Credit</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5,610</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Commercial mortgage-backed securities</w:t>
            </w:r>
          </w:p>
        </w:tc>
        <w:tc>
          <w:tcPr>
            <w:tcW w:w="1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2,444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13,014</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Foreign Governments</w:t>
            </w:r>
          </w:p>
        </w:tc>
        <w:tc>
          <w:tcPr>
            <w:tcW w:w="1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2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Fair Value</w:t>
            </w: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Gains</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60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Commercial mortgage-backed/asset-backed securities</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480" w:type="dxa"/>
            <w:vAlign w:val="bottom"/>
          </w:tcPr>
          <w:p>
            <w:pPr>
              <w:ind w:left="120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1,556</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480" w:type="dxa"/>
            <w:vAlign w:val="bottom"/>
          </w:tcPr>
          <w:p>
            <w:pPr>
              <w:ind w:left="12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Governments</w:t>
            </w: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2"/>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48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spacing w:after="0" w:line="200" w:lineRule="exact"/>
        <w:rPr>
          <w:sz w:val="20"/>
          <w:szCs w:val="20"/>
          <w:color w:val="auto"/>
        </w:rPr>
      </w:pPr>
    </w:p>
    <w:p>
      <w:pPr>
        <w:spacing w:after="0" w:line="2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Securities held on deposit with various state regulatory authorities had a fair value of $18.4 billion and $422 million at June 30, 2020 and December 31, 2019, respectively.</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June 30, 2020 and December 31, 2019, the Company held no material investments that were non-income producing for a period greater than twelve months.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June 30, 2020 and December 31, 2019, the Company's accrued interest receivable balance was $237 million and $16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 is classified within Prepaid expenses and other assets within the unaudited Condensed Consolidated Balance Sheets.</w:t>
      </w:r>
    </w:p>
    <w:p>
      <w:pPr>
        <w:spacing w:after="0" w:line="12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$1,511 million at June 30, 2020.</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amortized cost and fair value of fixed maturity available-for-sale securities by contractual maturities, as applicable, are shown below. Actual maturities may differ from contractual maturities because issuers may have the right to call or pre-pay obligations.</w:t>
      </w:r>
    </w:p>
    <w:p>
      <w:pPr>
        <w:spacing w:after="0" w:line="162"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June 30, 2020</w:t>
      </w:r>
    </w:p>
    <w:p>
      <w:pPr>
        <w:spacing w:after="0" w:line="42"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23495</wp:posOffset>
            </wp:positionV>
            <wp:extent cx="21342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18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Corporates, Non-structured Hybrids, Municipal and Government securities:</w:t>
            </w:r>
          </w:p>
        </w:tc>
        <w:tc>
          <w:tcPr>
            <w:tcW w:w="2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97"/>
        </w:trPr>
        <w:tc>
          <w:tcPr>
            <w:tcW w:w="7880" w:type="dxa"/>
            <w:vAlign w:val="bottom"/>
          </w:tcPr>
          <w:p>
            <w:pPr>
              <w:ind w:left="120"/>
              <w:spacing w:after="0"/>
              <w:rPr>
                <w:sz w:val="20"/>
                <w:szCs w:val="20"/>
                <w:color w:val="auto"/>
              </w:rPr>
            </w:pPr>
            <w:r>
              <w:rPr>
                <w:rFonts w:ascii="Arial" w:cs="Arial" w:eastAsia="Arial" w:hAnsi="Arial"/>
                <w:sz w:val="14"/>
                <w:szCs w:val="14"/>
                <w:color w:val="auto"/>
              </w:rPr>
              <w:t>Due in one year or less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416</w:t>
            </w:r>
          </w:p>
        </w:tc>
      </w:tr>
      <w:tr>
        <w:trPr>
          <w:trHeight w:val="208"/>
        </w:trPr>
        <w:tc>
          <w:tcPr>
            <w:tcW w:w="7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after one year through five years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2,164</w:t>
            </w:r>
          </w:p>
        </w:tc>
      </w:tr>
      <w:tr>
        <w:trPr>
          <w:trHeight w:val="197"/>
        </w:trPr>
        <w:tc>
          <w:tcPr>
            <w:tcW w:w="7880" w:type="dxa"/>
            <w:vAlign w:val="bottom"/>
          </w:tcPr>
          <w:p>
            <w:pPr>
              <w:ind w:left="120"/>
              <w:spacing w:after="0"/>
              <w:rPr>
                <w:sz w:val="20"/>
                <w:szCs w:val="20"/>
                <w:color w:val="auto"/>
              </w:rPr>
            </w:pPr>
            <w:r>
              <w:rPr>
                <w:rFonts w:ascii="Arial" w:cs="Arial" w:eastAsia="Arial" w:hAnsi="Arial"/>
                <w:sz w:val="14"/>
                <w:szCs w:val="14"/>
                <w:color w:val="auto"/>
              </w:rPr>
              <w:t>Due after five years through ten years</w:t>
            </w: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2,236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2,307</w:t>
            </w:r>
          </w:p>
        </w:tc>
      </w:tr>
      <w:tr>
        <w:trPr>
          <w:trHeight w:val="208"/>
        </w:trPr>
        <w:tc>
          <w:tcPr>
            <w:tcW w:w="7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after ten years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10,776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11,080</w:t>
            </w:r>
          </w:p>
        </w:tc>
      </w:tr>
      <w:tr>
        <w:trPr>
          <w:trHeight w:val="190"/>
        </w:trPr>
        <w:tc>
          <w:tcPr>
            <w:tcW w:w="7880" w:type="dxa"/>
            <w:vAlign w:val="bottom"/>
          </w:tcPr>
          <w:p>
            <w:pPr>
              <w:ind w:left="340"/>
              <w:spacing w:after="0"/>
              <w:rPr>
                <w:sz w:val="20"/>
                <w:szCs w:val="20"/>
                <w:color w:val="auto"/>
              </w:rPr>
            </w:pPr>
            <w:r>
              <w:rPr>
                <w:rFonts w:ascii="Arial" w:cs="Arial" w:eastAsia="Arial" w:hAnsi="Arial"/>
                <w:sz w:val="14"/>
                <w:szCs w:val="14"/>
                <w:b w:val="1"/>
                <w:bCs w:val="1"/>
                <w:color w:val="auto"/>
              </w:rPr>
              <w:t>Subtotal</w:t>
            </w:r>
          </w:p>
        </w:tc>
        <w:tc>
          <w:tcPr>
            <w:tcW w:w="20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15,533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15,967</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7880" w:type="dxa"/>
            <w:vAlign w:val="bottom"/>
          </w:tcPr>
          <w:p>
            <w:pPr>
              <w:ind w:left="1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5,501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5,610</w:t>
            </w:r>
          </w:p>
        </w:tc>
      </w:tr>
      <w:tr>
        <w:trPr>
          <w:trHeight w:val="209"/>
        </w:trPr>
        <w:tc>
          <w:tcPr>
            <w:tcW w:w="7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w:t>
            </w:r>
          </w:p>
        </w:tc>
      </w:tr>
      <w:tr>
        <w:trPr>
          <w:trHeight w:val="196"/>
        </w:trPr>
        <w:tc>
          <w:tcPr>
            <w:tcW w:w="7880" w:type="dxa"/>
            <w:vAlign w:val="bottom"/>
          </w:tcPr>
          <w:p>
            <w:pPr>
              <w:ind w:left="120"/>
              <w:spacing w:after="0"/>
              <w:rPr>
                <w:sz w:val="20"/>
                <w:szCs w:val="20"/>
                <w:color w:val="auto"/>
              </w:rPr>
            </w:pPr>
            <w:r>
              <w:rPr>
                <w:rFonts w:ascii="Arial" w:cs="Arial" w:eastAsia="Arial" w:hAnsi="Arial"/>
                <w:sz w:val="14"/>
                <w:szCs w:val="14"/>
                <w:color w:val="auto"/>
              </w:rPr>
              <w:t>Structured hybrids</w:t>
            </w: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28</w:t>
            </w:r>
          </w:p>
        </w:tc>
      </w:tr>
      <w:tr>
        <w:trPr>
          <w:trHeight w:val="208"/>
        </w:trPr>
        <w:tc>
          <w:tcPr>
            <w:tcW w:w="7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927</w:t>
            </w:r>
          </w:p>
        </w:tc>
      </w:tr>
      <w:tr>
        <w:trPr>
          <w:trHeight w:val="190"/>
        </w:trPr>
        <w:tc>
          <w:tcPr>
            <w:tcW w:w="788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Subtotal</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9,147</w:t>
            </w:r>
          </w:p>
        </w:tc>
      </w:tr>
      <w:tr>
        <w:trPr>
          <w:trHeight w:val="227"/>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25,114</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Current Expected Credit Loss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Following the adoption of ASU 2016-13 and the related targeted improvements and transition relief amendments (see Note A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for further details) effective January 1, 2020, we regularly review AFS securities for declines in fair value that we determine to be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For our fixed maturity AFS securities, we generally consider the following in determining whether our unrealized losses are credit related, and if so, the magnitude of the credit loss:</w:t>
      </w:r>
    </w:p>
    <w:p>
      <w:pPr>
        <w:spacing w:after="0" w:line="9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fair value is less than the amortized cost basis;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reasons for the decline in value (credit event, currency or interest-rate related, including general credit spread widening);</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delinquencies and nonperforming assets of underlying collateral;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future default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Collateral value by vintage, geographic region, industry concentration or property type;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Subordination levels or other credit enhancements as of the balance sheet date as compared to origination;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and regulatory cash obligations and the issuer's plans to meet such obligations.</w:t>
      </w:r>
    </w:p>
    <w:p>
      <w:pPr>
        <w:spacing w:after="0" w:line="13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Realized gains and losses, net in the unaudited Condensed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consider the following in determining whether write-offs of a security’s amortized cost is necessary:</w:t>
      </w:r>
    </w:p>
    <w:p>
      <w:pPr>
        <w:spacing w:after="0" w:line="144" w:lineRule="exact"/>
        <w:rPr>
          <w:sz w:val="20"/>
          <w:szCs w:val="20"/>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amounts related to securities have become uncollectible; or</w:t>
      </w:r>
    </w:p>
    <w:p>
      <w:pPr>
        <w:spacing w:after="0" w:line="130"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0"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intend to sell a fixed maturity AFS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Realized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Realized gains and losses, net in the accompanying unaudited Condensed Consolidated Statements of Earnings. The remainder of unrealized loss is held in AOCI.</w:t>
      </w:r>
    </w:p>
    <w:p>
      <w:pPr>
        <w:spacing w:after="0" w:line="31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activity in the allowance for expected credit losses of available-for-sale securities aggregated by investment category were as follows for the three and six months ended June 30, 2020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three-months ended June 30, 2020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Additions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Reductions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For initial credit</w:t>
            </w:r>
          </w:p>
        </w:tc>
        <w:tc>
          <w:tcPr>
            <w:tcW w:w="220" w:type="dxa"/>
            <w:vAlign w:val="bottom"/>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9"/>
              </w:rPr>
              <w:t>For securities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losses on</w:t>
            </w:r>
          </w:p>
        </w:tc>
        <w:tc>
          <w:tcPr>
            <w:tcW w:w="220" w:type="dxa"/>
            <w:vAlign w:val="bottom"/>
          </w:tcPr>
          <w:p>
            <w:pPr>
              <w:spacing w:after="0"/>
              <w:rPr>
                <w:sz w:val="12"/>
                <w:szCs w:val="12"/>
                <w:color w:val="auto"/>
              </w:rPr>
            </w:pPr>
          </w:p>
        </w:tc>
        <w:tc>
          <w:tcPr>
            <w:tcW w:w="1480" w:type="dxa"/>
            <w:vAlign w:val="bottom"/>
            <w:tcBorders>
              <w:right w:val="single" w:sz="8" w:color="auto"/>
            </w:tcBorders>
            <w:vMerge w:val="restart"/>
          </w:tcPr>
          <w:p>
            <w:pPr>
              <w:jc w:val="center"/>
              <w:ind w:right="488"/>
              <w:spacing w:after="0"/>
              <w:rPr>
                <w:sz w:val="20"/>
                <w:szCs w:val="20"/>
                <w:color w:val="auto"/>
              </w:rPr>
            </w:pPr>
            <w:r>
              <w:rPr>
                <w:rFonts w:ascii="Arial" w:cs="Arial" w:eastAsia="Arial" w:hAnsi="Arial"/>
                <w:sz w:val="14"/>
                <w:szCs w:val="14"/>
                <w:b w:val="1"/>
                <w:bCs w:val="1"/>
                <w:color w:val="auto"/>
                <w:w w:val="91"/>
              </w:rPr>
              <w:t>(Additions)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For credit losses on</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220" w:type="dxa"/>
            <w:vAlign w:val="bottom"/>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intended/required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1480" w:type="dxa"/>
            <w:vAlign w:val="bottom"/>
            <w:tcBorders>
              <w:right w:val="single" w:sz="8" w:color="auto"/>
            </w:tcBorders>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reductions in</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For securities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to be sold prior to</w:t>
            </w:r>
          </w:p>
        </w:tc>
        <w:tc>
          <w:tcPr>
            <w:tcW w:w="100" w:type="dxa"/>
            <w:vAlign w:val="bottom"/>
          </w:tcPr>
          <w:p>
            <w:pPr>
              <w:spacing w:after="0"/>
              <w:rPr>
                <w:sz w:val="12"/>
                <w:szCs w:val="12"/>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Writeoffs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1"/>
              </w:rPr>
              <w:t>securities for which</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accounted for as</w:t>
            </w:r>
          </w:p>
        </w:tc>
        <w:tc>
          <w:tcPr>
            <w:tcW w:w="1700" w:type="dxa"/>
            <w:vAlign w:val="bottom"/>
            <w:tcBorders>
              <w:right w:val="single" w:sz="8" w:color="auto"/>
            </w:tcBorders>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allowance recorded</w:t>
            </w: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recovery of</w:t>
            </w: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87"/>
              </w:rPr>
              <w:t>losses were not</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PCD financial</w:t>
            </w:r>
          </w:p>
        </w:tc>
        <w:tc>
          <w:tcPr>
            <w:tcW w:w="220" w:type="dxa"/>
            <w:vAlign w:val="bottom"/>
          </w:tcPr>
          <w:p>
            <w:pPr>
              <w:spacing w:after="0"/>
              <w:rPr>
                <w:sz w:val="12"/>
                <w:szCs w:val="12"/>
                <w:color w:val="auto"/>
              </w:rPr>
            </w:pPr>
          </w:p>
        </w:tc>
        <w:tc>
          <w:tcPr>
            <w:tcW w:w="1480" w:type="dxa"/>
            <w:vAlign w:val="bottom"/>
            <w:tcBorders>
              <w:right w:val="single" w:sz="8" w:color="auto"/>
            </w:tcBorders>
          </w:tcPr>
          <w:p>
            <w:pPr>
              <w:jc w:val="center"/>
              <w:ind w:right="488"/>
              <w:spacing w:after="0" w:line="149" w:lineRule="exact"/>
              <w:rPr>
                <w:sz w:val="20"/>
                <w:szCs w:val="20"/>
                <w:color w:val="auto"/>
              </w:rPr>
            </w:pPr>
            <w:r>
              <w:rPr>
                <w:rFonts w:ascii="Arial" w:cs="Arial" w:eastAsia="Arial" w:hAnsi="Arial"/>
                <w:sz w:val="14"/>
                <w:szCs w:val="14"/>
                <w:b w:val="1"/>
                <w:bCs w:val="1"/>
                <w:color w:val="auto"/>
                <w:w w:val="92"/>
              </w:rPr>
              <w:t>on previously</w:t>
            </w:r>
          </w:p>
        </w:tc>
        <w:tc>
          <w:tcPr>
            <w:tcW w:w="16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sold during</w:t>
            </w: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amortized cost</w:t>
            </w:r>
          </w:p>
        </w:tc>
        <w:tc>
          <w:tcPr>
            <w:tcW w:w="12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charged against</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previously recorded</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assets (1)</w:t>
            </w:r>
          </w:p>
        </w:tc>
        <w:tc>
          <w:tcPr>
            <w:tcW w:w="1700" w:type="dxa"/>
            <w:vAlign w:val="bottom"/>
            <w:tcBorders>
              <w:right w:val="single" w:sz="8" w:color="auto"/>
            </w:tcBorders>
            <w:gridSpan w:val="2"/>
          </w:tcPr>
          <w:p>
            <w:pPr>
              <w:jc w:val="center"/>
              <w:ind w:right="268"/>
              <w:spacing w:after="0"/>
              <w:rPr>
                <w:sz w:val="20"/>
                <w:szCs w:val="20"/>
                <w:color w:val="auto"/>
              </w:rPr>
            </w:pPr>
            <w:r>
              <w:rPr>
                <w:rFonts w:ascii="Arial" w:cs="Arial" w:eastAsia="Arial" w:hAnsi="Arial"/>
                <w:sz w:val="14"/>
                <w:szCs w:val="14"/>
                <w:b w:val="1"/>
                <w:bCs w:val="1"/>
                <w:color w:val="auto"/>
                <w:w w:val="90"/>
              </w:rPr>
              <w:t>impaired securities</w:t>
            </w:r>
          </w:p>
        </w:tc>
        <w:tc>
          <w:tcPr>
            <w:tcW w:w="160" w:type="dxa"/>
            <w:vAlign w:val="bottom"/>
          </w:tcPr>
          <w:p>
            <w:pPr>
              <w:spacing w:after="0"/>
              <w:rPr>
                <w:sz w:val="16"/>
                <w:szCs w:val="16"/>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the period</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83"/>
              </w:rPr>
              <w:t>basis</w:t>
            </w:r>
          </w:p>
        </w:tc>
        <w:tc>
          <w:tcPr>
            <w:tcW w:w="100" w:type="dxa"/>
            <w:vAlign w:val="bottom"/>
          </w:tcPr>
          <w:p>
            <w:pPr>
              <w:spacing w:after="0"/>
              <w:rPr>
                <w:sz w:val="16"/>
                <w:szCs w:val="16"/>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the allowance</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189"/>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3"/>
              </w:rPr>
              <w:t>Available-for-sale securities</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right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w w:val="88"/>
              </w:rPr>
              <w:t>(11)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1780" w:type="dxa"/>
            <w:vAlign w:val="bottom"/>
          </w:tcPr>
          <w:p>
            <w:pPr>
              <w:ind w:left="20"/>
              <w:spacing w:after="0"/>
              <w:rPr>
                <w:sz w:val="20"/>
                <w:szCs w:val="20"/>
                <w:color w:val="auto"/>
              </w:rPr>
            </w:pPr>
            <w:r>
              <w:rPr>
                <w:rFonts w:ascii="Arial" w:cs="Arial" w:eastAsia="Arial" w:hAnsi="Arial"/>
                <w:sz w:val="14"/>
                <w:szCs w:val="14"/>
                <w:color w:val="auto"/>
              </w:rPr>
              <w:t>Hybrids</w:t>
            </w:r>
          </w:p>
        </w:tc>
        <w:tc>
          <w:tcPr>
            <w:tcW w:w="10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480" w:type="dxa"/>
            <w:vAlign w:val="bottom"/>
            <w:tcBorders>
              <w:right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Residential mortgage-backed</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3"/>
        </w:trPr>
        <w:tc>
          <w:tcPr>
            <w:tcW w:w="1780" w:type="dxa"/>
            <w:vAlign w:val="bottom"/>
          </w:tcPr>
          <w:p>
            <w:pPr>
              <w:ind w:left="340"/>
              <w:spacing w:after="0" w:line="133" w:lineRule="exact"/>
              <w:rPr>
                <w:sz w:val="20"/>
                <w:szCs w:val="20"/>
                <w:color w:val="auto"/>
              </w:rPr>
            </w:pPr>
            <w:r>
              <w:rPr>
                <w:rFonts w:ascii="Arial" w:cs="Arial" w:eastAsia="Arial" w:hAnsi="Arial"/>
                <w:sz w:val="14"/>
                <w:szCs w:val="14"/>
                <w:b w:val="1"/>
                <w:bCs w:val="1"/>
                <w:color w:val="auto"/>
                <w:w w:val="93"/>
              </w:rPr>
              <w:t>Total available-for-sale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center"/>
              <w:ind w:left="408"/>
              <w:spacing w:after="0"/>
              <w:rPr>
                <w:sz w:val="20"/>
                <w:szCs w:val="20"/>
                <w:color w:val="auto"/>
              </w:rPr>
            </w:pPr>
            <w:r>
              <w:rPr>
                <w:rFonts w:ascii="Arial" w:cs="Arial" w:eastAsia="Arial" w:hAnsi="Arial"/>
                <w:sz w:val="14"/>
                <w:szCs w:val="14"/>
                <w:color w:val="auto"/>
                <w:w w:val="88"/>
              </w:rPr>
              <w:t>(11)</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vMerge w:val="restart"/>
          </w:tcPr>
          <w:p>
            <w:pPr>
              <w:ind w:left="780"/>
              <w:spacing w:after="0"/>
              <w:rPr>
                <w:sz w:val="20"/>
                <w:szCs w:val="20"/>
                <w:color w:val="auto"/>
              </w:rPr>
            </w:pPr>
            <w:r>
              <w:rPr>
                <w:rFonts w:ascii="Arial" w:cs="Arial" w:eastAsia="Arial" w:hAnsi="Arial"/>
                <w:sz w:val="14"/>
                <w:szCs w:val="14"/>
                <w:color w:val="auto"/>
              </w:rPr>
              <w:t>—  $ —</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1"/>
        </w:trPr>
        <w:tc>
          <w:tcPr>
            <w:tcW w:w="1780" w:type="dxa"/>
            <w:vAlign w:val="bottom"/>
          </w:tcPr>
          <w:p>
            <w:pPr>
              <w:ind w:left="340"/>
              <w:spacing w:after="0"/>
              <w:rPr>
                <w:sz w:val="20"/>
                <w:szCs w:val="20"/>
                <w:color w:val="auto"/>
              </w:rPr>
            </w:pPr>
            <w:r>
              <w:rPr>
                <w:rFonts w:ascii="Arial" w:cs="Arial" w:eastAsia="Arial" w:hAnsi="Arial"/>
                <w:sz w:val="14"/>
                <w:szCs w:val="14"/>
                <w:b w:val="1"/>
                <w:bCs w:val="1"/>
                <w:color w:val="auto"/>
              </w:rPr>
              <w:t>securities</w:t>
            </w:r>
          </w:p>
        </w:tc>
        <w:tc>
          <w:tcPr>
            <w:tcW w:w="1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6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3"/>
              </w:rPr>
              <w:t>For the six-months ended June 30, 2020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Additions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Reductions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For initial credit</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9"/>
              </w:rPr>
              <w:t>For securities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losses on</w:t>
            </w:r>
          </w:p>
        </w:tc>
        <w:tc>
          <w:tcPr>
            <w:tcW w:w="200" w:type="dxa"/>
            <w:vAlign w:val="bottom"/>
          </w:tcPr>
          <w:p>
            <w:pPr>
              <w:spacing w:after="0"/>
              <w:rPr>
                <w:sz w:val="12"/>
                <w:szCs w:val="12"/>
                <w:color w:val="auto"/>
              </w:rPr>
            </w:pP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1"/>
              </w:rPr>
              <w:t>(Additions)</w:t>
            </w: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For credit losses on</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intended/required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reductions in</w:t>
            </w:r>
          </w:p>
        </w:tc>
        <w:tc>
          <w:tcPr>
            <w:tcW w:w="400" w:type="dxa"/>
            <w:vAlign w:val="bottom"/>
            <w:tcBorders>
              <w:right w:val="single" w:sz="8" w:color="auto"/>
            </w:tcBorders>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For securities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to be sold prior to</w:t>
            </w:r>
          </w:p>
        </w:tc>
        <w:tc>
          <w:tcPr>
            <w:tcW w:w="100" w:type="dxa"/>
            <w:vAlign w:val="bottom"/>
          </w:tcPr>
          <w:p>
            <w:pPr>
              <w:spacing w:after="0"/>
              <w:rPr>
                <w:sz w:val="12"/>
                <w:szCs w:val="12"/>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Writeoffs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1"/>
              </w:rPr>
              <w:t>securities for which</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accounted for as</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allowance recorded</w:t>
            </w:r>
          </w:p>
        </w:tc>
        <w:tc>
          <w:tcPr>
            <w:tcW w:w="400" w:type="dxa"/>
            <w:vAlign w:val="bottom"/>
            <w:tcBorders>
              <w:right w:val="single" w:sz="8" w:color="auto"/>
            </w:tcBorders>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recovery of</w:t>
            </w: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87"/>
              </w:rPr>
              <w:t>losses were not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PCD financial</w:t>
            </w:r>
          </w:p>
        </w:tc>
        <w:tc>
          <w:tcPr>
            <w:tcW w:w="20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on previously</w:t>
            </w: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sold during</w:t>
            </w: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amortized cost</w:t>
            </w:r>
          </w:p>
        </w:tc>
        <w:tc>
          <w:tcPr>
            <w:tcW w:w="12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charged against</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previously recorded</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assets (1)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impaired securities</w:t>
            </w:r>
          </w:p>
        </w:tc>
        <w:tc>
          <w:tcPr>
            <w:tcW w:w="4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the period</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83"/>
              </w:rPr>
              <w:t>basis</w:t>
            </w:r>
          </w:p>
        </w:tc>
        <w:tc>
          <w:tcPr>
            <w:tcW w:w="100" w:type="dxa"/>
            <w:vAlign w:val="bottom"/>
          </w:tcPr>
          <w:p>
            <w:pPr>
              <w:spacing w:after="0"/>
              <w:rPr>
                <w:sz w:val="16"/>
                <w:szCs w:val="16"/>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the allowance</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189"/>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3"/>
              </w:rPr>
              <w:t>Available-for-sale securities</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right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780"/>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(3)</w:t>
            </w:r>
          </w:p>
        </w:tc>
        <w:tc>
          <w:tcPr>
            <w:tcW w:w="4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1780" w:type="dxa"/>
            <w:vAlign w:val="bottom"/>
          </w:tcPr>
          <w:p>
            <w:pPr>
              <w:ind w:left="20"/>
              <w:spacing w:after="0"/>
              <w:rPr>
                <w:sz w:val="20"/>
                <w:szCs w:val="20"/>
                <w:color w:val="auto"/>
              </w:rPr>
            </w:pPr>
            <w:r>
              <w:rPr>
                <w:rFonts w:ascii="Arial" w:cs="Arial" w:eastAsia="Arial" w:hAnsi="Arial"/>
                <w:sz w:val="14"/>
                <w:szCs w:val="14"/>
                <w:color w:val="auto"/>
              </w:rPr>
              <w:t>Hybrids</w:t>
            </w:r>
          </w:p>
        </w:tc>
        <w:tc>
          <w:tcPr>
            <w:tcW w:w="10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7"/>
                <w:szCs w:val="17"/>
                <w:color w:val="auto"/>
              </w:rPr>
            </w:pPr>
          </w:p>
        </w:tc>
        <w:tc>
          <w:tcPr>
            <w:tcW w:w="1080" w:type="dxa"/>
            <w:vAlign w:val="bottom"/>
          </w:tcPr>
          <w:p>
            <w:pPr>
              <w:ind w:left="780"/>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Residential mortgage-backed</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3"/>
        </w:trPr>
        <w:tc>
          <w:tcPr>
            <w:tcW w:w="1780" w:type="dxa"/>
            <w:vAlign w:val="bottom"/>
          </w:tcPr>
          <w:p>
            <w:pPr>
              <w:ind w:left="340"/>
              <w:spacing w:after="0" w:line="133" w:lineRule="exact"/>
              <w:rPr>
                <w:sz w:val="20"/>
                <w:szCs w:val="20"/>
                <w:color w:val="auto"/>
              </w:rPr>
            </w:pPr>
            <w:r>
              <w:rPr>
                <w:rFonts w:ascii="Arial" w:cs="Arial" w:eastAsia="Arial" w:hAnsi="Arial"/>
                <w:sz w:val="14"/>
                <w:szCs w:val="14"/>
                <w:b w:val="1"/>
                <w:bCs w:val="1"/>
                <w:color w:val="auto"/>
                <w:w w:val="93"/>
              </w:rPr>
              <w:t>Total available-for-sale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ind w:left="800"/>
              <w:spacing w:after="0"/>
              <w:rPr>
                <w:sz w:val="20"/>
                <w:szCs w:val="20"/>
                <w:color w:val="auto"/>
              </w:rPr>
            </w:pPr>
            <w:r>
              <w:rPr>
                <w:rFonts w:ascii="Arial" w:cs="Arial" w:eastAsia="Arial" w:hAnsi="Arial"/>
                <w:sz w:val="14"/>
                <w:szCs w:val="14"/>
                <w:color w:val="auto"/>
              </w:rPr>
              <w:t>(3)</w:t>
            </w:r>
          </w:p>
        </w:tc>
        <w:tc>
          <w:tcPr>
            <w:tcW w:w="40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93"/>
              </w:rPr>
              <w:t>$ —</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3"/>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1"/>
        </w:trPr>
        <w:tc>
          <w:tcPr>
            <w:tcW w:w="1780" w:type="dxa"/>
            <w:vAlign w:val="bottom"/>
          </w:tcPr>
          <w:p>
            <w:pPr>
              <w:ind w:left="340"/>
              <w:spacing w:after="0"/>
              <w:rPr>
                <w:sz w:val="20"/>
                <w:szCs w:val="20"/>
                <w:color w:val="auto"/>
              </w:rPr>
            </w:pPr>
            <w:r>
              <w:rPr>
                <w:rFonts w:ascii="Arial" w:cs="Arial" w:eastAsia="Arial" w:hAnsi="Arial"/>
                <w:sz w:val="14"/>
                <w:szCs w:val="14"/>
                <w:b w:val="1"/>
                <w:bCs w:val="1"/>
                <w:color w:val="auto"/>
              </w:rPr>
              <w:t>securities</w:t>
            </w: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Purchased credit-deteriorated available-for-sale debt securities ("PCD"s) are AFS securities purchased at a discount, where part of that discount is attributable to credit . Credit loss allowances are calculated for these securities as of the date of their acquisition, with the initial allowance serving to increase amortized cost. The following table summarizes year to date PCD AFS security purchases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154305</wp:posOffset>
            </wp:positionV>
            <wp:extent cx="1028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Purchased credit-deteriorated available-for-sale debt securities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6/30/2020</w:t>
            </w:r>
          </w:p>
        </w:tc>
      </w:tr>
      <w:tr>
        <w:trPr>
          <w:trHeight w:val="20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w:t>
            </w: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Allowance for credit losses at acquisition</w:t>
            </w:r>
          </w:p>
        </w:tc>
        <w:tc>
          <w:tcPr>
            <w:tcW w:w="3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(or premiums) attributable to other factors</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w:t>
            </w:r>
          </w:p>
        </w:tc>
      </w:tr>
      <w:tr>
        <w:trPr>
          <w:trHeight w:val="202"/>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AFS purchased credit-deteriorated par value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w:t>
            </w: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and gross unrealized losses of available-for-sale securities, excluding securities in an unrealized loss position with an allowance for expected credit loss, aggregated by investment category and duration of fair value below amortized cost as of June 30, 2020, and December 31, 2019 were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0"/>
              </w:rPr>
              <w:t>June 30, 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0"/>
              </w:rPr>
              <w:t>12 months or longer</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8"/>
              <w:spacing w:after="0" w:line="153"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900</w:t>
            </w:r>
          </w:p>
        </w:tc>
        <w:tc>
          <w:tcPr>
            <w:tcW w:w="5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31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3,767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50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8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Arial" w:cs="Arial" w:eastAsia="Arial" w:hAnsi="Arial"/>
                <w:sz w:val="14"/>
                <w:szCs w:val="14"/>
                <w:color w:val="auto"/>
              </w:rPr>
              <w:t>unrealized loss position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3"/>
              </w:rPr>
              <w:t>December 31, 2019</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3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0"/>
              </w:rPr>
              <w:t>12 months or longer</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8"/>
              <w:spacing w:after="0" w:line="153"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149</w:t>
            </w:r>
          </w:p>
        </w:tc>
        <w:tc>
          <w:tcPr>
            <w:tcW w:w="5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31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50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8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rPr>
                <w:sz w:val="20"/>
                <w:szCs w:val="20"/>
                <w:color w:val="auto"/>
              </w:rPr>
            </w:pPr>
            <w:r>
              <w:rPr>
                <w:rFonts w:ascii="Arial" w:cs="Arial" w:eastAsia="Arial" w:hAnsi="Arial"/>
                <w:sz w:val="14"/>
                <w:szCs w:val="14"/>
                <w:color w:val="auto"/>
              </w:rPr>
              <w:t>unrealized loss position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determined the significant increase in unrealized losses as of June 30, 2020 was caused by the significant widening of spreads in fixed income markets in response to the economic uncertainty created by the COVID-19 pandemic. These widening spreads were in most cases driven by market illiquidity and perceived increases in credit risk. For securities in an unrealized loss position as of June 30, 2020 and an expected credit loss was not determined, we believe that the unrealized loss is being driven by interest rate declines or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have not risen to the level of impacting the tranches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mortgage loans are collateralized by commercial and residential properties.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 Mortgage Loans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Commercial mortgage loans ("CMLs") represented approximately 2% of the our total investments as of June 30, 2020.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6"/>
              </w:rPr>
              <w:t>June 30, 2020</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6"/>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 Carrying Value</w:t>
            </w: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7"/>
                <w:szCs w:val="17"/>
                <w:color w:val="auto"/>
              </w:rPr>
            </w:pPr>
          </w:p>
        </w:tc>
      </w:tr>
      <w:tr>
        <w:trPr>
          <w:trHeight w:val="18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Hotel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Industrial - General</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Industrial - Warehouse</w:t>
            </w:r>
          </w:p>
        </w:tc>
        <w:tc>
          <w:tcPr>
            <w:tcW w:w="120" w:type="dxa"/>
            <w:vAlign w:val="bottom"/>
          </w:tcPr>
          <w:p>
            <w:pPr>
              <w:spacing w:after="0"/>
              <w:rPr>
                <w:sz w:val="17"/>
                <w:szCs w:val="17"/>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Office</w:t>
            </w:r>
          </w:p>
        </w:tc>
        <w:tc>
          <w:tcPr>
            <w:tcW w:w="120" w:type="dxa"/>
            <w:vAlign w:val="bottom"/>
          </w:tcPr>
          <w:p>
            <w:pPr>
              <w:spacing w:after="0"/>
              <w:rPr>
                <w:sz w:val="17"/>
                <w:szCs w:val="17"/>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2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78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2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Region:</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East North Central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East South Central</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Middle Atlantic</w:t>
            </w:r>
          </w:p>
        </w:tc>
        <w:tc>
          <w:tcPr>
            <w:tcW w:w="120" w:type="dxa"/>
            <w:vAlign w:val="bottom"/>
          </w:tcPr>
          <w:p>
            <w:pPr>
              <w:spacing w:after="0"/>
              <w:rPr>
                <w:sz w:val="17"/>
                <w:szCs w:val="17"/>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Mountain</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New England</w:t>
            </w:r>
          </w:p>
        </w:tc>
        <w:tc>
          <w:tcPr>
            <w:tcW w:w="120" w:type="dxa"/>
            <w:vAlign w:val="bottom"/>
          </w:tcPr>
          <w:p>
            <w:pPr>
              <w:spacing w:after="0"/>
              <w:rPr>
                <w:sz w:val="17"/>
                <w:szCs w:val="17"/>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Pacific</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South Atlantic</w:t>
            </w:r>
          </w:p>
        </w:tc>
        <w:tc>
          <w:tcPr>
            <w:tcW w:w="120" w:type="dxa"/>
            <w:vAlign w:val="bottom"/>
          </w:tcPr>
          <w:p>
            <w:pPr>
              <w:spacing w:after="0"/>
              <w:rPr>
                <w:sz w:val="17"/>
                <w:szCs w:val="17"/>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West North Central</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West South Central</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2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78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2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of our investments in CMLs had a loan-to-value ("LTV") ratio of less than 75% at June 30, 2020, as measured at inception of the loans unless otherwise updated.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8" w:name="page39"/>
    <w:bookmarkEnd w:id="38"/>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recorded investment in CMLs by LTV and DSC ratio categories and estimated fair value by the indicated loan-to-value ratios at June 30, 2020 (dollars in millions)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66040</wp:posOffset>
            </wp:positionV>
            <wp:extent cx="42437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43705" cy="8255"/>
                    </a:xfrm>
                    <a:prstGeom prst="rect">
                      <a:avLst/>
                    </a:prstGeom>
                    <a:noFill/>
                  </pic:spPr>
                </pic:pic>
              </a:graphicData>
            </a:graphic>
          </wp:anchor>
        </w:drawing>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Debt-Service Coverage Ratios</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Amount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Estimated Fair</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
        </w:trPr>
        <w:tc>
          <w:tcPr>
            <w:tcW w:w="4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&gt;1.25</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1.00 - 1.25</w:t>
            </w:r>
          </w:p>
        </w:tc>
        <w:tc>
          <w:tcPr>
            <w:tcW w:w="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LTV Ratios: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50% to 60%</w:t>
            </w: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576</w:t>
            </w:r>
          </w:p>
        </w:tc>
        <w:tc>
          <w:tcPr>
            <w:tcW w:w="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a mortgage loan as delinquent when payments on the loan are greater than 30 days past due. At June 30, 2020, we had no CMLs that were delinquent in principal or interest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Expected Credit Loss</w:t>
      </w:r>
    </w:p>
    <w:p>
      <w:pPr>
        <w:spacing w:after="0" w:line="144"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Realized gains and losses, net in the accompanying unaudited Condensed Consolidated Statements of Earnings.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Residential Mortgage Loans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Residential mortgage loans ("RMLs") represented approximately 4% of our total investments as of June 30, 2020.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8"/>
              </w:rPr>
              <w:t>June 30, 2020</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State:</w:t>
            </w:r>
          </w:p>
        </w:tc>
        <w:tc>
          <w:tcPr>
            <w:tcW w:w="180" w:type="dxa"/>
            <w:vAlign w:val="bottom"/>
          </w:tcPr>
          <w:p>
            <w:pPr>
              <w:spacing w:after="0"/>
              <w:rPr>
                <w:sz w:val="13"/>
                <w:szCs w:val="13"/>
                <w:color w:val="auto"/>
              </w:rPr>
            </w:pPr>
          </w:p>
        </w:tc>
        <w:tc>
          <w:tcPr>
            <w:tcW w:w="2020" w:type="dxa"/>
            <w:vAlign w:val="bottom"/>
            <w:gridSpan w:val="3"/>
          </w:tcPr>
          <w:p>
            <w:pPr>
              <w:jc w:val="center"/>
              <w:ind w:right="800"/>
              <w:spacing w:after="0" w:line="153" w:lineRule="exact"/>
              <w:rPr>
                <w:sz w:val="20"/>
                <w:szCs w:val="20"/>
                <w:color w:val="auto"/>
              </w:rPr>
            </w:pPr>
            <w:r>
              <w:rPr>
                <w:rFonts w:ascii="Arial" w:cs="Arial" w:eastAsia="Arial" w:hAnsi="Arial"/>
                <w:sz w:val="14"/>
                <w:szCs w:val="14"/>
                <w:b w:val="1"/>
                <w:bCs w:val="1"/>
                <w:color w:val="auto"/>
                <w:w w:val="95"/>
              </w:rPr>
              <w:t>Unpaid Principal</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Balance</w:t>
            </w: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216</w:t>
            </w: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 (1)</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Total mortgage loans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1,191</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8%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jc w:val="both"/>
        <w:ind w:firstLine="360"/>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at June 30, 2020, was as follows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2"/>
              </w:rPr>
              <w:t>June 30, 2020</w:t>
            </w: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Performance indicators:</w:t>
            </w:r>
          </w:p>
        </w:tc>
        <w:tc>
          <w:tcPr>
            <w:tcW w:w="180" w:type="dxa"/>
            <w:vAlign w:val="bottom"/>
          </w:tcPr>
          <w:p>
            <w:pPr>
              <w:spacing w:after="0"/>
              <w:rPr>
                <w:sz w:val="17"/>
                <w:szCs w:val="17"/>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7"/>
                <w:szCs w:val="17"/>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Performing</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1,142</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Non-performing</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residential mortgage loans, gross of valuation allowance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1,201</w:t>
            </w: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expected loan loss</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1,175</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Loans segregated by risk rating exposure as of June 30, 2020,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Amortized Cost by Origination Year</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Prior</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231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5"/>
              </w:rPr>
              <w:t>304</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704</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5"/>
              </w:rPr>
              <w:t>163</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700" w:type="dxa"/>
            <w:vAlign w:val="bottom"/>
          </w:tcPr>
          <w:p>
            <w:pPr>
              <w:spacing w:after="0"/>
              <w:rPr>
                <w:sz w:val="17"/>
                <w:szCs w:val="17"/>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Total commercial mortgage</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5"/>
              </w:rPr>
              <w:t>163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2"/>
              </w:rPr>
              <w:t>June 30, 2020</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3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right="148"/>
              <w:spacing w:after="0"/>
              <w:rPr>
                <w:sz w:val="20"/>
                <w:szCs w:val="20"/>
                <w:color w:val="auto"/>
              </w:rPr>
            </w:pPr>
            <w:r>
              <w:rPr>
                <w:rFonts w:ascii="Arial" w:cs="Arial" w:eastAsia="Arial" w:hAnsi="Arial"/>
                <w:sz w:val="14"/>
                <w:szCs w:val="14"/>
                <w:b w:val="1"/>
                <w:bCs w:val="1"/>
                <w:color w:val="auto"/>
                <w:w w:val="94"/>
              </w:rPr>
              <w:t>Amortized Cost by Origination Year</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196"/>
        </w:trPr>
        <w:tc>
          <w:tcPr>
            <w:tcW w:w="3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Prior</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LTV</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441</w:t>
            </w: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50% to 60%</w:t>
            </w:r>
          </w:p>
        </w:tc>
        <w:tc>
          <w:tcPr>
            <w:tcW w:w="2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gridSpan w:val="2"/>
          </w:tcPr>
          <w:p>
            <w:pPr>
              <w:ind w:left="520"/>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2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102</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3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w:t>
            </w:r>
          </w:p>
        </w:tc>
      </w:tr>
      <w:tr>
        <w:trPr>
          <w:trHeight w:val="202"/>
        </w:trPr>
        <w:tc>
          <w:tcPr>
            <w:tcW w:w="392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576</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97"/>
        </w:trPr>
        <w:tc>
          <w:tcPr>
            <w:tcW w:w="3920" w:type="dxa"/>
            <w:vAlign w:val="bottom"/>
          </w:tcPr>
          <w:p>
            <w:pPr>
              <w:ind w:left="20"/>
              <w:spacing w:after="0"/>
              <w:rPr>
                <w:sz w:val="20"/>
                <w:szCs w:val="20"/>
                <w:color w:val="auto"/>
              </w:rPr>
            </w:pPr>
            <w:r>
              <w:rPr>
                <w:rFonts w:ascii="Arial" w:cs="Arial" w:eastAsia="Arial" w:hAnsi="Arial"/>
                <w:sz w:val="14"/>
                <w:szCs w:val="14"/>
                <w:color w:val="auto"/>
              </w:rPr>
              <w:t>DSCR</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1.25x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550</w:t>
            </w:r>
          </w:p>
        </w:tc>
      </w:tr>
      <w:tr>
        <w:trPr>
          <w:trHeight w:val="197"/>
        </w:trPr>
        <w:tc>
          <w:tcPr>
            <w:tcW w:w="3920" w:type="dxa"/>
            <w:vAlign w:val="bottom"/>
          </w:tcPr>
          <w:p>
            <w:pPr>
              <w:ind w:left="20"/>
              <w:spacing w:after="0"/>
              <w:rPr>
                <w:sz w:val="20"/>
                <w:szCs w:val="20"/>
                <w:color w:val="auto"/>
              </w:rPr>
            </w:pPr>
            <w:r>
              <w:rPr>
                <w:rFonts w:ascii="Arial" w:cs="Arial" w:eastAsia="Arial" w:hAnsi="Arial"/>
                <w:sz w:val="14"/>
                <w:szCs w:val="14"/>
                <w:color w:val="auto"/>
              </w:rPr>
              <w:t>1.00x - 1.25x</w:t>
            </w:r>
          </w:p>
        </w:tc>
        <w:tc>
          <w:tcPr>
            <w:tcW w:w="2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8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1.00x</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02"/>
        </w:trPr>
        <w:tc>
          <w:tcPr>
            <w:tcW w:w="392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576</w:t>
            </w:r>
          </w:p>
        </w:tc>
      </w:tr>
      <w:tr>
        <w:trPr>
          <w:trHeight w:val="20"/>
        </w:trPr>
        <w:tc>
          <w:tcPr>
            <w:tcW w:w="392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777"/>
        </w:trPr>
        <w:tc>
          <w:tcPr>
            <w:tcW w:w="5320" w:type="dxa"/>
            <w:vAlign w:val="bottom"/>
            <w:gridSpan w:val="4"/>
          </w:tcPr>
          <w:p>
            <w:pPr>
              <w:spacing w:after="0"/>
              <w:rPr>
                <w:sz w:val="20"/>
                <w:szCs w:val="20"/>
                <w:color w:val="auto"/>
              </w:rPr>
            </w:pPr>
            <w:r>
              <w:rPr>
                <w:rFonts w:ascii="Arial" w:cs="Arial" w:eastAsia="Arial" w:hAnsi="Arial"/>
                <w:sz w:val="18"/>
                <w:szCs w:val="18"/>
                <w:color w:val="auto"/>
                <w:w w:val="90"/>
              </w:rPr>
              <w:t>Non-accrual loans by amortized cost as at June 30, 2020, was as follows: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 of loans on non-accrual</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6/30/2020</w:t>
            </w: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392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7"/>
                <w:szCs w:val="17"/>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r>
      <w:tr>
        <w:trPr>
          <w:trHeight w:val="202"/>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Total non-accrual loans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Expected Credit Loss</w:t>
      </w:r>
    </w:p>
    <w:p>
      <w:pPr>
        <w:spacing w:after="0" w:line="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Realized gains and losses, net in the accompanying unaudited Condensed Consolidated Statements of Earnings. Credit losses on purchase credit deteriorated (“PCD”) financial assets were recognized on the opening balance sheet for the amounts shown in the table below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June 30, 2020</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8"/>
        </w:trPr>
        <w:tc>
          <w:tcPr>
            <w:tcW w:w="36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Credit Losses on PCD Financial Assets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Residential Mortgage</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Commercial Mortgage</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20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1860" w:type="dxa"/>
            <w:vAlign w:val="bottom"/>
            <w:shd w:val="clear" w:color="auto" w:fill="CCEEFF"/>
          </w:tcPr>
          <w:p>
            <w:pPr>
              <w:jc w:val="right"/>
              <w:ind w:right="17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r>
      <w:tr>
        <w:trPr>
          <w:trHeight w:val="157"/>
        </w:trPr>
        <w:tc>
          <w:tcPr>
            <w:tcW w:w="3600" w:type="dxa"/>
            <w:vAlign w:val="bottom"/>
          </w:tcPr>
          <w:p>
            <w:pPr>
              <w:ind w:left="20"/>
              <w:spacing w:after="0" w:line="157" w:lineRule="exact"/>
              <w:rPr>
                <w:sz w:val="20"/>
                <w:szCs w:val="20"/>
                <w:color w:val="auto"/>
              </w:rPr>
            </w:pPr>
            <w:r>
              <w:rPr>
                <w:rFonts w:ascii="Arial" w:cs="Arial" w:eastAsia="Arial" w:hAnsi="Arial"/>
                <w:sz w:val="14"/>
                <w:szCs w:val="14"/>
                <w:color w:val="auto"/>
                <w:w w:val="95"/>
              </w:rPr>
              <w:t>For initial credit losses on purchased loans accounted for as</w:t>
            </w: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PCD financial assets</w:t>
            </w:r>
          </w:p>
        </w:tc>
        <w:tc>
          <w:tcPr>
            <w:tcW w:w="1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2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860" w:type="dxa"/>
            <w:vAlign w:val="bottom"/>
            <w:tcBorders>
              <w:bottom w:val="single" w:sz="8" w:color="auto"/>
            </w:tcBorders>
            <w:shd w:val="clear" w:color="auto" w:fill="CCEEFF"/>
          </w:tcPr>
          <w:p>
            <w:pPr>
              <w:jc w:val="right"/>
              <w:ind w:right="170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5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as seen in the table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347345</wp:posOffset>
            </wp:positionV>
            <wp:extent cx="1380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6/30/2020</w:t>
            </w:r>
          </w:p>
        </w:tc>
      </w:tr>
      <w:tr>
        <w:trPr>
          <w:trHeight w:val="20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196"/>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Mortgage</w:t>
            </w: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loans that are 90 days past due and still accruing</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3"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major sources of Interest and investment income reported on the accompanying unaudited Condensed Consolidated Statements of Earnings were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June 30, 2019</w:t>
            </w:r>
          </w:p>
        </w:tc>
      </w:tr>
      <w:tr>
        <w:trPr>
          <w:trHeight w:val="196"/>
        </w:trPr>
        <w:tc>
          <w:tcPr>
            <w:tcW w:w="532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Preferred securities</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Invested cash and short-term investments</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r>
      <w:tr>
        <w:trPr>
          <w:trHeight w:val="196"/>
        </w:trPr>
        <w:tc>
          <w:tcPr>
            <w:tcW w:w="5320" w:type="dxa"/>
            <w:vAlign w:val="bottom"/>
          </w:tcPr>
          <w:p>
            <w:pPr>
              <w:ind w:left="220"/>
              <w:spacing w:after="0"/>
              <w:rPr>
                <w:sz w:val="20"/>
                <w:szCs w:val="20"/>
                <w:color w:val="auto"/>
              </w:rPr>
            </w:pPr>
            <w:r>
              <w:rPr>
                <w:rFonts w:ascii="Arial" w:cs="Arial" w:eastAsia="Arial" w:hAnsi="Arial"/>
                <w:sz w:val="14"/>
                <w:szCs w:val="14"/>
                <w:color w:val="auto"/>
              </w:rPr>
              <w:t>Gross investment income</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115</w:t>
            </w: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expense</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Gains and Losses, net</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Details underlying Realized gains and losses, net reported on the accompanying unaudited Condensed Consolidated Statements of Earnings were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June 30, 2019</w:t>
            </w:r>
          </w:p>
        </w:tc>
      </w:tr>
      <w:tr>
        <w:trPr>
          <w:trHeight w:val="20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gains on fixed maturity available-for-sale securities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Net realized/unrealized gains (losses) on equity securities</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173</w:t>
            </w: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realized/unrealized gains (losses) on preferred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Realized losses on other invested assets</w:t>
            </w:r>
          </w:p>
        </w:tc>
        <w:tc>
          <w:tcPr>
            <w:tcW w:w="1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Derivatives and embedded derivatives: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gains on certain derivative instruments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320" w:type="dxa"/>
            <w:vAlign w:val="bottom"/>
          </w:tcPr>
          <w:p>
            <w:pPr>
              <w:ind w:left="120"/>
              <w:spacing w:after="0"/>
              <w:rPr>
                <w:sz w:val="20"/>
                <w:szCs w:val="20"/>
                <w:color w:val="auto"/>
              </w:rPr>
            </w:pPr>
            <w:r>
              <w:rPr>
                <w:rFonts w:ascii="Arial" w:cs="Arial" w:eastAsia="Arial" w:hAnsi="Arial"/>
                <w:sz w:val="14"/>
                <w:szCs w:val="14"/>
                <w:color w:val="auto"/>
              </w:rPr>
              <w:t>Unrealized gains on certain derivative instruments</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reinsurance related embedded derivatives (1)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losses on derivatives and embedded derivatives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Net investment gains (losses)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183</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73" w:lineRule="auto"/>
        <w:tabs>
          <w:tab w:leader="none" w:pos="212"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 in fair value of reinsurance related embedded derivatives is due to held for sale unaffiliated third party business under the fair value option election, and activity related to the FGL Insurance and Kubera reinsurance treaty.</w:t>
      </w:r>
    </w:p>
    <w:p>
      <w:pPr>
        <w:spacing w:after="0" w:line="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proceeds from the sale of fixed-maturity available for-sale-securities and the gross gains and losses associated with those transactions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June 30, 2019</w:t>
            </w:r>
          </w:p>
        </w:tc>
      </w:tr>
      <w:tr>
        <w:trPr>
          <w:trHeight w:val="20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Gross gains</w:t>
            </w: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owns investments in VIEs that are not consolidated within our financial statements, and one investment in a VIE that is considered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19"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6"/>
          <w:szCs w:val="16"/>
          <w:color w:val="auto"/>
        </w:rPr>
        <w:t>We have concluded we are the primary beneficiary of one VIE. The primary beneficiary conclusion was drawn given the fact that substantially all of the VIE’s activities are conducted on our behalf and we are the sole investor and limited partner. As we are considered the primary beneficiary, this VIE is</w:t>
      </w:r>
    </w:p>
    <w:p>
      <w:pPr>
        <w:spacing w:after="0"/>
        <w:rPr>
          <w:sz w:val="20"/>
          <w:szCs w:val="20"/>
          <w:color w:val="auto"/>
        </w:rPr>
      </w:pPr>
      <w:r>
        <w:rPr>
          <w:rFonts w:ascii="Arial" w:cs="Arial" w:eastAsia="Arial" w:hAnsi="Arial"/>
          <w:sz w:val="18"/>
          <w:szCs w:val="18"/>
          <w:color w:val="auto"/>
        </w:rPr>
        <w:t>consolidated within our financial statements. As of June 30, 2020, we have $65 million of net assets recorded related to this VIE.</w:t>
      </w:r>
    </w:p>
    <w:p>
      <w:pPr>
        <w:spacing w:after="0" w:line="63"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previously executed a commitment of $83 million to purchase common shares in an unaffiliated private business development company ("BDC"). The BDC invests in secured and unsecured fixed maturity and equity securities of middle market companies in the United States. Due to the voting structure of the transaction, the Company does not have voting power. During the quarter ended June 30, 2020, the BDC was listed on the NASDAQ.</w:t>
      </w:r>
    </w:p>
    <w:p>
      <w:pPr>
        <w:spacing w:after="0" w:line="4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invest in various limited partnerships as a passive investor. These investments are in credit funds with a bias towards current income, real assets, or private equity. Limited partnership interests are accounted for under the equity method and are included in Investments in unconsolidated affiliates on our unaudited Condensed Consolidated Balance Sheets. Our maximum exposure to loss with respect to these investments is limited to the investment carrying amounts reported in our unaudited Condensed Consolidated Balance Sheets in addition to any required unfunded commitments. As of June 30, 2020, our maximum exposure to loss was $1,111 million in recorded carrying value and $1,264 million in unfunded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Included in equity securities as of June 30, 2020 and December 31, 2019 are 5,706,134 shares of Cannae common stock (NYSE: CNNE) which were purchased during the fourth quarter of 2017 in connection with the split-off of our former portfolio company investments to Cannae. The fair value of our related party investment based on quoted market prices is $234 million and $212 million as of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F — Derivative Financial Instruments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carrying amounts of derivative instruments, including derivative instruments embedded in FIA contracts, as of June 30, 2020 is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95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8"/>
              </w:rPr>
              <w:t>June 30, 2020</w:t>
            </w:r>
          </w:p>
        </w:tc>
        <w:tc>
          <w:tcPr>
            <w:tcW w:w="6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8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4"/>
                <w:szCs w:val="14"/>
                <w:color w:val="auto"/>
              </w:rPr>
              <w:t>Derivative investments: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9560" w:type="dxa"/>
            <w:vAlign w:val="bottom"/>
          </w:tcPr>
          <w:p>
            <w:pPr>
              <w:ind w:left="200"/>
              <w:spacing w:after="0"/>
              <w:rPr>
                <w:sz w:val="20"/>
                <w:szCs w:val="20"/>
                <w:color w:val="auto"/>
              </w:rPr>
            </w:pPr>
            <w:r>
              <w:rPr>
                <w:rFonts w:ascii="Arial" w:cs="Arial" w:eastAsia="Arial" w:hAnsi="Arial"/>
                <w:sz w:val="14"/>
                <w:szCs w:val="14"/>
                <w:color w:val="auto"/>
              </w:rPr>
              <w:t>Call options</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332</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Futures contracts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9560" w:type="dxa"/>
            <w:vAlign w:val="bottom"/>
          </w:tcPr>
          <w:p>
            <w:pPr>
              <w:spacing w:after="0"/>
              <w:rPr>
                <w:sz w:val="20"/>
                <w:szCs w:val="20"/>
                <w:color w:val="auto"/>
              </w:rPr>
            </w:pPr>
            <w:r>
              <w:rPr>
                <w:rFonts w:ascii="Arial" w:cs="Arial" w:eastAsia="Arial" w:hAnsi="Arial"/>
                <w:sz w:val="14"/>
                <w:szCs w:val="14"/>
                <w:color w:val="auto"/>
              </w:rPr>
              <w:t>Other long-term investments: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embedded derivatives</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956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17"/>
                <w:szCs w:val="17"/>
                <w:color w:val="auto"/>
              </w:rPr>
            </w:pPr>
          </w:p>
        </w:tc>
      </w:tr>
      <w:tr>
        <w:trPr>
          <w:trHeight w:val="27"/>
        </w:trPr>
        <w:tc>
          <w:tcPr>
            <w:tcW w:w="964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96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Contractholder funds: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FIA embedded derivative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2,952</w:t>
            </w:r>
          </w:p>
        </w:tc>
        <w:tc>
          <w:tcPr>
            <w:tcW w:w="60" w:type="dxa"/>
            <w:vAlign w:val="bottom"/>
            <w:shd w:val="clear" w:color="auto" w:fill="CCEEFF"/>
          </w:tcPr>
          <w:p>
            <w:pPr>
              <w:spacing w:after="0"/>
              <w:rPr>
                <w:sz w:val="18"/>
                <w:szCs w:val="18"/>
                <w:color w:val="auto"/>
              </w:rPr>
            </w:pPr>
          </w:p>
        </w:tc>
      </w:tr>
      <w:tr>
        <w:trPr>
          <w:trHeight w:val="197"/>
        </w:trPr>
        <w:tc>
          <w:tcPr>
            <w:tcW w:w="96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 w:type="dxa"/>
            <w:vAlign w:val="bottom"/>
            <w:shd w:val="clear" w:color="auto" w:fill="CCEEFF"/>
          </w:tcPr>
          <w:p>
            <w:pPr>
              <w:spacing w:after="0"/>
              <w:rPr>
                <w:sz w:val="17"/>
                <w:szCs w:val="17"/>
                <w:color w:val="auto"/>
              </w:rPr>
            </w:pPr>
          </w:p>
        </w:tc>
        <w:tc>
          <w:tcPr>
            <w:tcW w:w="9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Reinsurance related embedded derivative</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60" w:type="dxa"/>
            <w:vAlign w:val="bottom"/>
            <w:tcBorders>
              <w:bottom w:val="single" w:sz="8" w:color="auto"/>
            </w:tcBorders>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95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2,987</w:t>
            </w:r>
          </w:p>
        </w:tc>
        <w:tc>
          <w:tcPr>
            <w:tcW w:w="60" w:type="dxa"/>
            <w:vAlign w:val="bottom"/>
          </w:tcPr>
          <w:p>
            <w:pPr>
              <w:spacing w:after="0"/>
              <w:rPr>
                <w:sz w:val="17"/>
                <w:szCs w:val="17"/>
                <w:color w:val="auto"/>
              </w:rPr>
            </w:pPr>
          </w:p>
        </w:tc>
      </w:tr>
      <w:tr>
        <w:trPr>
          <w:trHeight w:val="27"/>
        </w:trPr>
        <w:tc>
          <w:tcPr>
            <w:tcW w:w="80" w:type="dxa"/>
            <w:vAlign w:val="bottom"/>
          </w:tcPr>
          <w:p>
            <w:pPr>
              <w:spacing w:after="0"/>
              <w:rPr>
                <w:sz w:val="2"/>
                <w:szCs w:val="2"/>
                <w:color w:val="auto"/>
              </w:rPr>
            </w:pPr>
          </w:p>
        </w:tc>
        <w:tc>
          <w:tcPr>
            <w:tcW w:w="9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fair value of derivative instruments included in the accompanying unaudited Condensed Consolidated Statements of Earnings is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r>
      <w:tr>
        <w:trPr>
          <w:trHeight w:val="195"/>
        </w:trPr>
        <w:tc>
          <w:tcPr>
            <w:tcW w:w="9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June 30, 2020</w:t>
            </w:r>
          </w:p>
        </w:tc>
      </w:tr>
      <w:tr>
        <w:trPr>
          <w:trHeight w:val="183"/>
        </w:trPr>
        <w:tc>
          <w:tcPr>
            <w:tcW w:w="9840" w:type="dxa"/>
            <w:vAlign w:val="bottom"/>
          </w:tcPr>
          <w:p>
            <w:pPr>
              <w:ind w:left="20"/>
              <w:spacing w:after="0"/>
              <w:rPr>
                <w:sz w:val="20"/>
                <w:szCs w:val="20"/>
                <w:color w:val="auto"/>
              </w:rPr>
            </w:pPr>
            <w:r>
              <w:rPr>
                <w:rFonts w:ascii="Arial" w:cs="Arial" w:eastAsia="Arial" w:hAnsi="Arial"/>
                <w:sz w:val="14"/>
                <w:szCs w:val="14"/>
                <w:b w:val="1"/>
                <w:bCs w:val="1"/>
                <w:color w:val="auto"/>
              </w:rPr>
              <w:t>Net investment gains (losses):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9"/>
        </w:trPr>
        <w:tc>
          <w:tcPr>
            <w:tcW w:w="9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Call options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r>
      <w:tr>
        <w:trPr>
          <w:trHeight w:val="196"/>
        </w:trPr>
        <w:tc>
          <w:tcPr>
            <w:tcW w:w="9840" w:type="dxa"/>
            <w:vAlign w:val="bottom"/>
          </w:tcPr>
          <w:p>
            <w:pPr>
              <w:ind w:left="120"/>
              <w:spacing w:after="0"/>
              <w:rPr>
                <w:sz w:val="20"/>
                <w:szCs w:val="20"/>
                <w:color w:val="auto"/>
              </w:rPr>
            </w:pPr>
            <w:r>
              <w:rPr>
                <w:rFonts w:ascii="Arial" w:cs="Arial" w:eastAsia="Arial" w:hAnsi="Arial"/>
                <w:sz w:val="14"/>
                <w:szCs w:val="14"/>
                <w:color w:val="auto"/>
              </w:rPr>
              <w:t>Futures contracts</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9"/>
        </w:trPr>
        <w:tc>
          <w:tcPr>
            <w:tcW w:w="9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forward</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9840" w:type="dxa"/>
            <w:vAlign w:val="bottom"/>
          </w:tcPr>
          <w:p>
            <w:pPr>
              <w:ind w:left="300"/>
              <w:spacing w:after="0"/>
              <w:rPr>
                <w:sz w:val="20"/>
                <w:szCs w:val="20"/>
                <w:color w:val="auto"/>
              </w:rPr>
            </w:pPr>
            <w:r>
              <w:rPr>
                <w:rFonts w:ascii="Arial" w:cs="Arial" w:eastAsia="Arial" w:hAnsi="Arial"/>
                <w:sz w:val="14"/>
                <w:szCs w:val="14"/>
                <w:color w:val="auto"/>
              </w:rPr>
              <w:t>Other derivatives and embedded derivatives</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3"/>
        </w:trPr>
        <w:tc>
          <w:tcPr>
            <w:tcW w:w="9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Reinsurance related embedded derivatives</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02"/>
        </w:trPr>
        <w:tc>
          <w:tcPr>
            <w:tcW w:w="9840" w:type="dxa"/>
            <w:vAlign w:val="bottom"/>
          </w:tcPr>
          <w:p>
            <w:pPr>
              <w:ind w:left="20"/>
              <w:spacing w:after="0"/>
              <w:rPr>
                <w:sz w:val="20"/>
                <w:szCs w:val="20"/>
                <w:color w:val="auto"/>
              </w:rPr>
            </w:pPr>
            <w:r>
              <w:rPr>
                <w:rFonts w:ascii="Arial" w:cs="Arial" w:eastAsia="Arial" w:hAnsi="Arial"/>
                <w:sz w:val="14"/>
                <w:szCs w:val="14"/>
                <w:b w:val="1"/>
                <w:bCs w:val="1"/>
                <w:color w:val="auto"/>
              </w:rPr>
              <w:t>Total net investment losses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9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9840" w:type="dxa"/>
            <w:vAlign w:val="bottom"/>
          </w:tcPr>
          <w:p>
            <w:pPr>
              <w:ind w:left="20"/>
              <w:spacing w:after="0"/>
              <w:rPr>
                <w:sz w:val="20"/>
                <w:szCs w:val="20"/>
                <w:color w:val="auto"/>
              </w:rPr>
            </w:pPr>
            <w:r>
              <w:rPr>
                <w:rFonts w:ascii="Arial" w:cs="Arial" w:eastAsia="Arial" w:hAnsi="Arial"/>
                <w:sz w:val="14"/>
                <w:szCs w:val="14"/>
                <w:b w:val="1"/>
                <w:bCs w:val="1"/>
                <w:color w:val="auto"/>
              </w:rPr>
              <w:t>Benefits and other changes in policy reserves: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3"/>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FIA embedded derivatives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FIA Embedded Derivative and Call Options and Futures</w:t>
      </w:r>
    </w:p>
    <w:p>
      <w:pPr>
        <w:spacing w:after="0" w:line="9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E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respective anniversary dates of the index policies, the index used to compute the interest credit is reset and we purchases new one, two, three, or five year call options to fund the next 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Realized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2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exposed to credit loss in the event of non-performance by its counterparties on the call options and reflects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Information regarding our exposure to credit loss on the call options it holds as of June 30, 2020, is presented in the following table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40" w:type="dxa"/>
            <w:vAlign w:val="bottom"/>
            <w:gridSpan w:val="2"/>
          </w:tcPr>
          <w:p>
            <w:pPr>
              <w:jc w:val="center"/>
              <w:ind w:left="528"/>
              <w:spacing w:after="0" w:line="153" w:lineRule="exact"/>
              <w:rPr>
                <w:sz w:val="20"/>
                <w:szCs w:val="20"/>
                <w:color w:val="auto"/>
              </w:rPr>
            </w:pPr>
            <w:r>
              <w:rPr>
                <w:rFonts w:ascii="Arial" w:cs="Arial" w:eastAsia="Arial" w:hAnsi="Arial"/>
                <w:sz w:val="14"/>
                <w:szCs w:val="14"/>
                <w:b w:val="1"/>
                <w:bCs w:val="1"/>
                <w:color w:val="auto"/>
                <w:w w:val="97"/>
              </w:rPr>
              <w:t>Credit Rating</w:t>
            </w: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3"/>
                <w:szCs w:val="13"/>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Collateral</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Credit Risk</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5"/>
              </w:rPr>
              <w:t>(Fitch/Moody's/S&amp;P) (1)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Merrill Lynch</w:t>
            </w:r>
          </w:p>
        </w:tc>
        <w:tc>
          <w:tcPr>
            <w:tcW w:w="274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rPr>
              <w:t>AA-/*/A+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7"/>
        </w:trPr>
        <w:tc>
          <w:tcPr>
            <w:tcW w:w="3160" w:type="dxa"/>
            <w:vAlign w:val="bottom"/>
          </w:tcPr>
          <w:p>
            <w:pPr>
              <w:ind w:left="20"/>
              <w:spacing w:after="0"/>
              <w:rPr>
                <w:sz w:val="20"/>
                <w:szCs w:val="20"/>
                <w:color w:val="auto"/>
              </w:rPr>
            </w:pPr>
            <w:r>
              <w:rPr>
                <w:rFonts w:ascii="Arial" w:cs="Arial" w:eastAsia="Arial" w:hAnsi="Arial"/>
                <w:sz w:val="14"/>
                <w:szCs w:val="14"/>
                <w:color w:val="auto"/>
              </w:rPr>
              <w:t>Deutsche Bank</w:t>
            </w:r>
          </w:p>
        </w:tc>
        <w:tc>
          <w:tcPr>
            <w:tcW w:w="27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7"/>
              </w:rPr>
              <w:t>BBB/A3/BBB+</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Morgan Stanley</w:t>
            </w:r>
          </w:p>
        </w:tc>
        <w:tc>
          <w:tcPr>
            <w:tcW w:w="274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rPr>
              <w:t>*/A1/A+</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3160" w:type="dxa"/>
            <w:vAlign w:val="bottom"/>
          </w:tcPr>
          <w:p>
            <w:pPr>
              <w:ind w:left="20"/>
              <w:spacing w:after="0"/>
              <w:rPr>
                <w:sz w:val="20"/>
                <w:szCs w:val="20"/>
                <w:color w:val="auto"/>
              </w:rPr>
            </w:pPr>
            <w:r>
              <w:rPr>
                <w:rFonts w:ascii="Arial" w:cs="Arial" w:eastAsia="Arial" w:hAnsi="Arial"/>
                <w:sz w:val="14"/>
                <w:szCs w:val="14"/>
                <w:color w:val="auto"/>
              </w:rPr>
              <w:t>Barclay's Bank</w:t>
            </w:r>
          </w:p>
        </w:tc>
        <w:tc>
          <w:tcPr>
            <w:tcW w:w="27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A+/A1/A</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Imperial Bank of Commerce</w:t>
            </w:r>
          </w:p>
        </w:tc>
        <w:tc>
          <w:tcPr>
            <w:tcW w:w="274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w w:val="99"/>
              </w:rPr>
              <w:t>AA/Aa2/A+</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316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27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A+/A2/A-</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2,986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2740" w:type="dxa"/>
            <w:vAlign w:val="bottom"/>
            <w:gridSpan w:val="2"/>
            <w:shd w:val="clear" w:color="auto" w:fill="CCEEFF"/>
          </w:tcPr>
          <w:p>
            <w:pPr>
              <w:jc w:val="center"/>
              <w:ind w:left="548"/>
              <w:spacing w:after="0"/>
              <w:rPr>
                <w:sz w:val="20"/>
                <w:szCs w:val="20"/>
                <w:color w:val="auto"/>
              </w:rPr>
            </w:pPr>
            <w:r>
              <w:rPr>
                <w:rFonts w:ascii="Arial" w:cs="Arial" w:eastAsia="Arial" w:hAnsi="Arial"/>
                <w:sz w:val="14"/>
                <w:szCs w:val="14"/>
                <w:b w:val="1"/>
                <w:bCs w:val="1"/>
                <w:color w:val="auto"/>
                <w:w w:val="96"/>
              </w:rPr>
              <w:t>A/A3/BBB+</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15,020</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An * represents credit ratings that were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Agreements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is required to maintain minimum ratings as a matter of routine practice as part of its over-the-counter derivative agreements on ISDA forms. Under some ISDA agreements, the Company has agreed to maintain certain financial strength ratings. A downgrade below these levels provides the counterparty under the agreement the right to terminate the open option contracts between the parties, at which time any amounts payable by the Company or the counterparty would be dependent on the market value of the underlying option contracts. The Company's current rating doesn't allow any counterparty the right to terminate ISDA agreements. In certain transactions, the Company and the counterparty have entered into a collateral support agreement requiring either party to post collateral when the net exposures exceed pre-determined thresholds. For all counterparties, except one, this threshold is set to zero. As of June 30, 2020, counterparties posted $278 million of collateral of which $278 million is included in Cash and cash equivalents with an associated payable for this collateral included in Accounts payable and accrued liabilities on the unaudited Condensed Consolidated Balance Sheet. Accordingly, the maximum amount of loss due to credit risk that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would incur if parties to the call options failed completely to perform according to the terms of the contracts was $54 million at June 30, 2020.</w:t>
      </w:r>
    </w:p>
    <w:p>
      <w:pPr>
        <w:spacing w:after="0" w:line="144"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reinvests derivative cash collateral to reduce the interest cost. Cash collateral is invested in overnight investment sweep products which are included in Cash and cash equivalents in the accompanying unaudited Condensed Consolidated Balance Sheets.</w:t>
      </w:r>
    </w:p>
    <w:p>
      <w:pPr>
        <w:spacing w:after="0" w:line="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held 559 futures contracts at June 30, 2020. The fair value of the futures contracts represents the cumulative unsettled variation margin (open trade equity, net of cash settlements). The Company provides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$6 million at June 30, 2020.</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FGL Insurance entered into a reinsurance agreement with Kubera effective December 31, 2018, to cede certain MYGA and deferred annuity statutory reserve on a coinsurance funds withheld basis, net of applicable existing reinsurance. This arrangement creates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were passed directly to the reinsurer pursuant to contractual terms of the reinsurance arrangement. The reinsurance related embedded derivative is reported in Prepaid expenses and other assets if in a net gain position, or Accounts payable and accrued liabilities, if in a net loss position, on the unaudited Condensed Consolidated Balance Sheets and the related gains or losses are reported in Realized gains and losses, net on the unaudited Condensed Consolidated Statements of Earnings.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Notes Payable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5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196"/>
        </w:trPr>
        <w:tc>
          <w:tcPr>
            <w:tcW w:w="5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7"/>
                <w:szCs w:val="17"/>
                <w:color w:val="auto"/>
              </w:rPr>
            </w:pPr>
          </w:p>
        </w:tc>
      </w:tr>
      <w:tr>
        <w:trPr>
          <w:trHeight w:val="27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443</w:t>
            </w: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5.50%</w:t>
            </w:r>
          </w:p>
        </w:tc>
        <w:tc>
          <w:tcPr>
            <w:tcW w:w="7200" w:type="dxa"/>
            <w:vAlign w:val="bottom"/>
          </w:tcPr>
          <w:p>
            <w:pPr>
              <w:ind w:left="20"/>
              <w:spacing w:after="0"/>
              <w:rPr>
                <w:sz w:val="20"/>
                <w:szCs w:val="20"/>
                <w:color w:val="auto"/>
              </w:rPr>
            </w:pPr>
            <w:r>
              <w:rPr>
                <w:rFonts w:ascii="Arial" w:cs="Arial" w:eastAsia="Arial" w:hAnsi="Arial"/>
                <w:sz w:val="18"/>
                <w:szCs w:val="18"/>
                <w:color w:val="auto"/>
              </w:rPr>
              <w:t>Notes, net of discount</w:t>
            </w:r>
          </w:p>
        </w:tc>
        <w:tc>
          <w:tcPr>
            <w:tcW w:w="11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398</w:t>
            </w: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3.40%</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112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5.50%</w:t>
            </w:r>
          </w:p>
        </w:tc>
        <w:tc>
          <w:tcPr>
            <w:tcW w:w="7200" w:type="dxa"/>
            <w:vAlign w:val="bottom"/>
          </w:tcPr>
          <w:p>
            <w:pPr>
              <w:ind w:left="20"/>
              <w:spacing w:after="0"/>
              <w:rPr>
                <w:sz w:val="20"/>
                <w:szCs w:val="20"/>
                <w:color w:val="auto"/>
              </w:rPr>
            </w:pPr>
            <w:r>
              <w:rPr>
                <w:rFonts w:ascii="Arial" w:cs="Arial" w:eastAsia="Arial" w:hAnsi="Arial"/>
                <w:sz w:val="18"/>
                <w:szCs w:val="18"/>
                <w:color w:val="auto"/>
              </w:rPr>
              <w:t>F&amp;G Notes, net of discount</w:t>
            </w:r>
          </w:p>
        </w:tc>
        <w:tc>
          <w:tcPr>
            <w:tcW w:w="11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F&amp;G Credit Facility</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37"/>
        </w:trPr>
        <w:tc>
          <w:tcPr>
            <w:tcW w:w="5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88"/>
              </w:rPr>
              <w:t>2,430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838</w:t>
            </w:r>
          </w:p>
        </w:tc>
      </w:tr>
      <w:tr>
        <w:trPr>
          <w:trHeight w:val="27"/>
        </w:trPr>
        <w:tc>
          <w:tcPr>
            <w:tcW w:w="5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5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June 12, 2020, we completed our underwritten public offering of $650 million aggregate principal amount of the 3.40% Notes due June 15, 2030 (the “3.40% Notes”) pursuant to an effective registration statement filed with the Securities and Exchange Commission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8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On June 1, 2020, as a result of the F&amp;G acquisition, we assumed a $250 million senior unsecured revolving credit facility with a maturity date of November 30, 2020 (the “F&amp;G Credit Agreement”), originally entered into by subsidiaries of F&amp;G on November 30, 2017. The F&amp;G Credit Agreement was entered into with certain financial institutions party thereto, as lenders, and Royal Bank of Canada, as administrative agent and letter of credit issuer. Various financing options are available within the Credit Agreement, including overnight and term based borrowing. In each case, a margin is ascribed based on the Debt to Capitalization ratio of CF Bermuda Holdings Limited, a Bermuda exempted limited liability company and wholly owned direct subsidiary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7" w:name="page48"/>
    <w:bookmarkEnd w:id="47"/>
    <w:p>
      <w:pPr>
        <w:ind w:right="200"/>
        <w:spacing w:after="0" w:line="277" w:lineRule="auto"/>
        <w:rPr>
          <w:sz w:val="20"/>
          <w:szCs w:val="20"/>
          <w:color w:val="auto"/>
        </w:rPr>
      </w:pPr>
      <w:r>
        <w:rPr>
          <w:rFonts w:ascii="Arial" w:cs="Arial" w:eastAsia="Arial" w:hAnsi="Arial"/>
          <w:sz w:val="18"/>
          <w:szCs w:val="18"/>
          <w:color w:val="auto"/>
        </w:rPr>
        <w:t>of F&amp;G. The loan proceeds from the F&amp;G Credit Agreement may be used for working capital and general corporate purposes. As of June 30, 2020, there was no principal outstanding and $250 million of available borrowing capacity under the F&amp;G Credit Agreement.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June 1, 2020, as a result of the F&amp;G acquisition, we assumed $550 million aggregate principal amount of 5.50% senior notes due 2025 (the "F&amp;G Senior Notes"), originally issued on April 20, 2018 at 99.5% of face value for proceeds of $547 million.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acquisition of F&amp;G, on April 22, 2020, we entered into the Term Loan Agreement that provides for an aggregate principal borrowing of $1.0 billion with Bank of America, N.A, as the Administrative Agent, JPMorgan Chase Bank, N.A., as syndication agent, and the Term Lenders, pursuant to which the Term Lenders provided the $1.0 billion Term Loan. The Term Loan matures on April 21, 2021 and generally accrues interest based on a fluctuating rate per annum based on either (i) the base rate (which is equal to the highest of (a) the federal funds rate plus 0.5% of 1%,</w:t>
      </w:r>
    </w:p>
    <w:p>
      <w:pPr>
        <w:spacing w:after="0" w:line="1" w:lineRule="exact"/>
        <w:rPr>
          <w:sz w:val="20"/>
          <w:szCs w:val="20"/>
          <w:color w:val="auto"/>
        </w:rPr>
      </w:pPr>
    </w:p>
    <w:p>
      <w:pPr>
        <w:jc w:val="both"/>
        <w:ind w:firstLine="8"/>
        <w:spacing w:after="0" w:line="253"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Administrative Agent’s "prime rate," and (c) LIBOR plus 1% (with a floor of 1.75%)), plus a margin of between 1% and 2% depending on the FNF Debt Rating or (ii) LIBOR (with a floor of 0.75%) plus a margin of between 2% and 0.03 depending on the FNF Debt Rating. On June 1, 2020, we drew down the full $1.0 billion in aggregate principal to fund a portion of the acquisition of F&amp;G. On June 12, 2020 we repaid $640 million of principal on the Term Loan and an additional $100 million of principal on July 31, 2020.</w:t>
      </w:r>
    </w:p>
    <w:p>
      <w:pPr>
        <w:spacing w:after="0" w:line="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27, 2017, we entered into a Fourth Amended and Restated Credit Agreement that provides for our $800 million revolving credit facility (the Revolving Credit Facility) with Bank of America, N.A., as administrative agent and the other agents party thereto (the "Restated Credit Agreement").The material terms of the Restated Credit Agreement are set forth in our Annual Report for the year ended December 31, 2019. As of June 30, 2020, there was no principal outstanding, $2 million of unamortized debt issuance costs, and $800 million of available borrowing capacity under the Revolving Credit Facility.</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28, 2012, we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2020 are as follows (in millions):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860" w:type="dxa"/>
            <w:vAlign w:val="bottom"/>
          </w:tcPr>
          <w:p>
            <w:pPr>
              <w:ind w:left="20"/>
              <w:spacing w:after="0"/>
              <w:rPr>
                <w:sz w:val="20"/>
                <w:szCs w:val="20"/>
                <w:color w:val="auto"/>
              </w:rPr>
            </w:pPr>
            <w:r>
              <w:rPr>
                <w:rFonts w:ascii="Arial" w:cs="Arial" w:eastAsia="Arial" w:hAnsi="Arial"/>
                <w:sz w:val="18"/>
                <w:szCs w:val="18"/>
                <w:color w:val="auto"/>
              </w:rPr>
              <w:t>2020 (remaining)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
        </w:trPr>
        <w:tc>
          <w:tcPr>
            <w:tcW w:w="9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1,650</w:t>
            </w:r>
          </w:p>
        </w:tc>
      </w:tr>
      <w:tr>
        <w:trPr>
          <w:trHeight w:val="237"/>
        </w:trPr>
        <w:tc>
          <w:tcPr>
            <w:tcW w:w="986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2,410</w:t>
            </w:r>
          </w:p>
        </w:tc>
      </w:tr>
      <w:tr>
        <w:trPr>
          <w:trHeight w:val="27"/>
        </w:trPr>
        <w:tc>
          <w:tcPr>
            <w:tcW w:w="9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i w:val="1"/>
          <w:iCs w:val="1"/>
          <w:color w:val="auto"/>
        </w:rPr>
        <w:t xml:space="preserve">Summary of Reserve for Title Claim Losses </w:t>
      </w:r>
      <w:r>
        <w:rPr>
          <w:rFonts w:ascii="Arial" w:cs="Arial" w:eastAsia="Arial" w:hAnsi="Arial"/>
          <w:sz w:val="17"/>
          <w:szCs w:val="17"/>
          <w:color w:val="auto"/>
        </w:rPr>
        <w:t>for further discussion of claim and accrual. Additionally, like other companies, our ordinary course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$22 million as of June 30, 2020 and December 31, 2019.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 that a multiplier of 1.5, not treble, should be applied to the amount of damages, if any, proven by class members at trial, and that Plaintiffs should bear the responsibility of identifying class members and calculating damages. The Company’s requests for interlocutory appeals of both the liability and damage multiplier issues were denied. The parties reached an agreement to resolve the matter on a class wide basis, and the claims period ended with no objectors. Final judgment approving the class action settlement has been entered, and settlement payments are expected to be completed over the next 60 days. We do not believe the settlement will have a material adverse effect on our financial condition.</w:t>
      </w:r>
    </w:p>
    <w:p>
      <w:pPr>
        <w:spacing w:after="0" w:line="6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On August 4, 2020, a stockholder derivative lawsuit styled, </w:t>
      </w:r>
      <w:r>
        <w:rPr>
          <w:rFonts w:ascii="Arial" w:cs="Arial" w:eastAsia="Arial" w:hAnsi="Arial"/>
          <w:sz w:val="18"/>
          <w:szCs w:val="18"/>
          <w:i w:val="1"/>
          <w:iCs w:val="1"/>
          <w:color w:val="auto"/>
        </w:rPr>
        <w:t>City of Miami General Employees’ and Sanitation Employees’ Retirement Trust v. Fidelity</w:t>
      </w:r>
      <w:r>
        <w:rPr>
          <w:rFonts w:ascii="Arial" w:cs="Arial" w:eastAsia="Arial" w:hAnsi="Arial"/>
          <w:sz w:val="18"/>
          <w:szCs w:val="18"/>
          <w:color w:val="auto"/>
        </w:rPr>
        <w:t xml:space="preserve"> </w:t>
      </w:r>
      <w:r>
        <w:rPr>
          <w:rFonts w:ascii="Arial" w:cs="Arial" w:eastAsia="Arial" w:hAnsi="Arial"/>
          <w:sz w:val="18"/>
          <w:szCs w:val="18"/>
          <w:i w:val="1"/>
          <w:iCs w:val="1"/>
          <w:color w:val="auto"/>
        </w:rPr>
        <w:t>National Financial, et al.</w:t>
      </w:r>
      <w:r>
        <w:rPr>
          <w:rFonts w:ascii="Arial" w:cs="Arial" w:eastAsia="Arial" w:hAnsi="Arial"/>
          <w:sz w:val="18"/>
          <w:szCs w:val="18"/>
          <w:color w:val="auto"/>
        </w:rPr>
        <w:t>, was filed in the Court of Chancery of the State of Delaware against the Company, its Board of Directors and others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breach of fiduciary duties as directors and officers relating to FNF’s acquisition of F&amp;G. We will vigorously defend this matter and we do not believe the result will have a material adverse effect on our financial condition.</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Acquired Contingencies - F&amp;G</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and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35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May 26, 2020, F&amp;G received notice that Kingfishers, L.P., Kingstown Partners Master LTD, Kingstown Partners II, L.P., Kingstown 1740 Fund, L.P., and Ktown, L.P. (together "Kingstown Dissenters") were asserting their appraisal right relative to their ownership of 12 million shares of F&amp;G stock. On June 1, 2020, the date of the acquisition of F&amp;G, the Kingstown Dissenters did not receive the merger consideration. Under Cayman Companies Law, holders of F&amp;G common stock who follow applicable Cayman Companies Law procedure relating to appraisal rights are entitled, in lieu of receiving the merger consideration, to have the "fair value" of their shares determined by the Grand Court of the Cayman Islands paid to them in cash together with a fair rate of interest unless decided otherwise by the Grand Court of the Cayman Islands. We do not believe this matter will have a material impact on our results of operations. The resolution of this matter may impact our cash flow in the future if we are required to remit the entire merger consideration in cash.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 Commitments</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unfunded investment commitments as of June 30, 2020 based upon the timing of when investments are executed compared to when the actual investments are funded, as some investments require that funding occur over a period of months or years. A summary of unfunded commitments by invested asset class as of June 30, 2020 is included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June 30, 2020</w:t>
            </w:r>
          </w:p>
        </w:tc>
      </w:tr>
      <w:tr>
        <w:trPr>
          <w:trHeight w:val="183"/>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Asset Type</w:t>
            </w:r>
          </w:p>
        </w:tc>
        <w:tc>
          <w:tcPr>
            <w:tcW w:w="4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1,264</w:t>
            </w:r>
          </w:p>
        </w:tc>
      </w:tr>
      <w:tr>
        <w:trPr>
          <w:trHeight w:val="197"/>
        </w:trPr>
        <w:tc>
          <w:tcPr>
            <w:tcW w:w="886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440" w:type="dxa"/>
            <w:vAlign w:val="bottom"/>
          </w:tcPr>
          <w:p>
            <w:pPr>
              <w:spacing w:after="0"/>
              <w:rPr>
                <w:sz w:val="17"/>
                <w:szCs w:val="17"/>
                <w:color w:val="auto"/>
              </w:rPr>
            </w:pPr>
          </w:p>
        </w:tc>
        <w:tc>
          <w:tcPr>
            <w:tcW w:w="1940" w:type="dxa"/>
            <w:vAlign w:val="bottom"/>
          </w:tcPr>
          <w:p>
            <w:pPr>
              <w:jc w:val="right"/>
              <w:ind w:right="68"/>
              <w:spacing w:after="0"/>
              <w:rPr>
                <w:sz w:val="20"/>
                <w:szCs w:val="20"/>
                <w:color w:val="auto"/>
              </w:rPr>
            </w:pPr>
            <w:r>
              <w:rPr>
                <w:rFonts w:ascii="Arial" w:cs="Arial" w:eastAsia="Arial" w:hAnsi="Arial"/>
                <w:sz w:val="14"/>
                <w:szCs w:val="14"/>
                <w:color w:val="auto"/>
              </w:rPr>
              <w:t>177</w:t>
            </w:r>
          </w:p>
        </w:tc>
      </w:tr>
      <w:tr>
        <w:trPr>
          <w:trHeight w:val="208"/>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r>
      <w:tr>
        <w:trPr>
          <w:trHeight w:val="197"/>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Residential mortgage loans</w:t>
            </w:r>
          </w:p>
        </w:tc>
        <w:tc>
          <w:tcPr>
            <w:tcW w:w="4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r>
      <w:tr>
        <w:trPr>
          <w:trHeight w:val="22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1,599</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22, 2020, our Board of Directors declared cash dividends of $0.33 per share, payable on September 30, 2020, to FNF common shareholders of record as of September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J — Segment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On June 1, 2020, we completed our acquisition of F&amp;G. As a result we have a new segment as of and for the three and six month periods ended June 30, 2020, F&amp;G, which contains our fixed annuity and life insurance businesses.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color w:val="auto"/>
                <w:w w:val="84"/>
              </w:rPr>
              <w:t>Corporate and</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7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Title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F&amp;G</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color w:val="auto"/>
                <w:w w:val="92"/>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(In millions)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1,359</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747</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2,106</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2,224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2,420</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(loss) of unconsolidated affiliates</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401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38,311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48,001</w:t>
            </w:r>
          </w:p>
        </w:tc>
        <w:tc>
          <w:tcPr>
            <w:tcW w:w="0" w:type="dxa"/>
            <w:vAlign w:val="bottom"/>
          </w:tcPr>
          <w:p>
            <w:pPr>
              <w:spacing w:after="0"/>
              <w:rPr>
                <w:sz w:val="1"/>
                <w:szCs w:val="1"/>
                <w:color w:val="auto"/>
              </w:rPr>
            </w:pPr>
          </w:p>
        </w:tc>
      </w:tr>
      <w:tr>
        <w:trPr>
          <w:trHeight w:val="190"/>
        </w:trPr>
        <w:tc>
          <w:tcPr>
            <w:tcW w:w="74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1,725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4,452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1,379</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665</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2,044</w:t>
            </w:r>
          </w:p>
        </w:tc>
        <w:tc>
          <w:tcPr>
            <w:tcW w:w="0" w:type="dxa"/>
            <w:vAlign w:val="bottom"/>
          </w:tcPr>
          <w:p>
            <w:pPr>
              <w:spacing w:after="0"/>
              <w:rPr>
                <w:sz w:val="1"/>
                <w:szCs w:val="1"/>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9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2,092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2,144</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353</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9,040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10,189</w:t>
            </w:r>
          </w:p>
        </w:tc>
        <w:tc>
          <w:tcPr>
            <w:tcW w:w="0" w:type="dxa"/>
            <w:vAlign w:val="bottom"/>
          </w:tcPr>
          <w:p>
            <w:pPr>
              <w:spacing w:after="0"/>
              <w:rPr>
                <w:sz w:val="1"/>
                <w:szCs w:val="1"/>
                <w:color w:val="auto"/>
              </w:rPr>
            </w:pPr>
          </w:p>
        </w:tc>
      </w:tr>
      <w:tr>
        <w:trPr>
          <w:trHeight w:val="190"/>
        </w:trPr>
        <w:tc>
          <w:tcPr>
            <w:tcW w:w="8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2,725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1" w:name="page52"/>
    <w:bookmarkEnd w:id="51"/>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color w:val="auto"/>
                <w:w w:val="84"/>
              </w:rPr>
              <w:t>Corporate and</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7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Title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F&amp;G</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color w:val="auto"/>
                <w:w w:val="92"/>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(In millions)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2,637</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1,348</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3,985</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4,032</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(loss) of unconsolidated affiliates</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315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2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8,875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38,311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48,001</w:t>
            </w:r>
          </w:p>
        </w:tc>
        <w:tc>
          <w:tcPr>
            <w:tcW w:w="0" w:type="dxa"/>
            <w:vAlign w:val="bottom"/>
          </w:tcPr>
          <w:p>
            <w:pPr>
              <w:spacing w:after="0"/>
              <w:rPr>
                <w:sz w:val="1"/>
                <w:szCs w:val="1"/>
                <w:color w:val="auto"/>
              </w:rPr>
            </w:pPr>
          </w:p>
        </w:tc>
      </w:tr>
      <w:tr>
        <w:trPr>
          <w:trHeight w:val="190"/>
        </w:trPr>
        <w:tc>
          <w:tcPr>
            <w:tcW w:w="74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1,725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4,452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2,371</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1,199</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3,570</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3,755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3,866</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617</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466</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476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9,040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10,189</w:t>
            </w:r>
          </w:p>
        </w:tc>
        <w:tc>
          <w:tcPr>
            <w:tcW w:w="0" w:type="dxa"/>
            <w:vAlign w:val="bottom"/>
          </w:tcPr>
          <w:p>
            <w:pPr>
              <w:spacing w:after="0"/>
              <w:rPr>
                <w:sz w:val="1"/>
                <w:szCs w:val="1"/>
                <w:color w:val="auto"/>
              </w:rPr>
            </w:pPr>
          </w:p>
        </w:tc>
      </w:tr>
      <w:tr>
        <w:trPr>
          <w:trHeight w:val="191"/>
        </w:trPr>
        <w:tc>
          <w:tcPr>
            <w:tcW w:w="8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2,725</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04" w:lineRule="exact"/>
        <w:rPr>
          <w:sz w:val="20"/>
          <w:szCs w:val="20"/>
          <w:color w:val="auto"/>
        </w:rPr>
      </w:pPr>
    </w:p>
    <w:p>
      <w:pPr>
        <w:jc w:val="both"/>
        <w:ind w:left="660" w:hanging="409"/>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ind w:left="660" w:hanging="409"/>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consists of operations of our fixed annuities and life insurance related businesses. This segment issues a broad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annuities (fixed index and fixed rate annuities), immediate annuities and indexed universal life insurance.</w:t>
      </w:r>
    </w:p>
    <w:p>
      <w:pPr>
        <w:spacing w:after="0" w:line="116" w:lineRule="exact"/>
        <w:rPr>
          <w:rFonts w:ascii="Arial" w:cs="Arial" w:eastAsia="Arial" w:hAnsi="Arial"/>
          <w:sz w:val="18"/>
          <w:szCs w:val="18"/>
          <w:color w:val="auto"/>
        </w:rPr>
      </w:pPr>
    </w:p>
    <w:p>
      <w:pPr>
        <w:jc w:val="both"/>
        <w:ind w:left="660" w:hanging="409"/>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K — Supplemental Cash Flow Information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9"/>
          </w:tcPr>
          <w:p>
            <w:pPr>
              <w:jc w:val="right"/>
              <w:ind w:right="414"/>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08"/>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Cash paid for:</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gridSpan w:val="2"/>
            <w:shd w:val="clear" w:color="auto" w:fill="CCEEFF"/>
          </w:tcPr>
          <w:p>
            <w:pPr>
              <w:jc w:val="center"/>
              <w:ind w:right="3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r>
      <w:tr>
        <w:trPr>
          <w:trHeight w:val="243"/>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ind w:right="74"/>
              <w:spacing w:after="0"/>
              <w:rPr>
                <w:sz w:val="20"/>
                <w:szCs w:val="20"/>
                <w:color w:val="auto"/>
              </w:rPr>
            </w:pPr>
            <w:r>
              <w:rPr>
                <w:rFonts w:ascii="Arial" w:cs="Arial" w:eastAsia="Arial" w:hAnsi="Arial"/>
                <w:sz w:val="18"/>
                <w:szCs w:val="18"/>
                <w:color w:val="auto"/>
              </w:rPr>
              <w:t>78</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sales inducements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gridSpan w:val="2"/>
            <w:shd w:val="clear" w:color="auto" w:fill="CCEEFF"/>
          </w:tcPr>
          <w:p>
            <w:pPr>
              <w:jc w:val="center"/>
              <w:ind w:right="39"/>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w w:val="91"/>
              </w:rPr>
              <w:t>Non-cash investing and financing activities: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Equity financing associated with the acquisition of F&amp;G</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3"/>
              </w:rPr>
              <w:t>577</w:t>
            </w:r>
          </w:p>
        </w:tc>
        <w:tc>
          <w:tcPr>
            <w:tcW w:w="460" w:type="dxa"/>
            <w:vAlign w:val="bottom"/>
            <w:tcBorders>
              <w:bottom w:val="single" w:sz="8" w:color="CCEEFF"/>
            </w:tcBorders>
            <w:gridSpan w:val="2"/>
            <w:shd w:val="clear" w:color="auto" w:fill="CCEEFF"/>
          </w:tcPr>
          <w:p>
            <w:pPr>
              <w:jc w:val="center"/>
              <w:ind w:right="39"/>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5"/>
          </w:tcPr>
          <w:p>
            <w:pPr>
              <w:ind w:left="220"/>
              <w:spacing w:after="0"/>
              <w:rPr>
                <w:sz w:val="20"/>
                <w:szCs w:val="20"/>
                <w:color w:val="auto"/>
              </w:rPr>
            </w:pPr>
            <w:r>
              <w:rPr>
                <w:rFonts w:ascii="Arial" w:cs="Arial" w:eastAsia="Arial" w:hAnsi="Arial"/>
                <w:sz w:val="18"/>
                <w:szCs w:val="18"/>
                <w:color w:val="auto"/>
                <w:w w:val="91"/>
              </w:rPr>
              <w:t>Change in proceeds of sales of investments available for sale receivable in period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color w:val="auto"/>
                <w:w w:val="99"/>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ind w:right="14"/>
              <w:spacing w:after="0"/>
              <w:rPr>
                <w:sz w:val="20"/>
                <w:szCs w:val="20"/>
                <w:color w:val="auto"/>
              </w:rPr>
            </w:pPr>
            <w:r>
              <w:rPr>
                <w:rFonts w:ascii="Arial" w:cs="Arial" w:eastAsia="Arial" w:hAnsi="Arial"/>
                <w:sz w:val="18"/>
                <w:szCs w:val="18"/>
                <w:color w:val="auto"/>
              </w:rPr>
              <w:t>(6)</w:t>
            </w:r>
          </w:p>
        </w:tc>
      </w:tr>
      <w:tr>
        <w:trPr>
          <w:trHeight w:val="27"/>
        </w:trPr>
        <w:tc>
          <w:tcPr>
            <w:tcW w:w="308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6160" w:type="dxa"/>
            <w:vAlign w:val="bottom"/>
            <w:gridSpan w:val="5"/>
          </w:tcPr>
          <w:p>
            <w:pPr>
              <w:ind w:left="220"/>
              <w:spacing w:after="0"/>
              <w:rPr>
                <w:sz w:val="20"/>
                <w:szCs w:val="20"/>
                <w:color w:val="auto"/>
              </w:rPr>
            </w:pPr>
            <w:r>
              <w:rPr>
                <w:rFonts w:ascii="Arial" w:cs="Arial" w:eastAsia="Arial" w:hAnsi="Arial"/>
                <w:sz w:val="18"/>
                <w:szCs w:val="18"/>
                <w:color w:val="auto"/>
              </w:rPr>
              <w:t>Change in treasury stock purchases payable in period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15</w:t>
            </w:r>
          </w:p>
        </w:tc>
      </w:tr>
      <w:tr>
        <w:trPr>
          <w:trHeight w:val="243"/>
        </w:trPr>
        <w:tc>
          <w:tcPr>
            <w:tcW w:w="3200" w:type="dxa"/>
            <w:vAlign w:val="bottom"/>
            <w:gridSpan w:val="2"/>
          </w:tcPr>
          <w:p>
            <w:pPr>
              <w:ind w:left="220"/>
              <w:spacing w:after="0"/>
              <w:rPr>
                <w:sz w:val="20"/>
                <w:szCs w:val="20"/>
                <w:color w:val="auto"/>
              </w:rPr>
            </w:pPr>
            <w:r>
              <w:rPr>
                <w:rFonts w:ascii="Arial" w:cs="Arial" w:eastAsia="Arial" w:hAnsi="Arial"/>
                <w:sz w:val="18"/>
                <w:szCs w:val="18"/>
                <w:color w:val="auto"/>
              </w:rPr>
              <w:t>Remeasurement of lease liabilities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ind w:right="74"/>
              <w:spacing w:after="0"/>
              <w:rPr>
                <w:sz w:val="20"/>
                <w:szCs w:val="20"/>
                <w:color w:val="auto"/>
              </w:rPr>
            </w:pPr>
            <w:r>
              <w:rPr>
                <w:rFonts w:ascii="Arial" w:cs="Arial" w:eastAsia="Arial" w:hAnsi="Arial"/>
                <w:sz w:val="18"/>
                <w:szCs w:val="18"/>
                <w:color w:val="auto"/>
              </w:rPr>
              <w:t>42</w:t>
            </w:r>
          </w:p>
        </w:tc>
      </w:tr>
      <w:tr>
        <w:trPr>
          <w:trHeight w:val="83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Note L — Revenue Recognition</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1"/>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3200" w:type="dxa"/>
            <w:vAlign w:val="bottom"/>
            <w:gridSpan w:val="2"/>
          </w:tcPr>
          <w:p>
            <w:pPr>
              <w:ind w:left="340"/>
              <w:spacing w:after="0"/>
              <w:rPr>
                <w:sz w:val="20"/>
                <w:szCs w:val="20"/>
                <w:color w:val="auto"/>
              </w:rPr>
            </w:pPr>
            <w:r>
              <w:rPr>
                <w:rFonts w:ascii="Arial" w:cs="Arial" w:eastAsia="Arial" w:hAnsi="Arial"/>
                <w:sz w:val="18"/>
                <w:szCs w:val="18"/>
                <w:color w:val="auto"/>
              </w:rPr>
              <w:t>Our revenue consists of:</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4"/>
        </w:trPr>
        <w:tc>
          <w:tcPr>
            <w:tcW w:w="3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Six months ended June</w:t>
            </w: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30,</w:t>
            </w:r>
          </w:p>
        </w:tc>
      </w:tr>
      <w:tr>
        <w:trPr>
          <w:trHeight w:val="190"/>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ind w:right="21"/>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92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08"/>
        </w:trPr>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8"/>
                <w:szCs w:val="18"/>
                <w:color w:val="auto"/>
              </w:rPr>
            </w:pPr>
          </w:p>
        </w:tc>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Income Statement Classification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Total Revenue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50"/>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Revenue from insurance contracts: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6"/>
          </w:tcPr>
          <w:p>
            <w:pPr>
              <w:jc w:val="right"/>
              <w:ind w:right="299"/>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Direct title insurance premiums</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Direct title insurance premiums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4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4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1,121</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  1,065</w:t>
            </w:r>
          </w:p>
        </w:tc>
      </w:tr>
      <w:tr>
        <w:trPr>
          <w:trHeight w:val="22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Agency title insurance premiums</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Agency title insurance premiums</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1,516</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1,306</w:t>
            </w: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Life insurance premiums, insurance and</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investment product fees, and other</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7"/>
              </w:rPr>
              <w:t>F&amp;G</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w:t>
            </w:r>
          </w:p>
        </w:tc>
      </w:tr>
      <w:tr>
        <w:trPr>
          <w:trHeight w:val="22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Home warranty</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87</w:t>
            </w: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from insurance contracts</w:t>
            </w:r>
          </w:p>
        </w:tc>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1,425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2,746</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2,458</w:t>
            </w:r>
          </w:p>
        </w:tc>
      </w:tr>
      <w:tr>
        <w:trPr>
          <w:trHeight w:val="22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Revenue from contracts with customers: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Escrow fees</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402</w:t>
            </w:r>
          </w:p>
        </w:tc>
      </w:tr>
      <w:tr>
        <w:trPr>
          <w:trHeight w:val="22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Other title-related fees and income</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301</w:t>
            </w: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ServiceLink, excluding title premiums,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escrow fees, and subservicing fees</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180</w:t>
            </w:r>
          </w:p>
        </w:tc>
      </w:tr>
      <w:tr>
        <w:trPr>
          <w:trHeight w:val="22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Real estate technology</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Corporate and other</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51</w:t>
            </w: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 estate brokerage</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89"/>
              </w:rPr>
              <w:t>Corporate and other</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21</w:t>
            </w:r>
          </w:p>
        </w:tc>
      </w:tr>
      <w:tr>
        <w:trPr>
          <w:trHeight w:val="22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Corporate and other</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33</w:t>
            </w: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from contracts with</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customers</w:t>
            </w:r>
          </w:p>
        </w:tc>
        <w:tc>
          <w:tcPr>
            <w:tcW w:w="2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1,062</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988</w:t>
            </w:r>
          </w:p>
        </w:tc>
      </w:tr>
      <w:tr>
        <w:trPr>
          <w:trHeight w:val="22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Other revenue:</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Loan subservicing revenue</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Title</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124</w:t>
            </w:r>
          </w:p>
        </w:tc>
      </w:tr>
      <w:tr>
        <w:trPr>
          <w:trHeight w:val="224"/>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Interest and investment income</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Interest and investment income</w:t>
            </w: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Various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920" w:type="dxa"/>
            <w:vAlign w:val="bottom"/>
            <w:gridSpan w:val="3"/>
          </w:tcPr>
          <w:p>
            <w:pPr>
              <w:jc w:val="right"/>
              <w:ind w:right="54"/>
              <w:spacing w:after="0"/>
              <w:rPr>
                <w:sz w:val="20"/>
                <w:szCs w:val="20"/>
                <w:color w:val="auto"/>
              </w:rPr>
            </w:pPr>
            <w:r>
              <w:rPr>
                <w:rFonts w:ascii="Arial" w:cs="Arial" w:eastAsia="Arial" w:hAnsi="Arial"/>
                <w:sz w:val="16"/>
                <w:szCs w:val="16"/>
                <w:color w:val="auto"/>
              </w:rPr>
              <w:t>113</w:t>
            </w: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Realized gains and losses, net</w:t>
            </w: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Realized gains and losses, net</w:t>
            </w:r>
          </w:p>
        </w:tc>
        <w:tc>
          <w:tcPr>
            <w:tcW w:w="17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88"/>
              </w:rPr>
              <w:t>Various</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9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6"/>
                <w:szCs w:val="16"/>
                <w:color w:val="auto"/>
              </w:rPr>
              <w:t>183</w:t>
            </w:r>
          </w:p>
        </w:tc>
      </w:tr>
      <w:tr>
        <w:trPr>
          <w:trHeight w:val="247"/>
        </w:trPr>
        <w:tc>
          <w:tcPr>
            <w:tcW w:w="3200" w:type="dxa"/>
            <w:vAlign w:val="bottom"/>
            <w:gridSpan w:val="2"/>
          </w:tcPr>
          <w:p>
            <w:pPr>
              <w:ind w:left="340"/>
              <w:spacing w:after="0"/>
              <w:rPr>
                <w:sz w:val="20"/>
                <w:szCs w:val="20"/>
                <w:color w:val="auto"/>
              </w:rPr>
            </w:pPr>
            <w:r>
              <w:rPr>
                <w:rFonts w:ascii="Arial" w:cs="Arial" w:eastAsia="Arial" w:hAnsi="Arial"/>
                <w:sz w:val="16"/>
                <w:szCs w:val="16"/>
                <w:color w:val="auto"/>
              </w:rPr>
              <w:t>Total revenues</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Total revenues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2,144</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4,032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color w:val="auto"/>
              </w:rPr>
              <w:t>3,866</w:t>
            </w:r>
          </w:p>
        </w:tc>
      </w:tr>
      <w:tr>
        <w:trPr>
          <w:trHeight w:val="24"/>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53" w:name="page54"/>
    <w:bookmarkEnd w:id="53"/>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52"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Life insurance premiums in our F&amp;G segment reflect premiums for traditional life insurance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1"/>
              </w:rPr>
              <w:t>December 31, 2019</w:t>
            </w:r>
          </w:p>
        </w:tc>
      </w:tr>
      <w:tr>
        <w:trPr>
          <w:trHeight w:val="190"/>
        </w:trPr>
        <w:tc>
          <w:tcPr>
            <w:tcW w:w="6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96"/>
              </w:rPr>
              <w:t>(In millions)</w:t>
            </w:r>
          </w:p>
        </w:tc>
        <w:tc>
          <w:tcPr>
            <w:tcW w:w="1680" w:type="dxa"/>
            <w:vAlign w:val="bottom"/>
          </w:tcPr>
          <w:p>
            <w:pPr>
              <w:spacing w:after="0"/>
              <w:rPr>
                <w:sz w:val="16"/>
                <w:szCs w:val="16"/>
                <w:color w:val="auto"/>
              </w:rPr>
            </w:pPr>
          </w:p>
        </w:tc>
      </w:tr>
      <w:tr>
        <w:trPr>
          <w:trHeight w:val="255"/>
        </w:trPr>
        <w:tc>
          <w:tcPr>
            <w:tcW w:w="692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400" w:type="dxa"/>
            <w:vAlign w:val="bottom"/>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w w:val="99"/>
              </w:rPr>
              <w:t>312</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6"/>
              <w:spacing w:after="0"/>
              <w:rPr>
                <w:sz w:val="20"/>
                <w:szCs w:val="20"/>
                <w:color w:val="auto"/>
              </w:rPr>
            </w:pPr>
            <w:r>
              <w:rPr>
                <w:rFonts w:ascii="Arial" w:cs="Arial" w:eastAsia="Arial" w:hAnsi="Arial"/>
                <w:sz w:val="18"/>
                <w:szCs w:val="18"/>
                <w:color w:val="auto"/>
              </w:rPr>
              <w:t>321</w:t>
            </w:r>
          </w:p>
        </w:tc>
      </w:tr>
      <w:tr>
        <w:trPr>
          <w:trHeight w:val="27"/>
        </w:trPr>
        <w:tc>
          <w:tcPr>
            <w:tcW w:w="6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14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110</w:t>
            </w:r>
          </w:p>
        </w:tc>
        <w:tc>
          <w:tcPr>
            <w:tcW w:w="6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111</w:t>
            </w:r>
          </w:p>
        </w:tc>
      </w:tr>
      <w:tr>
        <w:trPr>
          <w:trHeight w:val="27"/>
        </w:trPr>
        <w:tc>
          <w:tcPr>
            <w:tcW w:w="69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and six months ended June 30, 2020, we recognized $35 million and $77 million of revenue, respectively, which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Intangibles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changes in the carrying amounts of the Company's VOBA, DAC and DSI intangible assets are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VOBA</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DAC</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DSI</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0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Balance at December 31, 2019</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F&amp;G acquisition</w:t>
            </w:r>
          </w:p>
        </w:tc>
        <w:tc>
          <w:tcPr>
            <w:tcW w:w="2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1,890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1,890</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Deferrals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Unlocking</w:t>
            </w:r>
          </w:p>
        </w:tc>
        <w:tc>
          <w:tcPr>
            <w:tcW w:w="2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for net unrealized investment (gains) losses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r>
      <w:tr>
        <w:trPr>
          <w:trHeight w:val="202"/>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1,789</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w:t>
            </w:r>
          </w:p>
        </w:tc>
      </w:tr>
      <w:tr>
        <w:trPr>
          <w:trHeight w:val="21"/>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Amortization of VOBA, DAC, and DSI is based on the current and future expected gross margins or profits recognized, including investment gains and losses. The interest accrual rate utilized to calculate the accretion of interest on VOBA ranged from 0% to 4.66%.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Operations. As of June 30, 2020, the VOBA balances included cumulative adjustments for net unrealized investment gains of $101 million, the DAC balances included cumulative adjustments for net unrealized investment gains of $8 million, and the DSI balance included net unrealized investment gains of $2 million.</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inforce liabilities as of June 30, 2020, the estimated amortization expense for VOBA in future fiscal periods is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Estimated Amortization</w:t>
            </w:r>
          </w:p>
        </w:tc>
      </w:tr>
      <w:tr>
        <w:trPr>
          <w:trHeight w:val="192"/>
        </w:trPr>
        <w:tc>
          <w:tcPr>
            <w:tcW w:w="9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Expense</w:t>
            </w:r>
          </w:p>
        </w:tc>
      </w:tr>
      <w:tr>
        <w:trPr>
          <w:trHeight w:val="183"/>
        </w:trPr>
        <w:tc>
          <w:tcPr>
            <w:tcW w:w="962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8"/>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r>
      <w:tr>
        <w:trPr>
          <w:trHeight w:val="197"/>
        </w:trPr>
        <w:tc>
          <w:tcPr>
            <w:tcW w:w="9620" w:type="dxa"/>
            <w:vAlign w:val="bottom"/>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191</w:t>
            </w:r>
          </w:p>
        </w:tc>
      </w:tr>
      <w:tr>
        <w:trPr>
          <w:trHeight w:val="208"/>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r>
      <w:tr>
        <w:trPr>
          <w:trHeight w:val="197"/>
        </w:trPr>
        <w:tc>
          <w:tcPr>
            <w:tcW w:w="962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212</w:t>
            </w:r>
          </w:p>
        </w:tc>
      </w:tr>
      <w:tr>
        <w:trPr>
          <w:trHeight w:val="208"/>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r>
      <w:tr>
        <w:trPr>
          <w:trHeight w:val="190"/>
        </w:trPr>
        <w:tc>
          <w:tcPr>
            <w:tcW w:w="96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968</w:t>
            </w:r>
          </w:p>
        </w:tc>
      </w:tr>
    </w:tbl>
    <w:p>
      <w:pPr>
        <w:spacing w:after="0" w:line="2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an unearned revenue liability balance of $0 as of June 30, 2020, including deferrals of $(4) million, amortization of $0, interest of $0, unlocking of $0 and adjustment for net unrealized investment gains (losses) of $4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Definite and Indefinite Lived 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as of June 30, 2020 consist of the following (in millions):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5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20"/>
                <w:szCs w:val="20"/>
                <w:color w:val="auto"/>
              </w:rPr>
            </w:pPr>
            <w:r>
              <w:rPr>
                <w:rFonts w:ascii="Arial" w:cs="Arial" w:eastAsia="Arial" w:hAnsi="Arial"/>
                <w:sz w:val="14"/>
                <w:szCs w:val="14"/>
                <w:color w:val="auto"/>
              </w:rPr>
              <w:t>Customer relationships and contracts</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198</w:t>
            </w:r>
          </w:p>
        </w:tc>
        <w:tc>
          <w:tcPr>
            <w:tcW w:w="184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Computer software</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 to 10</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20"/>
                <w:szCs w:val="20"/>
                <w:color w:val="auto"/>
              </w:rPr>
            </w:pPr>
            <w:r>
              <w:rPr>
                <w:rFonts w:ascii="Arial" w:cs="Arial" w:eastAsia="Arial" w:hAnsi="Arial"/>
                <w:sz w:val="14"/>
                <w:szCs w:val="14"/>
                <w:color w:val="auto"/>
              </w:rPr>
              <w:t>Value of Distribution Asset (VODA)</w:t>
            </w:r>
          </w:p>
        </w:tc>
        <w:tc>
          <w:tcPr>
            <w:tcW w:w="1120" w:type="dxa"/>
            <w:vAlign w:val="bottom"/>
          </w:tcPr>
          <w:p>
            <w:pPr>
              <w:spacing w:after="0"/>
              <w:rPr>
                <w:sz w:val="17"/>
                <w:szCs w:val="17"/>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184</w:t>
            </w:r>
          </w:p>
        </w:tc>
        <w:tc>
          <w:tcPr>
            <w:tcW w:w="184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Definite lived trademarks, tradenames, and other</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w:t>
            </w:r>
          </w:p>
        </w:tc>
        <w:tc>
          <w:tcPr>
            <w:tcW w:w="18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Indefinite lived tradenames and other</w:t>
            </w:r>
          </w:p>
        </w:tc>
        <w:tc>
          <w:tcPr>
            <w:tcW w:w="1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622</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Goodwill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as of December 31, 2019 and June 30, 2020 consists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F&amp;G</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Corporate and</w:t>
            </w:r>
          </w:p>
        </w:tc>
        <w:tc>
          <w:tcPr>
            <w:tcW w:w="260" w:type="dxa"/>
            <w:vAlign w:val="bottom"/>
          </w:tcPr>
          <w:p>
            <w:pPr>
              <w:spacing w:after="0"/>
              <w:rPr>
                <w:sz w:val="14"/>
                <w:szCs w:val="14"/>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Goodwill associated with the F&amp;G acquisition</w:t>
            </w:r>
          </w:p>
        </w:tc>
        <w:tc>
          <w:tcPr>
            <w:tcW w:w="26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Discontinued Operations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F&amp;G acquisition, certain third party offshore reinsurance businesses acquired were deemed discontinued operations and are presented as such within our Condensed Consolidated Statements of Earnings for the three and six months ended June 30, 2020. While these businesses will not be part of our long term operations, we have not finalized the specific manner or timing of disposal, including any continuing involvement with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P — F&amp;G Reinsurance</w:t>
      </w:r>
    </w:p>
    <w:p>
      <w:pPr>
        <w:spacing w:after="0" w:line="6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Otherwise, the deposit method of accounting is followed. F&amp;G also assumes policy risks from other insurance companies.</w:t>
      </w:r>
    </w:p>
    <w:p>
      <w:pPr>
        <w:spacing w:after="0" w:line="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 of reinsurance on net premiums earned and net benefits incurred (benefits incurred and reserve changes) for the one month ended June 30, 2020 were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One Month Ended</w:t>
            </w:r>
          </w:p>
        </w:tc>
      </w:tr>
      <w:tr>
        <w:trPr>
          <w:trHeight w:val="196"/>
        </w:trPr>
        <w:tc>
          <w:tcPr>
            <w:tcW w:w="9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 2020</w:t>
            </w:r>
          </w:p>
        </w:tc>
      </w:tr>
      <w:tr>
        <w:trPr>
          <w:trHeight w:val="152"/>
        </w:trPr>
        <w:tc>
          <w:tcPr>
            <w:tcW w:w="9140" w:type="dxa"/>
            <w:vAlign w:val="bottom"/>
          </w:tcPr>
          <w:p>
            <w:pPr>
              <w:spacing w:after="0"/>
              <w:rPr>
                <w:sz w:val="13"/>
                <w:szCs w:val="13"/>
                <w:color w:val="auto"/>
              </w:rPr>
            </w:pP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Net Premiums</w:t>
            </w:r>
          </w:p>
        </w:tc>
        <w:tc>
          <w:tcPr>
            <w:tcW w:w="100" w:type="dxa"/>
            <w:vAlign w:val="bottom"/>
          </w:tcPr>
          <w:p>
            <w:pPr>
              <w:spacing w:after="0"/>
              <w:rPr>
                <w:sz w:val="13"/>
                <w:szCs w:val="13"/>
                <w:color w:val="auto"/>
              </w:rPr>
            </w:pPr>
          </w:p>
        </w:tc>
        <w:tc>
          <w:tcPr>
            <w:tcW w:w="8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0"/>
              </w:rPr>
              <w:t>Net Benefits</w:t>
            </w:r>
          </w:p>
        </w:tc>
      </w:tr>
      <w:tr>
        <w:trPr>
          <w:trHeight w:val="192"/>
        </w:trPr>
        <w:tc>
          <w:tcPr>
            <w:tcW w:w="9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Incurred</w:t>
            </w:r>
          </w:p>
        </w:tc>
      </w:tr>
      <w:tr>
        <w:trPr>
          <w:trHeight w:val="196"/>
        </w:trPr>
        <w:tc>
          <w:tcPr>
            <w:tcW w:w="9140" w:type="dxa"/>
            <w:vAlign w:val="bottom"/>
          </w:tcPr>
          <w:p>
            <w:pPr>
              <w:ind w:left="20"/>
              <w:spacing w:after="0"/>
              <w:rPr>
                <w:sz w:val="20"/>
                <w:szCs w:val="20"/>
                <w:color w:val="auto"/>
              </w:rPr>
            </w:pPr>
            <w:r>
              <w:rPr>
                <w:rFonts w:ascii="Arial" w:cs="Arial" w:eastAsia="Arial" w:hAnsi="Arial"/>
                <w:sz w:val="14"/>
                <w:szCs w:val="14"/>
                <w:color w:val="auto"/>
              </w:rPr>
              <w:t>Direct</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155</w:t>
            </w:r>
          </w:p>
        </w:tc>
      </w:tr>
      <w:tr>
        <w:trPr>
          <w:trHeight w:val="208"/>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Ceded</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Amounts payable or recoverable for reinsurance on paid and unpaid claims are not subject to periodic or maximum limits. F&amp;G did not write off any significant reinsurance balances during the one month ended. F&amp;G did not commute any ceded reinsurance treaties during the one month ended June 30, 2020.</w:t>
      </w:r>
    </w:p>
    <w:p>
      <w:pPr>
        <w:spacing w:after="0" w:line="22" w:lineRule="exact"/>
        <w:rPr>
          <w:sz w:val="20"/>
          <w:szCs w:val="20"/>
          <w:color w:val="auto"/>
        </w:rPr>
      </w:pPr>
    </w:p>
    <w:p>
      <w:pPr>
        <w:jc w:val="both"/>
        <w:ind w:firstLine="405"/>
        <w:spacing w:after="0" w:line="299" w:lineRule="auto"/>
        <w:rPr>
          <w:sz w:val="20"/>
          <w:szCs w:val="20"/>
          <w:color w:val="auto"/>
        </w:rPr>
      </w:pPr>
      <w:r>
        <w:rPr>
          <w:rFonts w:ascii="Arial" w:cs="Arial" w:eastAsia="Arial" w:hAnsi="Arial"/>
          <w:sz w:val="16"/>
          <w:szCs w:val="16"/>
          <w:color w:val="auto"/>
        </w:rPr>
        <w:t>Following the adoption of ASC 326, we estimate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acquisition of F&amp;G, due to purchase accounting adjustments, our expected credit loss reserve was valued at $0. During the one month ended June 30, 2020, the expected credit loss reserve was increased to $22 million.</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policies issued by F&amp;G have been reinsured with any foreign company, which is controlled, either directly or indirectly, by a party not primarily engaged in the business of insurance.</w:t>
      </w:r>
    </w:p>
    <w:p>
      <w:pPr>
        <w:spacing w:after="0" w:line="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Effective January 1, 2017, FGL Insurance entered into an indemnity reinsurance agreement with Hannover Re, a third party reinsurer, to reinsure an inforce block of its FIA and fixed deferred annuity contracts with guaranteed minimum withdrawal benefits ("GMWB") and Guaranteed Minimum Death Benefit (“GMDB”) guarantees. In accordance with the terms of this agreement, FGL Insurance cedes a quota share percentage of the net retention of guarantee payments in excess of account value for GMWB and GMDB guarantees. The effects of this agreement are not accounted for as reinsurance as it does not satisfy the risk transfer requirements for GAAP, since it is not “reasonably possible” that the reinsurer may realize significant loss from assuming the insurance risk. Effective July 1, 2017, FGL Insurance extended this agreement to include new business issued during 2017. Effective January 1, 2018 FGL Insurance extended this agreement to include new business issued during 2018, and extended the recapture period from 8 to 12 years. Effective January 1, 2019, FGL Insurance extended this agreement to include new business issued during 2019. FGL Insurance incurred risk charge fees of $1.7 million during the one month ended June 30, 2020, in relation to this reinsurance agreement.</w:t>
      </w:r>
    </w:p>
    <w:p>
      <w:pPr>
        <w:spacing w:after="0" w:line="4"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color w:val="auto"/>
        </w:rPr>
        <w:t>Effective December 31, 2018, FGL Insurance entered into a reinsurance agreement with Kubera to cede approximately $758 million of certain MYGA and deferred annuity GAAP reserve on a coinsurance funds withheld basis, net of applicable existing reinsurance. In accordance with the terms of this agreement, FGL Insurance cedes a quota share percentage of MYGA and deferred annuity policies for certain issue years to Kubera. Effective June 30, 2019, FGL Insurance and Kubera executed a letter of intent to amend this agreement and cede an additional $185 million of MYGA GAAP reserves on a coinsurance funds withheld basis via a quota share percentage of certain issue years. The amended reinsurance agreement was executed on July 31, 2019.</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Effective December 31, 2018, FGL Insurance entered into a reinsurance agreement with Kubera to cede approximately $4.0 billion of certain FIA statutory reserve on a coinsurance funds withheld basis, net of applicable existing reinsurance. In accordance with the terms of this agreement, FGL Insurance cedes a quota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t>share percentage of FIA policies for certain issue years to Kubera. The effects of this agreement are not accounted for as reinsurance as it does not satisfy the risk transfer requirements for GAAP, since it is not “reasonably possible” that the reinsurer may realize significant loss from assuming the insurance risk. Effective June 30, 2019, FGL Insurance and Kubera executed a letter of intent to amend this agreement and cede an additional $1.0 billion of FIA statutory reserves on a coinsurance funds withheld basis via a quota share percentage of certain issue years. The amended reinsurance agreement was executed on July 31, 2019. The effects of the amendment are also not accounted for as reinsurance as it does not satisfy the risk transfer requirements for GAAP.</w:t>
      </w:r>
    </w:p>
    <w:p>
      <w:pPr>
        <w:spacing w:after="0" w:line="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May 1, 2020, FGL Insurance entered into an indemnity reinsurance agreement with Canada Life Assurance 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F&amp;G has a significant concentration of reinsurance risk with third party reinsurers, Wilton Reassurance Company (“Wilton Re”) and Kubera Insurance (SAC) Ltd. ("Kubera"), that could have a material impact on the Company’s financial position in the event that either Wilton Re or Kubera fail to perform their obligations under the various reinsurance treaties. Wilton Re is a wholly-owned subsidiary of Canada Pension Plan Investment Board ("CPPIB"). CPPIB has an AAA issuer credit rating from Standard &amp; Poor's Ratings Services ("S&amp;P") as of June 30, 2020. Kubera is not rated, however, management has attempted to mitigate the risk of non-performance through the funds withheld arrangement. As of June 30, 2020, the net amount recoverable from Wilton Re was $1,478 million and the net amount recoverable from Kubera was $828 million.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and Kubera for periodic treaty settlements are collectible as of June 30,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F&amp;G Insurance Subsidiary Financial Information and Regulatory Matters</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U.S. insurance subsidiaries, FGL Insurance, Fidelity &amp; Guaranty Life Insurance Company of New York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FSRC (Cayman), F&amp;G Re (Bermuda), and F&amp;G Life Re (Bermuda) file financial statements with their respective regulators that are based 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7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$57 million decrease to statutory capital and surplus at June 30, 2020.</w:t>
      </w:r>
    </w:p>
    <w:p>
      <w:pPr>
        <w:spacing w:after="0" w:line="1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FGL Insurance’s statutory carrying value of Raven Re reflects the effect of permitted practices Raven Re received to treat the available amount of a letter of credit as an admitted asset which increased Raven Re’s statutory capital and surplus by $100 million at June 30, 2020.</w:t>
      </w:r>
    </w:p>
    <w:p>
      <w:pPr>
        <w:spacing w:after="0" w:line="3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Raven Re is also permitted to follow Iowa prescribed statutory accounting practice for its reserves on reinsurance assumed from FGL Insurance which increased Raven Re’s statutory capital and surplus by $4 million at June 30, 2020. Without such permitted statutory accounting practices Raven Re’s statutory capital and surplus (deficit) would be $(11) million as of June 30, 2020, and its risk-based capital would fall below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at June 30, 2020 was $93 million.</w:t>
      </w:r>
    </w:p>
    <w:p>
      <w:pPr>
        <w:spacing w:after="0" w:line="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FGL NY Insurance did not follow any prescribed or permitted statutory accounting practices that differ from the NAIC's statutory accounting practices.</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ability of FNF to successfully integrate F&amp;G's operations and employees; the potential impact of the announcement or consummation of the F&amp;G transaction on relationships, including with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2019 and other filings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Title segment revenue is closely related to the level of real estate activity which includes sales, mortgage financing and mortgage refinancing.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 severity and duration of the negative impacts related to the outbreak of COVID-19 are not yet known, the most recent forecast of the Mortgage Bankers Association ("MBA"), as of July 15, 2020, estimates (actual for fiscal year 2019) the size of the U.S. residential mortgage originations market as shown in the following table for 2019 - 2022 in its "Mortgage Finance Forecast" (in trillions):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Refinance transactions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0.9</w:t>
            </w:r>
          </w:p>
        </w:tc>
      </w:tr>
      <w:tr>
        <w:trPr>
          <w:trHeight w:val="27"/>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total originations were reflective of a strong residential real estate market driven by increasing home prices and low mortgage interest rates. Concerns over a slowing global economy and the impact of a prolonged trade war resulted in interest rate cuts in the second half of the year which significantly increased refinance transactions and slightly increased purchase transactions when compared to 2018. Additionally, existing home sales increased in each quarter of 2019. Average interest rates on 30-year fixed rate mortgages,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averaged 4.4% in the first quarter of 2019 but subsequently decreased in the following three quarters to an average of 3.7% in the fourth quarter of 2019.</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15, 2020, the MBA expects residential purchase transactions to steadily increase in 2020 and beyond from 2019 levels. Additionally the MBA expects residential refinance transactions to increase in 2020 followed by a decrease in 2021. The MBA expects overall mortgage originations to increase in 2020 followed by a decrease in 2021.</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Through the six months ended June 30, 2020, mortgage interest rates continued to decline to below 3.50%. Concerns over a slowing global economy and the impact of a prolonged trade war, now combined with the COVID-19 pandemic sweeping the globe, have resulted in significant uncertainty in the economic outlook. However, existing-home sales climbed at a record pace of 20.7% in June 2020 over the previous month, showing strong signs of a market turnaround after three consecutive months of sales declines caused primarily by the ongoing pandemic, according to the National Association of Realtors.</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economic indicators used to measure the health of the U.S. economy, including the unemployment rate and consumer confidence, indicated that the U.S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as of June 30, 2020, the unemployment rate had risen to 11.1%. Additionally, the Conference Board's monthly Consumer Confidence Index remained at high levels through February 2020 before falling as a result of the COVID-19 outbreak. As of June 30, 2020, the Consumer Confidence Index had fallen by 26% from its February 2020 highs.</w:t>
      </w:r>
    </w:p>
    <w:p>
      <w:pPr>
        <w:spacing w:after="0" w:line="2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continued to experience strong demand in commercial real estate markets and from 2015 through the six months ended June 30, 2020, we experienced historically high volumes and fee-per-file in our commercial business. While COVID-19 will likely have an impact on the timing and volume of commercial real estate transactions in the short term as the logistics of transactions evolve and some buyers move to the sidelines until the pandemic is resolved, we believe that refinance activity will likely remain elevated in response to the recent Federal rate cuts.</w:t>
      </w:r>
    </w:p>
    <w:p>
      <w:pPr>
        <w:spacing w:after="0" w:line="50" w:lineRule="exact"/>
        <w:rPr>
          <w:sz w:val="20"/>
          <w:szCs w:val="20"/>
          <w:color w:val="auto"/>
        </w:rPr>
      </w:pPr>
    </w:p>
    <w:p>
      <w:pPr>
        <w:jc w:val="both"/>
        <w:ind w:right="20" w:firstLine="324"/>
        <w:spacing w:after="0" w:line="231" w:lineRule="auto"/>
        <w:rPr>
          <w:sz w:val="20"/>
          <w:szCs w:val="20"/>
          <w:color w:val="auto"/>
        </w:rPr>
      </w:pPr>
      <w:r>
        <w:rPr>
          <w:rFonts w:ascii="Arial" w:cs="Arial" w:eastAsia="Arial" w:hAnsi="Arial"/>
          <w:sz w:val="18"/>
          <w:szCs w:val="18"/>
          <w:color w:val="auto"/>
        </w:rPr>
        <w:t>We cannot be certain how the outbreak of COVID-19 and the steps taken to attempt to mitigate its spread will impact our future results of operations. 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returns.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risk factors related to COVID-19.</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fluctuations in the real estate industry. The first calendar quarter 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will likely deviate from historical patterns due to COVID-19.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i w:val="1"/>
          <w:iCs w:val="1"/>
          <w:color w:val="auto"/>
        </w:rPr>
        <w:t>F&amp;G</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acquired F&amp;G on June 1, 2020. 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9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II of this Quarterly Report for further discussion of risk factors that could affect market conditions.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Environment</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Some of our products include guaranteed minimum crediting rates, most notably our fixed rate annuities. As of June 30, 2020, the Company's reserves, net of reinsurance, and average crediting rate on our fixed rate annuities were $4.0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3of Part II of this Quarterly Report for a more detailed discussion of interest rate risk.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Aging of the U.S. Population</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Industry Factors and Trends Affecting Our Results of Operations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Demographics and macroeconomic factors are increasing the demand for our FIA and IUL products. Over 10,000 people will turn 65 each day in the United States over the next 15 years, and according to the U.S. Census Bureau, the proportion of the U.S. population over the age of 65 is expected to grow from 15% in 2015 to 20% in 2030.</w:t>
      </w:r>
    </w:p>
    <w:p>
      <w:pPr>
        <w:spacing w:after="0" w:line="4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 to appreciate the “sleep at night protection” that annuities such as our FIA products afford. Accordingly, the FIA market grew from nearly $12 billion of sales in 2002 to $73 billion of sales in 2019. Additionally, this market demand has positively impacted the IUL market as it has expanded from $100 million of annual premiums in 2002 to $4 billion of annual premiums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F&amp;G acquisition, we have applied the following additional critical accounting policies and estimates in preparing our Condensed Consolidated Financial Statements included in Item 1 of Part I of this Report. Other than the following additional critical accounting policies and estimates, which are further described in the Notes to our Condensed Consolidated Financial Statements included in Item 1 of Part 1 of this Quarterly Report which is incorporated by reference into this Item 2 of Part I, there have been no material changes to our critical accounting policies described in Item 7 of Part II of our Annual Report.</w:t>
      </w:r>
    </w:p>
    <w:p>
      <w:pPr>
        <w:spacing w:after="0" w:line="5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identified the following accounting policies and estimates as critical as they involve a higher degree of judgment and are subject to a significant degree of variability: valuation of AFS securities and derivatives, amortization of DAC, DSI and VOBA, reserves for future policy benefits and product guarantees and recognition of deferred income tax valuation allowances.</w:t>
      </w:r>
    </w:p>
    <w:p>
      <w:pPr>
        <w:spacing w:after="0" w:line="4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 developing these accounting estimates and policies, we make subjective and complex judgments that are inherently uncertain and subject to material changes as facts and circumstances develop. Although variability is inherent in these estimates, we believe the amounts provided are appropriate based upon the facts available upon preparation of our audited condensed consolidated financial statements. We continually update and assess the facts and circumstances regarding all of these critical accounting matters and other significant accounting matters affecting estimates in our financial statements.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AFS Securities, Derivatives and Fund withheld for reinsurance receivables</w:t>
      </w:r>
    </w:p>
    <w:p>
      <w:pPr>
        <w:spacing w:after="0" w:line="90"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Our fixed maturity securities classified as AFS are reported at fair value, with unrealized gains and losses included within AOCI, net of associated impact on intangibles adjustments, SOP 03-1 reserve adjustments, and deferred income taxes. Our equity securities are reported at fair value, with unrealized gains and losses included within net earnings (loss). Unrealized gains and losses represent the difference between the cost or amortized cost basis and the fair value of these investments. We measure the fair value of our AFS securities based on assumptions used by market participants, which may include inherent risk and restrictions on the sale or use of an asset. The estimate of fair value is the price that would be received to sell an asset in an orderly transaction between market participants (“exit price”) in the principal market, or the most advantageous market in the absence of a principal market, for that asset or liability. We utilize independent pricing services in estimating the fair values of AFS securities. The independent pricing services incorporate a variety of observable market data inputs in their valuation techniques, including reported trading prices, benchmark yields, broker-dealer quotes, benchmark securities, bids and offers, credit ratings, relative credit information and other reference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3" w:name="page64"/>
    <w:bookmarkEnd w:id="63"/>
    <w:p>
      <w:pPr>
        <w:jc w:val="both"/>
        <w:ind w:firstLine="405"/>
        <w:spacing w:after="0" w:line="257" w:lineRule="auto"/>
        <w:rPr>
          <w:sz w:val="20"/>
          <w:szCs w:val="20"/>
          <w:color w:val="auto"/>
        </w:rPr>
      </w:pPr>
      <w:r>
        <w:rPr>
          <w:rFonts w:ascii="Arial" w:cs="Arial" w:eastAsia="Arial" w:hAnsi="Arial"/>
          <w:sz w:val="18"/>
          <w:szCs w:val="18"/>
          <w:color w:val="auto"/>
        </w:rPr>
        <w:t>We categorize our AFS securities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F&amp;G's fixed maturity securities and equity securities by pricing source and hierarchy level as of June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2020</w:t>
            </w: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Quoted Prices in</w:t>
            </w:r>
          </w:p>
        </w:tc>
        <w:tc>
          <w:tcPr>
            <w:tcW w:w="240" w:type="dxa"/>
            <w:vAlign w:val="bottom"/>
          </w:tcPr>
          <w:p>
            <w:pPr>
              <w:spacing w:after="0"/>
              <w:rPr>
                <w:sz w:val="13"/>
                <w:szCs w:val="13"/>
                <w:color w:val="auto"/>
              </w:rPr>
            </w:pPr>
          </w:p>
        </w:tc>
        <w:tc>
          <w:tcPr>
            <w:tcW w:w="1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520" w:type="dxa"/>
            <w:vAlign w:val="bottom"/>
          </w:tcPr>
          <w:p>
            <w:pPr>
              <w:spacing w:after="0"/>
              <w:rPr>
                <w:sz w:val="13"/>
                <w:szCs w:val="13"/>
                <w:color w:val="auto"/>
              </w:rPr>
            </w:pPr>
          </w:p>
        </w:tc>
        <w:tc>
          <w:tcPr>
            <w:tcW w:w="148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20" w:type="dxa"/>
            <w:vAlign w:val="bottom"/>
          </w:tcPr>
          <w:p>
            <w:pPr>
              <w:spacing w:after="0"/>
              <w:rPr>
                <w:sz w:val="12"/>
                <w:szCs w:val="12"/>
                <w:color w:val="auto"/>
              </w:rPr>
            </w:pPr>
          </w:p>
        </w:tc>
        <w:tc>
          <w:tcPr>
            <w:tcW w:w="1440" w:type="dxa"/>
            <w:vAlign w:val="bottom"/>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52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6"/>
                <w:szCs w:val="16"/>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3)</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Fixed maturity securities available-for-sale and</w:t>
            </w: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equity securities:</w:t>
            </w: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Prices via third party pricing services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20,353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22,329</w:t>
            </w:r>
          </w:p>
        </w:tc>
        <w:tc>
          <w:tcPr>
            <w:tcW w:w="0" w:type="dxa"/>
            <w:vAlign w:val="bottom"/>
          </w:tcPr>
          <w:p>
            <w:pPr>
              <w:spacing w:after="0"/>
              <w:rPr>
                <w:sz w:val="1"/>
                <w:szCs w:val="1"/>
                <w:color w:val="auto"/>
              </w:rPr>
            </w:pPr>
          </w:p>
        </w:tc>
      </w:tr>
      <w:tr>
        <w:trPr>
          <w:trHeight w:val="251"/>
        </w:trPr>
        <w:tc>
          <w:tcPr>
            <w:tcW w:w="3360" w:type="dxa"/>
            <w:vAlign w:val="bottom"/>
          </w:tcPr>
          <w:p>
            <w:pPr>
              <w:ind w:left="120"/>
              <w:spacing w:after="0"/>
              <w:rPr>
                <w:sz w:val="20"/>
                <w:szCs w:val="20"/>
                <w:color w:val="auto"/>
              </w:rPr>
            </w:pPr>
            <w:r>
              <w:rPr>
                <w:rFonts w:ascii="Arial" w:cs="Arial" w:eastAsia="Arial" w:hAnsi="Arial"/>
                <w:sz w:val="14"/>
                <w:szCs w:val="14"/>
                <w:color w:val="auto"/>
              </w:rPr>
              <w:t>Priced via independent broker quotations</w:t>
            </w:r>
          </w:p>
        </w:tc>
        <w:tc>
          <w:tcPr>
            <w:tcW w:w="22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Priced via other methods</w:t>
            </w:r>
          </w:p>
        </w:tc>
        <w:tc>
          <w:tcPr>
            <w:tcW w:w="2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20,353</w:t>
            </w:r>
          </w:p>
        </w:tc>
        <w:tc>
          <w:tcPr>
            <w:tcW w:w="120" w:type="dxa"/>
            <w:vAlign w:val="bottom"/>
          </w:tcPr>
          <w:p>
            <w:pPr>
              <w:spacing w:after="0"/>
              <w:rPr>
                <w:sz w:val="21"/>
                <w:szCs w:val="21"/>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23,938</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embedded derivative:</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tcPr>
          <w:p>
            <w:pPr>
              <w:ind w:left="120"/>
              <w:spacing w:after="0"/>
              <w:rPr>
                <w:sz w:val="20"/>
                <w:szCs w:val="20"/>
                <w:color w:val="auto"/>
              </w:rPr>
            </w:pPr>
            <w:r>
              <w:rPr>
                <w:rFonts w:ascii="Arial" w:cs="Arial" w:eastAsia="Arial" w:hAnsi="Arial"/>
                <w:sz w:val="14"/>
                <w:szCs w:val="14"/>
                <w:color w:val="auto"/>
              </w:rPr>
              <w:t>Priced via other methods</w:t>
            </w:r>
          </w:p>
        </w:tc>
        <w:tc>
          <w:tcPr>
            <w:tcW w:w="22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1"/>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725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20,353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2,881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23,959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60" w:type="dxa"/>
            <w:vAlign w:val="bottom"/>
          </w:tcPr>
          <w:p>
            <w:pPr>
              <w:ind w:left="20"/>
              <w:spacing w:after="0"/>
              <w:rPr>
                <w:sz w:val="20"/>
                <w:szCs w:val="20"/>
                <w:color w:val="auto"/>
              </w:rPr>
            </w:pPr>
            <w:r>
              <w:rPr>
                <w:rFonts w:ascii="Arial" w:cs="Arial" w:eastAsia="Arial" w:hAnsi="Arial"/>
                <w:sz w:val="14"/>
                <w:szCs w:val="14"/>
                <w:color w:val="auto"/>
              </w:rPr>
              <w:t>% of Total</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Management’s assessment of all available data when determining fair value of the AFS securities is necessary to appropriately apply fair value accounting. The independent pricing services also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unaudited Condensed Consolidated Financial Statements included in Item 1 of Part I of this Report.</w:t>
      </w:r>
    </w:p>
    <w:p>
      <w:pPr>
        <w:spacing w:after="0" w:line="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fair value of derivative assets and liabilities is based upon valuation pricing models and represents what we would expect to receive or pay at the balance sheet date if we canceled the options, entered into offsetting positions, or exercised the options. Fair values for these instruments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at the balance sheet date represents the cumulative unsettled variation margin (open trade equity net of cash settlements). The fair values of the embedded derivatives in our FIA contracts are derived using market value of options, use of current and budgeted option cost, swap rates, mortality rates, surrender rates and non-performance spread and are classified as Level 3. The discount rate used to determine the fair value of our FIA embedded derivative liabilities includes an adjustment to reflect the risk that these obligations will not be fulfilled (“non-performance risk”). For the period ended June 30, 2020, our non-performance risk adjustment was based on the expected loss due 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 xml:space="preserve">default in debt obligations for similarly rated financial companies. See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F </w:t>
      </w:r>
      <w:r>
        <w:rPr>
          <w:rFonts w:ascii="Arial" w:cs="Arial" w:eastAsia="Arial" w:hAnsi="Arial"/>
          <w:sz w:val="18"/>
          <w:szCs w:val="18"/>
          <w:i w:val="1"/>
          <w:iCs w:val="1"/>
          <w:color w:val="auto"/>
        </w:rPr>
        <w:t>Derivative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to our unaudited Condensed Consolidated Financial Statements included in Item 1 of Part I of this Report.</w:t>
      </w:r>
    </w:p>
    <w:p>
      <w:pPr>
        <w:spacing w:after="0" w:line="3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As discussed in Note P to our Condensed Consolidated Financial Statements included in Item 1 of Part I of this Report, FGL Insurance entered into a reinsurance agreement with Kubera effective December 31, 2018, to cede certain multi-year guaranteed annuities ("MYGA") and deferred annuity statutory reserve on a coinsurance funds withheld basis, net of applicable existing reinsurance. This arrangement creates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 reinsurance related embedded derivative is reported in Accounts payable and accrued liabilities on the Consolidated Balance Sheets and the related gains or losses are reported in Realized gains and losses, net on the Consolidated Statements of Earnings.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Acquisition costs that are incremental, direct costs of successful contract acquisition are capitalized as DAC. DAC consists principally of commissions. Indirect or unsuccessful acquisition costs, maintenance, product development and overhead expenses are charged to expense as incurred. DSI consists of contract enhancements such as premium and interest bonuses credited to policyholder account balances.</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VOBA is an intangible asset that reflects the amount recorded as insurance contract liabilities less the estimated fair value of in-force contracts in a life insurance company acquisition. It represents the portion of the purchase price that is allocated to the value of the rights to receive future cash flows from the business in force at the acquisition date. VODA is an intangible asset that represents the value of an existing distribution network. Internally developed software and trade name intangible assets are amortized on a straight-line basis over their deemed useful lives while VODA is amortized using the sum of years digits method.</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DAC, DSI, and VOBA are subject to loss recognition testing on a quarterly basis or when an event occurs that may warrant loss recognition.</w:t>
      </w:r>
    </w:p>
    <w:p>
      <w:pPr>
        <w:spacing w:after="0" w:line="10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For annuity products and IUL, DAC, DSI and VOBA are being amortized in proportion to estimated gross profits from net investment spread margins, surrender charges and other product fees, policy benefits, maintenance expenses, mortality net of reinsurance ceded and expense margins, and recognized gains and losses on investments. Current and future period gross profits for FIA contracts also include the impact of amounts recorded for the change in fair value of derivatives and the change in fair value of embedded derivatives. At each valuation date, the most recent quarter’s estimated gross profits are updated with actual gross profits and the assumptions underlying future estimated gross profits are evaluated for continued reasonableness. If the update of assumptions causes estimated gross profits to increase, DAC, DSI and VOBA amortization will decrease, resulting in lower amortization expense in the period. The opposite result occurs when the assumption update causes estimated gross profits to decrease. Current period amortization is adjusted retrospectively through an unlocking process when estimates of current or future gross profits (including the impact of recognized investment gains and losses) to be realized from a group of products are revised. Our estimates of future gross profits are based on actuarial assumptions related to the underlying policies’ terms, lives of the policies, duration of contract, yield on investments supporting the liabilities, cost to fund policy obligations, and level of expenses necessary to maintain the polices over their entire lives.</w:t>
      </w:r>
    </w:p>
    <w:p>
      <w:pPr>
        <w:spacing w:after="0" w:line="4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Changes in assumptions can have a significant impact on DAC, DSI and VOBA, amortization rates and results of operations. Assumptions are management’s best estimate of future outcomes, and require considerable judgment. We periodically review assumptions against actual experience, and update our assumptions based on historical results and our best estimates of future experience when additional information becomes available.</w:t>
      </w:r>
    </w:p>
    <w:p>
      <w:pPr>
        <w:spacing w:after="0" w:line="30" w:lineRule="exact"/>
        <w:rPr>
          <w:sz w:val="20"/>
          <w:szCs w:val="20"/>
          <w:color w:val="auto"/>
        </w:rPr>
      </w:pPr>
    </w:p>
    <w:p>
      <w:pPr>
        <w:jc w:val="both"/>
        <w:ind w:firstLine="371"/>
        <w:spacing w:after="0" w:line="275" w:lineRule="auto"/>
        <w:rPr>
          <w:sz w:val="20"/>
          <w:szCs w:val="20"/>
          <w:color w:val="auto"/>
        </w:rPr>
      </w:pPr>
      <w:r>
        <w:rPr>
          <w:rFonts w:ascii="Arial" w:cs="Arial" w:eastAsia="Arial" w:hAnsi="Arial"/>
          <w:sz w:val="17"/>
          <w:szCs w:val="17"/>
          <w:color w:val="auto"/>
        </w:rPr>
        <w:t>Estimated future gross profits are sensitive to changes in interest rates, which are the most significant component of gross profits. Assumptions related to interest rate spreads and credit losses also impact estimated gross profits for products with credited rates. These assumptions are based on the current investment portfolio yields and credit quality, estimated future crediting rates, capital markets, and estimates of future interest rates and defaults. Significant assumptions also include policyholder behavior assumptions, such as surrender, lapse, and annuitization rates. We use a combination of actual and industry experience when setting and updating our policyholder behavior assumptions.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5" w:name="page66"/>
    <w:bookmarkEnd w:id="65"/>
    <w:p>
      <w:pPr>
        <w:jc w:val="both"/>
        <w:ind w:firstLine="445"/>
        <w:spacing w:after="0" w:line="259" w:lineRule="auto"/>
        <w:rPr>
          <w:sz w:val="20"/>
          <w:szCs w:val="20"/>
          <w:color w:val="auto"/>
        </w:rPr>
      </w:pPr>
      <w:r>
        <w:rPr>
          <w:rFonts w:ascii="Arial" w:cs="Arial" w:eastAsia="Arial" w:hAnsi="Arial"/>
          <w:sz w:val="18"/>
          <w:szCs w:val="18"/>
          <w:color w:val="auto"/>
        </w:rPr>
        <w:t>We perform sensitivity analyses to assess the impact that certain assumptions have on DAC, DSI and VOBA. The following table presents the estimated instantaneous net impact to income before income taxes of various assumption changes on our DAC, DSI and VOBA. The effects, increase or (decrease), presented are not representative of the aggregate impacts that could result if a combination of such changes to interest rates and other assumptions occurred.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As of June 30, 2020</w:t>
            </w:r>
          </w:p>
        </w:tc>
      </w:tr>
      <w:tr>
        <w:trPr>
          <w:trHeight w:val="202"/>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 change to the long-term interest rate assumption of -50 basis points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98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(1)</w:t>
            </w:r>
          </w:p>
        </w:tc>
      </w:tr>
      <w:tr>
        <w:trPr>
          <w:trHeight w:val="196"/>
        </w:trPr>
        <w:tc>
          <w:tcPr>
            <w:tcW w:w="8940" w:type="dxa"/>
            <w:vAlign w:val="bottom"/>
          </w:tcPr>
          <w:p>
            <w:pPr>
              <w:ind w:left="20"/>
              <w:spacing w:after="0"/>
              <w:rPr>
                <w:sz w:val="20"/>
                <w:szCs w:val="20"/>
                <w:color w:val="auto"/>
              </w:rPr>
            </w:pPr>
            <w:r>
              <w:rPr>
                <w:rFonts w:ascii="Arial" w:cs="Arial" w:eastAsia="Arial" w:hAnsi="Arial"/>
                <w:sz w:val="14"/>
                <w:szCs w:val="14"/>
                <w:color w:val="auto"/>
              </w:rPr>
              <w:t>A change to the long-term interest rate assumption of +50 basis points</w:t>
            </w:r>
          </w:p>
        </w:tc>
        <w:tc>
          <w:tcPr>
            <w:tcW w:w="320" w:type="dxa"/>
            <w:vAlign w:val="bottom"/>
          </w:tcPr>
          <w:p>
            <w:pPr>
              <w:spacing w:after="0"/>
              <w:rPr>
                <w:sz w:val="17"/>
                <w:szCs w:val="17"/>
                <w:color w:val="auto"/>
              </w:rPr>
            </w:pPr>
          </w:p>
        </w:tc>
        <w:tc>
          <w:tcPr>
            <w:tcW w:w="1980" w:type="dxa"/>
            <w:vAlign w:val="bottom"/>
          </w:tcPr>
          <w:p>
            <w:pPr>
              <w:ind w:left="1700"/>
              <w:spacing w:after="0"/>
              <w:rPr>
                <w:sz w:val="20"/>
                <w:szCs w:val="20"/>
                <w:color w:val="auto"/>
              </w:rPr>
            </w:pPr>
            <w:r>
              <w:rPr>
                <w:rFonts w:ascii="Arial" w:cs="Arial" w:eastAsia="Arial" w:hAnsi="Arial"/>
                <w:sz w:val="14"/>
                <w:szCs w:val="14"/>
                <w:color w:val="auto"/>
              </w:rPr>
              <w:t>—</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 assumed 10% increase in surrender rate</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w:t>
            </w:r>
          </w:p>
        </w:tc>
      </w:tr>
    </w:tbl>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Assumptions regarding shifts in market factors may be overly simplistic and not indicative of actual market behavior in stress scenarios.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Lower assumed interest rates or higher assumed annuity surrender rates tend to decrease the balances of DAC, DSI and VOBA, thus decreasing income before income taxes. Higher assumed interest rates or lower assumed annuity surrender rates tend to increase the balances of DAC, DSI and VOBA, thus increasing income before income taxes.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Reserves for Future Policy Benefits and Product Guarantees</w:t>
      </w:r>
    </w:p>
    <w:p>
      <w:pPr>
        <w:spacing w:after="0" w:line="9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determination of future policy benefit reserves is dependent on actuarial assumptions. The principal assumptions used to establish liabilities for future policy benefits are based on our experience. These assumptions are established at issue of the contract and include mortality, morbidity, contract full and partial surrenders, investment returns, annuitization rates and expenses. The assumptions used require considerable judgment. We review overall policyholder experience at least annually and update these assumptions when deemed necessary based on additional information that becomes available. For traditional life and immediate annuity products, assumptions used in the reserve calculation can only be changed if the reserve is deemed to be insufficient. For all other insurance products, changes in assumptions will be used to calculate reserves. These changes in assumptions will also incorporate changes in risk free rates and option market values. Changes in, or deviations from, the assumptions previously used can significantly affect our reserve levels and related results of operations.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Mortality is the incidence of death amongst policyholders triggering the payment of underlying insurance coverage by the insurer. In addition, mortality also refers to the ceasing of payments on life-contingent annuities due to the death of the annuitant. We utilize a combination of actual and industry experience when setting our mortality assumptions.</w:t>
      </w:r>
    </w:p>
    <w:p>
      <w:pPr>
        <w:spacing w:after="0" w:line="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 surrender rate is the percentage of account value surrendered by the policyholder. A lapse rate is the percentage of account value canceled by us due to nonpayment of premiums. We make estimates of expected full and partial surrenders of our fixed annuity products. Our surrender rate experience in the period ended June 30, 2020 on the fixed annuity products averaged 4%, which is within our assumed ranges. Management’s best estimate of surrender behavior incorporates actual experience over the entire period, as we believe that, over the duration of the policies, we will experience the full range of policyholder behavior and market conditions. If actual surrender rates are significantly different from those assumed, such differences could have a significant effect on our reserve levels and related results of operations.</w:t>
      </w:r>
    </w:p>
    <w:p>
      <w:pPr>
        <w:spacing w:after="0" w:line="4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assumptions used to establish the liabilities for our product guarantees require considerable judgment and are established as management’s best estimate of future outcomes. We periodically review these assumptions and, if necessary, update them based on additional information that becomes available. Changes in or deviations from the assumptions used can significantly affect our reserve levels and related results of operations.</w:t>
      </w:r>
    </w:p>
    <w:p>
      <w:pPr>
        <w:spacing w:after="0" w:line="2" w:lineRule="exact"/>
        <w:rPr>
          <w:sz w:val="20"/>
          <w:szCs w:val="20"/>
          <w:color w:val="auto"/>
        </w:rPr>
      </w:pPr>
    </w:p>
    <w:p>
      <w:pPr>
        <w:ind w:right="300" w:firstLine="445"/>
        <w:spacing w:after="0" w:line="271" w:lineRule="auto"/>
        <w:rPr>
          <w:sz w:val="20"/>
          <w:szCs w:val="20"/>
          <w:color w:val="auto"/>
        </w:rPr>
      </w:pPr>
      <w:r>
        <w:rPr>
          <w:rFonts w:ascii="Arial" w:cs="Arial" w:eastAsia="Arial" w:hAnsi="Arial"/>
          <w:sz w:val="16"/>
          <w:szCs w:val="16"/>
          <w:color w:val="auto"/>
        </w:rPr>
        <w:t>At issue, and at each subsequent valuation, we determine the present value of the cost of the GMWB rider benefits and certain GMDB riders in excess of benefits that are funded by the account value. We also calculate the present value of total expected policy assessments, including investment margins, if applicable. We accumulate a reserve equal to the portion of these assessments that would be required to fund the future benefits less benefits paid to date In making these projections, a number of assumptions are made and we update these assumptions as experience emerges, and determined necessary. We have minimal experience to date on policyholder behavior for our GMWB products which we began issuing in 2008. As a result, future experience could lead to significant changes in our assumptions. If emerging experience deviates from our assumptions on GMWB utilizations, such deviations could have a significant effect on our reserve levels and related results of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6" w:name="page67"/>
    <w:bookmarkEnd w:id="66"/>
    <w:p>
      <w:pPr>
        <w:jc w:val="both"/>
        <w:ind w:firstLine="445"/>
        <w:spacing w:after="0" w:line="277" w:lineRule="auto"/>
        <w:rPr>
          <w:sz w:val="20"/>
          <w:szCs w:val="20"/>
          <w:color w:val="auto"/>
        </w:rPr>
      </w:pPr>
      <w:r>
        <w:rPr>
          <w:rFonts w:ascii="Arial" w:cs="Arial" w:eastAsia="Arial" w:hAnsi="Arial"/>
          <w:sz w:val="18"/>
          <w:szCs w:val="18"/>
          <w:color w:val="auto"/>
        </w:rPr>
        <w:t>Our aggregate reserves for contractholder funds, future policy benefits and product guarantees on a direct and net basis as of June 30, 2020 are summarized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Direct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Reinsurance</w:t>
            </w:r>
          </w:p>
        </w:tc>
        <w:tc>
          <w:tcPr>
            <w:tcW w:w="280" w:type="dxa"/>
            <w:vAlign w:val="bottom"/>
          </w:tcPr>
          <w:p>
            <w:pPr>
              <w:spacing w:after="0"/>
              <w:rPr>
                <w:sz w:val="14"/>
                <w:szCs w:val="14"/>
                <w:color w:val="auto"/>
              </w:rPr>
            </w:pPr>
          </w:p>
        </w:tc>
        <w:tc>
          <w:tcPr>
            <w:tcW w:w="9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Recoverable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Fixed indexed annuities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19,099</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20"/>
                <w:szCs w:val="20"/>
                <w:color w:val="auto"/>
              </w:rPr>
            </w:pPr>
            <w:r>
              <w:rPr>
                <w:rFonts w:ascii="Arial" w:cs="Arial" w:eastAsia="Arial" w:hAnsi="Arial"/>
                <w:sz w:val="14"/>
                <w:szCs w:val="14"/>
                <w:color w:val="auto"/>
              </w:rPr>
              <w:t>Fixed rate annuities</w:t>
            </w:r>
          </w:p>
        </w:tc>
        <w:tc>
          <w:tcPr>
            <w:tcW w:w="24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Immediate annuities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20"/>
                <w:szCs w:val="20"/>
                <w:color w:val="auto"/>
              </w:rPr>
            </w:pPr>
            <w:r>
              <w:rPr>
                <w:rFonts w:ascii="Arial" w:cs="Arial" w:eastAsia="Arial" w:hAnsi="Arial"/>
                <w:sz w:val="14"/>
                <w:szCs w:val="14"/>
                <w:color w:val="auto"/>
              </w:rPr>
              <w:t>Universal life</w:t>
            </w:r>
          </w:p>
        </w:tc>
        <w:tc>
          <w:tcPr>
            <w:tcW w:w="24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Traditional life</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1,984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30,598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27,461</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Certain FIA products contain an embedded derivative; a feature that permits the holder to elect an interest rate return or an equity-index linked component, where interest credited to the contract is linked to the performance of various equity indices. The FIA embedded derivative is valued at fair value and included in the liability for contractholder funds in our Condensed Consolidated Balance Sheets with changes in fair value included as a component of Benefits and other changes in policy reserves in our Condensed Consolidated Statements of Earnings.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Income Tax Valuation Allowance</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Accounting Standards Codification section 740, Income Taxes (ASC 740), provides that deferred income tax assets are recognized for deductible temporary differences and operating loss and tax credit carry-forwards. A valuation allowance is recorded if, based on available information, it is more likely than not that deferred income tax assets will not be realized. Assessing the need for, and the amount of, a valuation allowance for deferred income tax assets requires significant judgment.</w:t>
      </w:r>
    </w:p>
    <w:p>
      <w:pPr>
        <w:spacing w:after="0" w:line="5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Future realization of deferred tax assets ultimately depends on the existence of sufficient taxable income of the appropriate character (i.e., ordinary income or capital gain) in either the carryback or carry-forward period under tax law. The four sources of taxable income that may be considered in determining whether a valuation allowance is required are:</w:t>
      </w:r>
    </w:p>
    <w:p>
      <w:pPr>
        <w:spacing w:after="0" w:line="49" w:lineRule="exact"/>
        <w:rPr>
          <w:sz w:val="20"/>
          <w:szCs w:val="20"/>
          <w:color w:val="auto"/>
        </w:rPr>
      </w:pPr>
    </w:p>
    <w:p>
      <w:pPr>
        <w:ind w:left="1100" w:hanging="201"/>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reversals of existing taxable temporary differences (i.e., offset of gross deferred tax assets against gross deferred tax liabilities);</w:t>
      </w:r>
    </w:p>
    <w:p>
      <w:pPr>
        <w:spacing w:after="0" w:line="101" w:lineRule="exact"/>
        <w:rPr>
          <w:rFonts w:ascii="Arial" w:cs="Arial" w:eastAsia="Arial" w:hAnsi="Arial"/>
          <w:sz w:val="17"/>
          <w:szCs w:val="17"/>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tax law;</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planning strategies; and</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At each reporting date, management considers evidence that could impact the future realization of deferred tax assets. As of June 30, 2020, management gathered the following evidence concerning the future realization of deferred tax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Positive Evidence:</w:t>
      </w:r>
    </w:p>
    <w:p>
      <w:pPr>
        <w:spacing w:after="0" w:line="90" w:lineRule="exact"/>
        <w:rPr>
          <w:sz w:val="20"/>
          <w:szCs w:val="20"/>
          <w:color w:val="auto"/>
        </w:rPr>
      </w:pPr>
    </w:p>
    <w:p>
      <w:pPr>
        <w:ind w:left="1100" w:hanging="20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June 30, 2020, we were in a cumulative income position based on pre-tax income over the prior 12 quarters;</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projecting pre-tax GAAP income from continuing operations;</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utilizing all significant tax attributes before they expire;</w:t>
      </w:r>
    </w:p>
    <w:p>
      <w:pPr>
        <w:spacing w:after="0" w:line="90" w:lineRule="exact"/>
        <w:rPr>
          <w:rFonts w:ascii="Arial" w:cs="Arial" w:eastAsia="Arial" w:hAnsi="Arial"/>
          <w:sz w:val="18"/>
          <w:szCs w:val="18"/>
          <w:color w:val="auto"/>
        </w:rPr>
      </w:pPr>
    </w:p>
    <w:p>
      <w:pPr>
        <w:ind w:left="1100" w:hanging="201"/>
        <w:spacing w:after="0" w:line="277" w:lineRule="auto"/>
        <w:tabs>
          <w:tab w:leader="none" w:pos="10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U.S. Life Companies, under new tax laws, net operating losses generated after December 31, 2017 can be carried forward indefinitely; and</w:t>
      </w:r>
    </w:p>
    <w:p>
      <w:pPr>
        <w:spacing w:after="0" w:line="35" w:lineRule="exact"/>
        <w:rPr>
          <w:rFonts w:ascii="Arial" w:cs="Arial" w:eastAsia="Arial" w:hAnsi="Arial"/>
          <w:sz w:val="18"/>
          <w:szCs w:val="18"/>
          <w:color w:val="auto"/>
        </w:rPr>
      </w:pPr>
    </w:p>
    <w:p>
      <w:pPr>
        <w:ind w:left="1100" w:hanging="20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net unrealized capital gains as of June 30, 2020.</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Negative Evidence:</w:t>
      </w:r>
    </w:p>
    <w:p>
      <w:pPr>
        <w:spacing w:after="0" w:line="90" w:lineRule="exact"/>
        <w:rPr>
          <w:sz w:val="20"/>
          <w:szCs w:val="20"/>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§382 limited carry-forwards reduce our ability to utilize tax attributes in future years; and</w:t>
      </w:r>
    </w:p>
    <w:p>
      <w:pPr>
        <w:spacing w:after="0" w:line="90"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Brief carryback/carry-forward period for capital losses.</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Based on management’s evaluation of the above positive and negative evidence, management concluded that a valuation allowance continues to be necessary for the deferred tax assets of the non-life insurance companies and FSRC deferred tax assets at June 30, 2020. For the period ended June 30, 2020, the valuation allowance release recorded to the income statement related to the items above was $1 million.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0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6"/>
        </w:trPr>
        <w:tc>
          <w:tcPr>
            <w:tcW w:w="6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1,065</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1,306</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Escrow, title-related and other fees</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1,199</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Realized gains and losses, net</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183</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3,866</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Benefits and other changes in policy reserves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1,277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753</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r>
      <w:tr>
        <w:trPr>
          <w:trHeight w:val="236"/>
        </w:trPr>
        <w:tc>
          <w:tcPr>
            <w:tcW w:w="622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3,249</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Earnings before income taxes and 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151</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r>
      <w:tr>
        <w:trPr>
          <w:trHeight w:val="263"/>
        </w:trPr>
        <w:tc>
          <w:tcPr>
            <w:tcW w:w="622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476</w:t>
            </w:r>
          </w:p>
        </w:tc>
      </w:tr>
      <w:tr>
        <w:trPr>
          <w:trHeight w:val="21"/>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increased by $276 million in the three months ended June 30, 2020 and increased by $166 million in the six months ended June 30, 2020 compared to the corresponding period in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increased by $43 million in the three months ended June 30, 2020 and decreased by $220 million in the six months ended June 30, 2020 compared to the corresponding period in 2019.</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streams. However, a short-term lag exists in reducing controllable fixed costs and certain fixed costs are incurred regardless of revenue levels.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Agent commissions represent the portion of premiums retained by our third-party agents pursuant to the terms of their respective agency contracts.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Income tax expense was $89 million and $86 million in the three-month periods ended June 30, 2020 and 2019, respectively and $61 million and $151 million in the six-month periods ended June 30, 2020 and 2019, respectively. Income tax expense as a percentage of earnings before income taxes was 22% and 24% in the three-month periods ended June 30, 2020 and 2019, respectively and 19% and 24% in the six-month periods ended June 30, 2020 and 2019, respectively. The decline in income tax expense as a percentage of earnings before taxes in the 2020 periods from the comparable periods in 2019 is primarily attributable to the inclusion of our F&amp;G business, which incurs minimal state taxes, and stock compensation related tax benefits recognized, partially offset by non-deductible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Title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0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62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Earnings from continuing operations, before income taxes and equity in earnings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unconsolidated affiliates</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24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Fee per file (in dollars)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$132 million, or 6%, in the three months ended June 30, 2020 and increased by $92 million, or 2%, in the six months ended June 30, 2020 from the corresponding periods in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Three months ended June 30,</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8"/>
              </w:rPr>
              <w:t>Six months ended June 30,</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7"/>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6"/>
                <w:szCs w:val="16"/>
                <w:color w:val="auto"/>
              </w:rPr>
            </w:pPr>
          </w:p>
        </w:tc>
      </w:tr>
      <w:tr>
        <w:trPr>
          <w:trHeight w:val="208"/>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 from direct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Title premiums from agency operations</w:t>
            </w:r>
          </w:p>
        </w:tc>
        <w:tc>
          <w:tcPr>
            <w:tcW w:w="200" w:type="dxa"/>
            <w:vAlign w:val="bottom"/>
          </w:tcPr>
          <w:p>
            <w:pPr>
              <w:spacing w:after="0"/>
              <w:rPr>
                <w:sz w:val="21"/>
                <w:szCs w:val="21"/>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title premiums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decreased by 1% in the three months ended June 30, 2020 as compared to the corresponding period in 2019. The decrease is comprised of a decrease in Title premiums from direct operations of $50 million, or 8%, and an increase in Title premiums from agency operations of $30 million, or 4%.</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increased by 11% in the six months ended June 30, 2020 as compared to the corresponding period in 2019. The increase is comprised of an increase in Title premiums from direct operations of $56 million, or 5%, and an increase in Title premiums from agency operations of $210 million, or 16%.</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70" w:name="page71"/>
    <w:bookmarkEnd w:id="70"/>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5940" w:type="dxa"/>
            <w:vAlign w:val="bottom"/>
          </w:tcPr>
          <w:p>
            <w:pPr>
              <w:spacing w:after="0"/>
              <w:rPr>
                <w:sz w:val="17"/>
                <w:szCs w:val="17"/>
                <w:color w:val="auto"/>
              </w:rPr>
            </w:pPr>
          </w:p>
        </w:tc>
        <w:tc>
          <w:tcPr>
            <w:tcW w:w="10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Opened title insurance orders from purchase transactions (1)</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Opened title insurance orders from refinance transactions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940" w:type="dxa"/>
            <w:vAlign w:val="bottom"/>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Closed title insurance orders from purchase transactions (1)</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Closed title insurance orders from refinance transactions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940" w:type="dxa"/>
            <w:vAlign w:val="bottom"/>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from direct operations decreased in the three months ended June 30, 2020 and increased in the six months ended June 30, 2020 as compared to the corresponding periods in 2019. The decrease in the three-month period is primarily attributable to a decline in total fee per file driven by a decline in residential purchase and commercial fee per file, partially offset by an increase in total closed order volume, driven by an increase in refinance order volume. The increase in the six month period is primarily attributable to an increase in total closed order volume, driven by an increase in refinance order volume, partially offset by a decline in total fee per file.</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experienced a decrease and an increase in closed title insurance order volumes from purchase transactions and refinance transactions, respectively, in the three and six months ended June 30, 2020 as compared to the corresponding periods in 2019. Total closed order volumes were 487,000 in the three months ended June 30, 2020 compared to 359,000 in the three months ended June 30, 2019 and 864,000 in the six months ended June 30, 2020 compared to 622,000 in the six months ended June 30, 2019. This represented an overall increase of 36% and 39% in the three and six months ended June 30, 2020, respectively, from the corresponding periods in 2019. The increase in refinance transactions in the 2020 period is primarily due to lower average interest rates when compared to the corresponding 2019 period.</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opened title insurance order volumes increased in the three and six months ended June 30, 2020, as compared to the corresponding periods in 2019. The increase in the three and six-month periods was primarily attributable to increased opened title orders from refinance transactions, partially offset by a decrease in opened title orders from purchase transactions.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average fee per file in our direct operations was $1,889 and $2,035 in the three and six months ended June 30, 2020, compared to $2,677 and $2,630 in the three and six months ended June 30, 2019, respectively. The quarter-to-date and year-to-date decrease in average fee per file reflects an increased proportion of refinance transactions relative to total closed orders compared to the corresponding prior year periods.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from agency operations increased $30 million, or 4%, in the three months ended June 30, 2020 and increased $210 million, or 16%, in the six months ended June 30, 2020 from the corresponding periods in 2019. The current trends in the agency business reflect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title-related and other fees increased by $42 million, or 7%, in the three months ended June 30, 2020 and increased by $171 million, or 16%, in the six months ended June 30, 2020 from the corresponding periods in 2019. Escrow fees, which are more closely related to our direct operations, increased by $22 million, or 9%, in the three months ended June 30, 2020 and increased by $78 million, or 19%, in the six months ended June 30, 2020, as compared to the corresponding periods in 2019. The increases in the three and six-month periods are primarily due to stronger residential refinance revenue, which has relatively higher escrow fees than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residential purchase and commercial transactions. Other fees in the Title segment, excluding escrow fees, increased by $20 million, or 5%, in the three months ended June 30, 2020 and increased by $93 million, or 13%, in the six months ended June 30, 2020 compared to the corresponding periods in 2019. The increases in Other fees in the three and six-month periods were primarily driven by an increase in revenue related to our ServiceLink business of $17 million and $65 million, respectively, compared to the corresponding periods in 2019. The remaining increase in Other Fees in the 2020 period relates to various individually immaterial items.</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decreased $13 million, or 24%, in the three months ended June 30, 2020 and decreased $13 million, or 13%, in the six months ended June 30, 2020, as compared to the corresponding periods in 2019. The decrease in the three and six-month periods was primarily driven by a decline in interest income related to the Company's tax-deferred property exchange business and decline in interest on cash and short-term investments, due to a decline in short-term rates in the 2020 periods compared to the corresponding periods in 2019.</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Realized gains and losses, net, increased $123 million in the three months ended June 30, 2020 and decreased $332 million in the six months ended June 30, 2020 from the comparable periods in 2019. The decrease in the three and six-month periods are primarily attributable to fluctuations in non-cash valuation changes on our equity and preferred security holdings.</w:t>
      </w:r>
    </w:p>
    <w:p>
      <w:pPr>
        <w:spacing w:after="0" w:line="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decreased $28 million, or 4%, in the three months ended June 30, 2020 and increased $62 million, or 5%, compared to the corresponding periods in 2019. The decrease in the three-month period is primarily attributable to decreased salaries, bonuses, and commissions in the 2020 period. The increase in the six-month period is primarily attributable to increased commissions driven by the increase in closed title order volumes in the 2020 period. Personnel costs as a percentage of total revenues from direct title premiums and escrow, title-related and other fees were 51% and 53%, respectively, for the three-month periods ended June 30, 2020 and 2019, and 53% and 56%, respectively, for the six-month periods ended June 30, 2020 and 2019. Average employee count in the Title segment was 23,373 and 23,255 in the three-month periods ended June 30, 2020 and 2019, respectively, and 23,900 and 22,712 in the six-month periods ended June 30, 2020 and 2019, respectively.</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increased by $1 million, or 0.3%, in the three months ended June 30, 2020 and increased by $66 million, or 10%, in the six months ended June 30, 2020 from the corresponding periods in 2019. Other operating expenses as a percentage of total revenue excluding agency premiums, interest and investment income, and realized gains and losses were 30% and 30% in the three months ended June 30, 2020 and 2019, respectively, and 32% and 32% in the six months ended June 30, 2020 and 2019, respectively.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has remained relatively consistent since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Borders>
              <w:bottom w:val="single" w:sz="8" w:color="auto"/>
            </w:tcBorders>
          </w:tcPr>
          <w:p>
            <w:pPr>
              <w:spacing w:after="0"/>
              <w:rPr>
                <w:sz w:val="16"/>
                <w:szCs w:val="16"/>
                <w:color w:val="auto"/>
              </w:rPr>
            </w:pPr>
          </w:p>
        </w:tc>
      </w:tr>
      <w:tr>
        <w:trPr>
          <w:trHeight w:val="196"/>
        </w:trPr>
        <w:tc>
          <w:tcPr>
            <w:tcW w:w="3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r>
      <w:tr>
        <w:trPr>
          <w:trHeight w:val="196"/>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3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retained agent premiums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claim loss provision for title insurance was $61 million and $62 million for the three-month periods ended June 30, 2020 and 2019, respectively, and $119 million and $107 million for the six-month periods ended June 30, 2020 and 2019,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F&amp;G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fixed indexed annuities (“FIAs”) provide for pre-retirement wealth accumulation and post-retirement income management. Our indexed universal life products ("IUL") provide wealth protection and transfer opportunities. Life and annuity products are primarily distributed through Independent Marketing Organizations ("IMOs") and independent insurance agents.</w:t>
      </w:r>
    </w:p>
    <w:p>
      <w:pPr>
        <w:spacing w:after="0" w:line="4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 setting the features and pricing of new FIA products relative to our targeted net margin, we take into account our expectations regarding (1) net investment spread,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Annuity and Life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Annuity and IUL sales are recorded as deposit liabilities (i.e. contractholder funds) within the Company's unaudited Condensed Consolidated Financial Statements included in Item 1 of Part I of this Report in accordance with GAAP. Management believes that presentation of sales, as measured for management purposes, enhances the understanding of our business and helps depict longer term trends that may not be apparent in the results of operations due to the timing of sales and revenue recognition. Sales of annuities and IULs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Annuity Sales</w:t>
            </w:r>
          </w:p>
        </w:tc>
        <w:tc>
          <w:tcPr>
            <w:tcW w:w="34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IUL Sales</w:t>
            </w: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84"/>
              </w:rPr>
              <w:t>2020</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89"/>
              </w:rPr>
              <w:t>2020</w:t>
            </w:r>
          </w:p>
        </w:tc>
        <w:tc>
          <w:tcPr>
            <w:tcW w:w="500" w:type="dxa"/>
            <w:vAlign w:val="bottom"/>
          </w:tcPr>
          <w:p>
            <w:pPr>
              <w:spacing w:after="0"/>
              <w:rPr>
                <w:sz w:val="17"/>
                <w:szCs w:val="17"/>
                <w:color w:val="auto"/>
              </w:rPr>
            </w:pPr>
          </w:p>
        </w:tc>
      </w:tr>
      <w:tr>
        <w:trPr>
          <w:trHeight w:val="48"/>
        </w:trPr>
        <w:tc>
          <w:tcPr>
            <w:tcW w:w="518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One month ended June 30, 2020</w:t>
            </w:r>
          </w:p>
        </w:tc>
        <w:tc>
          <w:tcPr>
            <w:tcW w:w="3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258</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Historical Results of Operations</w:t>
      </w:r>
    </w:p>
    <w:p>
      <w:pPr>
        <w:spacing w:after="0" w:line="13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Under U.S. GAAP, premium collections for fixed indexed annuities, fixed rate annuities, and immediate annuities without life contingency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Through our insurance subsidiaries, we issue a broad portfolio of deferred annuities (fixed indexed and fixed rate annuities), indexed universal life insurance and immediate annuities.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FIAs or IULs. We analyze returns on average assets under management ("AAUM") pre- and post-DAC, DSI and VOBA as well as pre-and post-tax to measure our profitability in terms of growth and improved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are included herein.</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Earnings is a non-GAAP economic measure we use to evaluate financial performance each period. Adjusted earnings is calculated by adjusting net earnings (loss) from continuing operations to eliminate:</w:t>
      </w:r>
    </w:p>
    <w:p>
      <w:pPr>
        <w:spacing w:after="0" w:line="35" w:lineRule="exact"/>
        <w:rPr>
          <w:sz w:val="20"/>
          <w:szCs w:val="20"/>
          <w:color w:val="auto"/>
        </w:rPr>
      </w:pPr>
    </w:p>
    <w:p>
      <w:pPr>
        <w:jc w:val="both"/>
        <w:ind w:firstLine="8"/>
        <w:spacing w:after="0" w:line="255" w:lineRule="auto"/>
        <w:tabs>
          <w:tab w:leader="none" w:pos="2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 w:lineRule="exact"/>
        <w:rPr>
          <w:rFonts w:ascii="Arial" w:cs="Arial" w:eastAsia="Arial" w:hAnsi="Arial"/>
          <w:sz w:val="18"/>
          <w:szCs w:val="18"/>
          <w:color w:val="auto"/>
        </w:rPr>
      </w:pPr>
    </w:p>
    <w:p>
      <w:pPr>
        <w:ind w:firstLine="8"/>
        <w:spacing w:after="0" w:line="265" w:lineRule="auto"/>
        <w:tabs>
          <w:tab w:leader="none" w:pos="2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Indexed product related derivatives: the impacts related to changes in the fair values, including both realized and unrealized gains and losses of index product related derivatives and embedded derivatives, net of hedging cost, and the fair value accounting impacts of assumed reinsurance,</w:t>
      </w:r>
    </w:p>
    <w:p>
      <w:pPr>
        <w:ind w:firstLine="8"/>
        <w:spacing w:after="0" w:line="250" w:lineRule="auto"/>
        <w:tabs>
          <w:tab w:leader="none" w:pos="3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price amortization: the impacts related to the amortization of certain intangibles (internally developed software, trademarks and value of distribution asset (VODA)) recognized as a result of acquisition activities, and</w:t>
      </w: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 costs: the impacts related to acquisition, integration and merger related items.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Adjustments to adjusted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2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Adjusted earnings should not be used as a substitute for net earnings (loss). However, we believe the adjustments made to net earnings (loss) in order to derive adjusted earnings provide an understanding of our overall results of operations. For example, we could have strong operating results in a given period, yet report net income that is materially less, if during such period the fair value of our derivative assets hedging the FIA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FIA index credits with a combination of static and dynamic strategies, which can result in earnings volatility, the effects of which are generally likely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4" w:name="page75"/>
    <w:bookmarkEnd w:id="74"/>
    <w:p>
      <w:pPr>
        <w:jc w:val="both"/>
        <w:ind w:right="20"/>
        <w:spacing w:after="0" w:line="311" w:lineRule="auto"/>
        <w:rPr>
          <w:sz w:val="20"/>
          <w:szCs w:val="20"/>
          <w:color w:val="auto"/>
        </w:rPr>
      </w:pPr>
      <w:r>
        <w:rPr>
          <w:rFonts w:ascii="Arial" w:cs="Arial" w:eastAsia="Arial" w:hAnsi="Arial"/>
          <w:sz w:val="16"/>
          <w:szCs w:val="16"/>
          <w:color w:val="auto"/>
        </w:rPr>
        <w:t>reverse over time. Our management and board of directors review Adjusted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Amounts attributable to the fair value accounting for derivatives hedging the FIA index credits and the related embedded derivative liability fluctuate from period to period based upon changes in the fair values of call options purchased to fund the annual index credits for FIAs,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earnings.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AAUM is a non-GAAP measure we use to assess the rate of return on assets available for reinvestment. AAUM is calculated as the sum of:</w:t>
      </w:r>
    </w:p>
    <w:p>
      <w:pPr>
        <w:spacing w:after="0" w:line="102" w:lineRule="exact"/>
        <w:rPr>
          <w:sz w:val="20"/>
          <w:szCs w:val="20"/>
          <w:color w:val="auto"/>
        </w:rPr>
      </w:pPr>
    </w:p>
    <w:p>
      <w:pPr>
        <w:ind w:left="620" w:hanging="20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w:t>
      </w:r>
    </w:p>
    <w:p>
      <w:pPr>
        <w:spacing w:after="0" w:line="90" w:lineRule="exact"/>
        <w:rPr>
          <w:rFonts w:ascii="Arial" w:cs="Arial" w:eastAsia="Arial" w:hAnsi="Arial"/>
          <w:sz w:val="18"/>
          <w:szCs w:val="18"/>
          <w:color w:val="auto"/>
        </w:rPr>
      </w:pPr>
    </w:p>
    <w:p>
      <w:pPr>
        <w:ind w:left="680" w:hanging="267"/>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90"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90"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funds withheld at fair value;</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90" w:lineRule="exact"/>
        <w:rPr>
          <w:sz w:val="20"/>
          <w:szCs w:val="20"/>
          <w:color w:val="auto"/>
        </w:rPr>
      </w:pPr>
    </w:p>
    <w:p>
      <w:pPr>
        <w:ind w:left="420" w:hanging="7"/>
        <w:spacing w:after="0" w:line="277" w:lineRule="auto"/>
        <w:tabs>
          <w:tab w:leader="none" w:pos="7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 at the beginning of the period and the end of each month in the period, divided by the total number of months in the period plus one.</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F&amp;G Results of Operations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results of operations of our F&amp;G segment for the period presented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One Month Ended</w:t>
            </w:r>
          </w:p>
        </w:tc>
        <w:tc>
          <w:tcPr>
            <w:tcW w:w="0" w:type="dxa"/>
            <w:vAlign w:val="bottom"/>
          </w:tcPr>
          <w:p>
            <w:pPr>
              <w:spacing w:after="0"/>
              <w:rPr>
                <w:sz w:val="1"/>
                <w:szCs w:val="1"/>
                <w:color w:val="auto"/>
              </w:rPr>
            </w:pPr>
          </w:p>
        </w:tc>
      </w:tr>
      <w:tr>
        <w:trPr>
          <w:trHeight w:val="183"/>
        </w:trPr>
        <w:tc>
          <w:tcPr>
            <w:tcW w:w="9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June 30, 2020</w:t>
            </w: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40" w:type="dxa"/>
            <w:vAlign w:val="bottom"/>
          </w:tcPr>
          <w:p>
            <w:pPr>
              <w:ind w:left="20"/>
              <w:spacing w:after="0"/>
              <w:rPr>
                <w:sz w:val="20"/>
                <w:szCs w:val="20"/>
                <w:color w:val="auto"/>
              </w:rPr>
            </w:pPr>
            <w:r>
              <w:rPr>
                <w:rFonts w:ascii="Arial" w:cs="Arial" w:eastAsia="Arial" w:hAnsi="Arial"/>
                <w:sz w:val="14"/>
                <w:szCs w:val="14"/>
                <w:color w:val="auto"/>
              </w:rPr>
              <w:t>Life insurance premiums and other fees (a)</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investment income</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6"/>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Realized gains and losses, net</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2"/>
        </w:trPr>
        <w:tc>
          <w:tcPr>
            <w:tcW w:w="93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7"/>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and other changes in policy reserves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7"/>
        </w:trPr>
        <w:tc>
          <w:tcPr>
            <w:tcW w:w="9340" w:type="dxa"/>
            <w:vAlign w:val="bottom"/>
          </w:tcPr>
          <w:p>
            <w:pPr>
              <w:ind w:left="20"/>
              <w:spacing w:after="0"/>
              <w:rPr>
                <w:sz w:val="20"/>
                <w:szCs w:val="20"/>
                <w:color w:val="auto"/>
              </w:rPr>
            </w:pPr>
            <w:r>
              <w:rPr>
                <w:rFonts w:ascii="Arial" w:cs="Arial" w:eastAsia="Arial" w:hAnsi="Arial"/>
                <w:sz w:val="14"/>
                <w:szCs w:val="14"/>
                <w:color w:val="auto"/>
              </w:rPr>
              <w:t>Personnel costs</w:t>
            </w:r>
          </w:p>
        </w:tc>
        <w:tc>
          <w:tcPr>
            <w:tcW w:w="280" w:type="dxa"/>
            <w:vAlign w:val="bottom"/>
          </w:tcPr>
          <w:p>
            <w:pPr>
              <w:spacing w:after="0"/>
              <w:rPr>
                <w:sz w:val="17"/>
                <w:szCs w:val="17"/>
                <w:color w:val="auto"/>
              </w:rPr>
            </w:pP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operating expenses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93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0"/>
        </w:trPr>
        <w:tc>
          <w:tcPr>
            <w:tcW w:w="9340" w:type="dxa"/>
            <w:vAlign w:val="bottom"/>
          </w:tcPr>
          <w:p>
            <w:pPr>
              <w:ind w:left="6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Pr>
          <w:p>
            <w:pPr>
              <w:spacing w:after="0"/>
              <w:rPr>
                <w:sz w:val="16"/>
                <w:szCs w:val="16"/>
                <w:color w:val="auto"/>
              </w:rPr>
            </w:pP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22"/>
        </w:trPr>
        <w:tc>
          <w:tcPr>
            <w:tcW w:w="9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3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Pre-tax loss from continuing operations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6"/>
        </w:trPr>
        <w:tc>
          <w:tcPr>
            <w:tcW w:w="93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Federal income tax benefit</w:t>
            </w:r>
          </w:p>
        </w:tc>
        <w:tc>
          <w:tcPr>
            <w:tcW w:w="28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jc w:val="right"/>
              <w:ind w:right="6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9"/>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from continuing operations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9340" w:type="dxa"/>
            <w:vAlign w:val="bottom"/>
          </w:tcPr>
          <w:p>
            <w:pPr>
              <w:ind w:left="460"/>
              <w:spacing w:after="0"/>
              <w:rPr>
                <w:sz w:val="20"/>
                <w:szCs w:val="20"/>
                <w:color w:val="auto"/>
              </w:rPr>
            </w:pPr>
            <w:r>
              <w:rPr>
                <w:rFonts w:ascii="Arial" w:cs="Arial" w:eastAsia="Arial" w:hAnsi="Arial"/>
                <w:sz w:val="14"/>
                <w:szCs w:val="14"/>
                <w:b w:val="1"/>
                <w:bCs w:val="1"/>
                <w:color w:val="auto"/>
              </w:rPr>
              <w:t>Net loss attributable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
        </w:trPr>
        <w:tc>
          <w:tcPr>
            <w:tcW w:w="9340" w:type="dxa"/>
            <w:vAlign w:val="bottom"/>
            <w:vMerge w:val="restart"/>
          </w:tcPr>
          <w:p>
            <w:pPr>
              <w:ind w:left="20"/>
              <w:spacing w:after="0"/>
              <w:rPr>
                <w:sz w:val="20"/>
                <w:szCs w:val="20"/>
                <w:color w:val="auto"/>
              </w:rPr>
            </w:pPr>
            <w:r>
              <w:rPr>
                <w:rFonts w:ascii="Arial" w:cs="Arial" w:eastAsia="Arial" w:hAnsi="Arial"/>
                <w:sz w:val="14"/>
                <w:szCs w:val="14"/>
                <w:color w:val="auto"/>
              </w:rPr>
              <w:t>(a) Included within Escrow, title-related and other fees in Condensed Consolidated Statements of Earnings</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9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sales by product type of our F&amp;G segment for the period presented (in millions):</w:t>
      </w:r>
    </w:p>
    <w:p>
      <w:pPr>
        <w:spacing w:after="0" w:line="194"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One Month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19685</wp:posOffset>
            </wp:positionV>
            <wp:extent cx="12255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3"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19685</wp:posOffset>
            </wp:positionV>
            <wp:extent cx="1225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Fixed index annuities ("FIA")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Fixed rate annuities ("MYGA")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Institutional spread based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annuity</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Index universal life ("IUL")</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Flow reinsurance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244</w:t>
            </w:r>
          </w:p>
        </w:tc>
      </w:tr>
      <w:tr>
        <w:trPr>
          <w:trHeight w:val="203"/>
        </w:trPr>
        <w:tc>
          <w:tcPr>
            <w:tcW w:w="8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08"/>
        </w:trPr>
        <w:tc>
          <w:tcPr>
            <w:tcW w:w="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w:t>
            </w:r>
          </w:p>
        </w:tc>
      </w:tr>
      <w:tr>
        <w:trPr>
          <w:trHeight w:val="393"/>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473"/>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-5899785</wp:posOffset>
            </wp:positionH>
            <wp:positionV relativeFrom="paragraph">
              <wp:posOffset>-951865</wp:posOffset>
            </wp:positionV>
            <wp:extent cx="71323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-694690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-420370</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-120015</wp:posOffset>
            </wp:positionV>
            <wp:extent cx="7132320"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580" w:space="720"/>
            <w:col w:w="1940"/>
          </w:cols>
          <w:pgMar w:left="320" w:top="1097" w:right="339" w:bottom="1440" w:gutter="0" w:footer="0" w:header="0"/>
          <w:type w:val="continuous"/>
        </w:sect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FIA sales during the one month ended June 30, 2020 reflect disciplined pricing to achieve profit and capital targets and reflect our growth strategy.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MYGA sales during the one month ended June 30, 2020 were driven lower by interest rates in the current year.</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Institutional spread based products reflect funding agreements with Federal Home Loan Bank, under an investment strategy that is subject to fluctuation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premiums and other fees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Life insurance premiums and other fees primarily reflect insurance premiums for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for the period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7"/>
              </w:rPr>
              <w:t>One Month Ended</w:t>
            </w:r>
          </w:p>
        </w:tc>
      </w:tr>
      <w:tr>
        <w:trPr>
          <w:trHeight w:val="182"/>
        </w:trPr>
        <w:tc>
          <w:tcPr>
            <w:tcW w:w="9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June 30, 2020</w:t>
            </w:r>
          </w:p>
        </w:tc>
      </w:tr>
      <w:tr>
        <w:trPr>
          <w:trHeight w:val="196"/>
        </w:trPr>
        <w:tc>
          <w:tcPr>
            <w:tcW w:w="9700" w:type="dxa"/>
            <w:vAlign w:val="bottom"/>
          </w:tcPr>
          <w:p>
            <w:pPr>
              <w:ind w:left="20"/>
              <w:spacing w:after="0"/>
              <w:rPr>
                <w:sz w:val="20"/>
                <w:szCs w:val="20"/>
                <w:color w:val="auto"/>
              </w:rPr>
            </w:pPr>
            <w:r>
              <w:rPr>
                <w:rFonts w:ascii="Arial" w:cs="Arial" w:eastAsia="Arial" w:hAnsi="Arial"/>
                <w:sz w:val="14"/>
                <w:szCs w:val="14"/>
                <w:color w:val="auto"/>
              </w:rPr>
              <w:t>Traditional life insurance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2</w:t>
            </w:r>
          </w:p>
        </w:tc>
      </w:tr>
      <w:tr>
        <w:trPr>
          <w:trHeight w:val="209"/>
        </w:trPr>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Life-contingent immediate annuity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r>
      <w:tr>
        <w:trPr>
          <w:trHeight w:val="251"/>
        </w:trPr>
        <w:tc>
          <w:tcPr>
            <w:tcW w:w="9700" w:type="dxa"/>
            <w:vAlign w:val="bottom"/>
          </w:tcPr>
          <w:p>
            <w:pPr>
              <w:ind w:left="20"/>
              <w:spacing w:after="0"/>
              <w:rPr>
                <w:sz w:val="20"/>
                <w:szCs w:val="20"/>
                <w:color w:val="auto"/>
              </w:rPr>
            </w:pPr>
            <w:r>
              <w:rPr>
                <w:rFonts w:ascii="Arial" w:cs="Arial" w:eastAsia="Arial" w:hAnsi="Arial"/>
                <w:sz w:val="14"/>
                <w:szCs w:val="14"/>
                <w:color w:val="auto"/>
              </w:rPr>
              <w:t>Surrender charges</w:t>
            </w:r>
          </w:p>
        </w:tc>
        <w:tc>
          <w:tcPr>
            <w:tcW w:w="180" w:type="dxa"/>
            <w:vAlign w:val="bottom"/>
          </w:tcPr>
          <w:p>
            <w:pPr>
              <w:spacing w:after="0"/>
              <w:rPr>
                <w:sz w:val="21"/>
                <w:szCs w:val="21"/>
                <w:color w:val="auto"/>
              </w:rPr>
            </w:pPr>
          </w:p>
        </w:tc>
        <w:tc>
          <w:tcPr>
            <w:tcW w:w="1360" w:type="dxa"/>
            <w:vAlign w:val="bottom"/>
          </w:tcPr>
          <w:p>
            <w:pPr>
              <w:jc w:val="right"/>
              <w:ind w:right="69"/>
              <w:spacing w:after="0"/>
              <w:rPr>
                <w:sz w:val="20"/>
                <w:szCs w:val="20"/>
                <w:color w:val="auto"/>
              </w:rPr>
            </w:pPr>
            <w:r>
              <w:rPr>
                <w:rFonts w:ascii="Arial" w:cs="Arial" w:eastAsia="Arial" w:hAnsi="Arial"/>
                <w:sz w:val="16"/>
                <w:szCs w:val="16"/>
                <w:color w:val="auto"/>
              </w:rPr>
              <w:t>2</w:t>
            </w:r>
          </w:p>
        </w:tc>
      </w:tr>
      <w:tr>
        <w:trPr>
          <w:trHeight w:val="203"/>
        </w:trPr>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insurance fees and other income</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r>
      <w:tr>
        <w:trPr>
          <w:trHeight w:val="202"/>
        </w:trPr>
        <w:tc>
          <w:tcPr>
            <w:tcW w:w="9700" w:type="dxa"/>
            <w:vAlign w:val="bottom"/>
          </w:tcPr>
          <w:p>
            <w:pPr>
              <w:ind w:left="20"/>
              <w:spacing w:after="0"/>
              <w:rPr>
                <w:sz w:val="20"/>
                <w:szCs w:val="20"/>
                <w:color w:val="auto"/>
              </w:rPr>
            </w:pPr>
            <w:r>
              <w:rPr>
                <w:rFonts w:ascii="Arial" w:cs="Arial" w:eastAsia="Arial" w:hAnsi="Arial"/>
                <w:sz w:val="14"/>
                <w:szCs w:val="14"/>
                <w:b w:val="1"/>
                <w:bCs w:val="1"/>
                <w:color w:val="auto"/>
              </w:rPr>
              <w:t>Life insurance premiums and other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w:t>
            </w:r>
          </w:p>
        </w:tc>
      </w:tr>
      <w:tr>
        <w:trPr>
          <w:trHeight w:val="20"/>
        </w:trPr>
        <w:tc>
          <w:tcPr>
            <w:tcW w:w="9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life insurance premiums for the one month ended June 30, 2020 are primarily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 annuity premiums for the one month ended June 30, 2020 reflect policyholder behavior for annuitizations as well as FGL Insurance's reinsurance agreement with Kubera Insurance (SAC) Ltd. ("Kubera").</w:t>
      </w:r>
    </w:p>
    <w:p>
      <w:pPr>
        <w:spacing w:after="0" w:line="62" w:lineRule="exact"/>
        <w:rPr>
          <w:rFonts w:ascii="Arial" w:cs="Arial" w:eastAsia="Arial" w:hAnsi="Arial"/>
          <w:sz w:val="18"/>
          <w:szCs w:val="18"/>
          <w:color w:val="auto"/>
        </w:rPr>
      </w:pPr>
    </w:p>
    <w:p>
      <w:pPr>
        <w:jc w:val="both"/>
        <w:ind w:left="660" w:right="20" w:hanging="328"/>
        <w:spacing w:after="0" w:line="34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of insurance fees and other income primarily reflect $8 million GMWB rider fees and $7 million COI charges on IUL policies, partially offset by unearned revenue deferrals. GMWB rider fees are based on the policyholder's benefit base and are collected at the end of the policy year.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Interest and investment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interest and investment income for the period presented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w w:val="97"/>
              </w:rPr>
              <w:t>One Month Ended</w:t>
            </w:r>
          </w:p>
        </w:tc>
      </w:tr>
      <w:tr>
        <w:trPr>
          <w:trHeight w:val="183"/>
        </w:trPr>
        <w:tc>
          <w:tcPr>
            <w:tcW w:w="9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June 30, 2020</w:t>
            </w:r>
          </w:p>
        </w:tc>
      </w:tr>
      <w:tr>
        <w:trPr>
          <w:trHeight w:val="20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99</w:t>
            </w:r>
          </w:p>
        </w:tc>
      </w:tr>
      <w:tr>
        <w:trPr>
          <w:trHeight w:val="196"/>
        </w:trPr>
        <w:tc>
          <w:tcPr>
            <w:tcW w:w="96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12</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w:t>
            </w:r>
          </w:p>
        </w:tc>
      </w:tr>
      <w:tr>
        <w:trPr>
          <w:trHeight w:val="196"/>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investments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w:t>
            </w:r>
          </w:p>
        </w:tc>
      </w:tr>
      <w:tr>
        <w:trPr>
          <w:trHeight w:val="202"/>
        </w:trPr>
        <w:tc>
          <w:tcPr>
            <w:tcW w:w="9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Gross investment income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121</w:t>
            </w:r>
          </w:p>
        </w:tc>
      </w:tr>
      <w:tr>
        <w:trPr>
          <w:trHeight w:val="19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expense</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w:t>
            </w:r>
          </w:p>
        </w:tc>
      </w:tr>
      <w:tr>
        <w:trPr>
          <w:trHeight w:val="227"/>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and investment income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net investment spread and AAUM for the period is summarized as follows (annualized)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8"/>
              </w:rPr>
              <w:t>One Month Ended</w:t>
            </w:r>
          </w:p>
        </w:tc>
        <w:tc>
          <w:tcPr>
            <w:tcW w:w="160" w:type="dxa"/>
            <w:vAlign w:val="bottom"/>
            <w:tcBorders>
              <w:bottom w:val="single" w:sz="8" w:color="auto"/>
            </w:tcBorders>
          </w:tcPr>
          <w:p>
            <w:pPr>
              <w:spacing w:after="0"/>
              <w:rPr>
                <w:sz w:val="15"/>
                <w:szCs w:val="15"/>
                <w:color w:val="auto"/>
              </w:rPr>
            </w:pPr>
          </w:p>
        </w:tc>
      </w:tr>
      <w:tr>
        <w:trPr>
          <w:trHeight w:val="183"/>
        </w:trPr>
        <w:tc>
          <w:tcPr>
            <w:tcW w:w="9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Borders>
              <w:bottom w:val="single" w:sz="8" w:color="auto"/>
            </w:tcBorders>
          </w:tcPr>
          <w:p>
            <w:pPr>
              <w:spacing w:after="0"/>
              <w:rPr>
                <w:sz w:val="15"/>
                <w:szCs w:val="15"/>
                <w:color w:val="auto"/>
              </w:rPr>
            </w:pPr>
          </w:p>
        </w:tc>
      </w:tr>
      <w:tr>
        <w:trPr>
          <w:trHeight w:val="203"/>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Yield on AAUM (at amortized cost)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Alternative investment yield adjustment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yield on AAUM</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Interest credited and option cost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(1.92) %</w:t>
            </w:r>
          </w:p>
        </w:tc>
      </w:tr>
      <w:tr>
        <w:trPr>
          <w:trHeight w:val="227"/>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investment spread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9640" w:type="dxa"/>
            <w:vAlign w:val="bottom"/>
          </w:tcPr>
          <w:p>
            <w:pPr>
              <w:ind w:left="20"/>
              <w:spacing w:after="0"/>
              <w:rPr>
                <w:sz w:val="20"/>
                <w:szCs w:val="20"/>
                <w:color w:val="auto"/>
              </w:rPr>
            </w:pPr>
            <w:r>
              <w:rPr>
                <w:rFonts w:ascii="Arial" w:cs="Arial" w:eastAsia="Arial" w:hAnsi="Arial"/>
                <w:sz w:val="14"/>
                <w:szCs w:val="14"/>
                <w:color w:val="auto"/>
              </w:rPr>
              <w:t>AAUM</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26,582</w:t>
            </w:r>
          </w:p>
        </w:tc>
        <w:tc>
          <w:tcPr>
            <w:tcW w:w="160" w:type="dxa"/>
            <w:vAlign w:val="bottom"/>
          </w:tcPr>
          <w:p>
            <w:pPr>
              <w:spacing w:after="0"/>
              <w:rPr>
                <w:sz w:val="14"/>
                <w:szCs w:val="14"/>
                <w:color w:val="auto"/>
              </w:rPr>
            </w:pPr>
          </w:p>
        </w:tc>
      </w:tr>
    </w:tbl>
    <w:p>
      <w:pPr>
        <w:spacing w:after="0" w:line="11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AAUM for the one month ended June 30, 2020 reflects impacts due to purchase accounting as well as net new business asset flows.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$111 million NII for the one month ended June 30, 2020 was primarily driven by $99 million in fixed maturity securities and $12 million in equity securities, partially offset by $(10) million in investment expenses.</w:t>
      </w:r>
    </w:p>
    <w:p>
      <w:pPr>
        <w:sectPr>
          <w:pgSz w:w="11900" w:h="16838" w:orient="portrait"/>
          <w:cols w:equalWidth="0" w:num="1">
            <w:col w:w="11240"/>
          </w:cols>
          <w:pgMar w:left="320" w:top="1174"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gains and losses, net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Below is a summary of the major components included in realized gains (losses) (net) for the period presented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right="2280"/>
        <w:spacing w:after="0" w:line="301" w:lineRule="auto"/>
        <w:rPr>
          <w:sz w:val="20"/>
          <w:szCs w:val="20"/>
          <w:color w:val="auto"/>
        </w:rPr>
      </w:pPr>
      <w:r>
        <w:rPr>
          <w:rFonts w:ascii="Arial" w:cs="Arial" w:eastAsia="Arial" w:hAnsi="Arial"/>
          <w:sz w:val="14"/>
          <w:szCs w:val="14"/>
          <w:color w:val="auto"/>
        </w:rPr>
        <w:t>Net realized and unrealized gains on fixed maturity available-for-sale securities, equity securities and other invested assets Change in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Net realized and unrealized gains on certain derivatives instruments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 of reinsurance related embedded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 of other derivatives and embedded derivatives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Realized gains and losses,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13"/>
          <w:szCs w:val="13"/>
          <w:b w:val="1"/>
          <w:bCs w:val="1"/>
          <w:color w:val="auto"/>
        </w:rPr>
        <w:t>One Month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861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3" w:lineRule="exact"/>
        <w:rPr>
          <w:sz w:val="20"/>
          <w:szCs w:val="20"/>
          <w:color w:val="auto"/>
        </w:rPr>
      </w:pPr>
    </w:p>
    <w:p>
      <w:pPr>
        <w:jc w:val="center"/>
        <w:ind w:right="5"/>
        <w:spacing w:after="0"/>
        <w:rPr>
          <w:sz w:val="20"/>
          <w:szCs w:val="20"/>
          <w:color w:val="auto"/>
        </w:rPr>
      </w:pPr>
      <w:r>
        <w:rPr>
          <w:rFonts w:ascii="Arial" w:cs="Arial" w:eastAsia="Arial" w:hAnsi="Arial"/>
          <w:sz w:val="13"/>
          <w:szCs w:val="13"/>
          <w:b w:val="1"/>
          <w:bCs w:val="1"/>
          <w:color w:val="auto"/>
        </w:rPr>
        <w:t>June 30, 2020</w:t>
      </w:r>
    </w:p>
    <w:p>
      <w:pPr>
        <w:spacing w:after="0" w:line="53" w:lineRule="exact"/>
        <w:rPr>
          <w:sz w:val="20"/>
          <w:szCs w:val="20"/>
          <w:color w:val="auto"/>
        </w:rPr>
      </w:pPr>
    </w:p>
    <w:p>
      <w:pPr>
        <w:ind w:left="1255" w:hanging="1255"/>
        <w:spacing w:after="0"/>
        <w:tabs>
          <w:tab w:leader="none" w:pos="1255" w:val="left"/>
        </w:tabs>
        <w:numPr>
          <w:ilvl w:val="0"/>
          <w:numId w:val="21"/>
        </w:numPr>
        <w:rPr>
          <w:rFonts w:ascii="Arial" w:cs="Arial" w:eastAsia="Arial" w:hAnsi="Arial"/>
          <w:sz w:val="14"/>
          <w:szCs w:val="14"/>
          <w:color w:val="auto"/>
        </w:rPr>
      </w:pPr>
      <w:r>
        <w:rPr>
          <w:rFonts w:ascii="Arial" w:cs="Arial" w:eastAsia="Arial" w:hAnsi="Arial"/>
          <w:sz w:val="14"/>
          <w:szCs w:val="14"/>
          <w:color w:val="auto"/>
        </w:rPr>
        <w:t>17</w:t>
      </w:r>
    </w:p>
    <w:p>
      <w:pPr>
        <w:spacing w:after="0" w:line="41" w:lineRule="exact"/>
        <w:rPr>
          <w:rFonts w:ascii="Arial" w:cs="Arial" w:eastAsia="Arial" w:hAnsi="Arial"/>
          <w:sz w:val="14"/>
          <w:szCs w:val="14"/>
          <w:color w:val="auto"/>
        </w:rPr>
      </w:pPr>
    </w:p>
    <w:p>
      <w:pPr>
        <w:ind w:left="1195"/>
        <w:spacing w:after="0"/>
        <w:rPr>
          <w:rFonts w:ascii="Arial" w:cs="Arial" w:eastAsia="Arial" w:hAnsi="Arial"/>
          <w:sz w:val="14"/>
          <w:szCs w:val="14"/>
          <w:color w:val="auto"/>
        </w:rPr>
      </w:pPr>
      <w:r>
        <w:rPr>
          <w:rFonts w:ascii="Arial" w:cs="Arial" w:eastAsia="Arial" w:hAnsi="Arial"/>
          <w:sz w:val="13"/>
          <w:szCs w:val="13"/>
          <w:color w:val="auto"/>
        </w:rPr>
        <w:t>(18)</w:t>
      </w:r>
    </w:p>
    <w:p>
      <w:pPr>
        <w:spacing w:after="0" w:line="53" w:lineRule="exact"/>
        <w:rPr>
          <w:rFonts w:ascii="Arial" w:cs="Arial" w:eastAsia="Arial" w:hAnsi="Arial"/>
          <w:sz w:val="14"/>
          <w:szCs w:val="14"/>
          <w:color w:val="auto"/>
        </w:rPr>
      </w:pPr>
    </w:p>
    <w:p>
      <w:pPr>
        <w:ind w:left="1255"/>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41" w:lineRule="exact"/>
        <w:rPr>
          <w:rFonts w:ascii="Arial" w:cs="Arial" w:eastAsia="Arial" w:hAnsi="Arial"/>
          <w:sz w:val="14"/>
          <w:szCs w:val="14"/>
          <w:color w:val="auto"/>
        </w:rPr>
      </w:pPr>
    </w:p>
    <w:p>
      <w:pPr>
        <w:ind w:left="1195"/>
        <w:spacing w:after="0"/>
        <w:rPr>
          <w:rFonts w:ascii="Arial" w:cs="Arial" w:eastAsia="Arial" w:hAnsi="Arial"/>
          <w:sz w:val="14"/>
          <w:szCs w:val="14"/>
          <w:color w:val="auto"/>
        </w:rPr>
      </w:pPr>
      <w:r>
        <w:rPr>
          <w:rFonts w:ascii="Arial" w:cs="Arial" w:eastAsia="Arial" w:hAnsi="Arial"/>
          <w:sz w:val="13"/>
          <w:szCs w:val="13"/>
          <w:color w:val="auto"/>
        </w:rPr>
        <w:t>(21)</w:t>
      </w:r>
    </w:p>
    <w:p>
      <w:pPr>
        <w:spacing w:after="0" w:line="53" w:lineRule="exact"/>
        <w:rPr>
          <w:rFonts w:ascii="Arial" w:cs="Arial" w:eastAsia="Arial" w:hAnsi="Arial"/>
          <w:sz w:val="14"/>
          <w:szCs w:val="14"/>
          <w:color w:val="auto"/>
        </w:rPr>
      </w:pPr>
    </w:p>
    <w:p>
      <w:pPr>
        <w:ind w:left="1315"/>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861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5" w:lineRule="exact"/>
        <w:rPr>
          <w:sz w:val="20"/>
          <w:szCs w:val="20"/>
          <w:color w:val="auto"/>
        </w:rPr>
      </w:pPr>
    </w:p>
    <w:p>
      <w:pPr>
        <w:ind w:left="1255" w:hanging="1255"/>
        <w:spacing w:after="0"/>
        <w:tabs>
          <w:tab w:leader="none" w:pos="1255" w:val="left"/>
        </w:tabs>
        <w:numPr>
          <w:ilvl w:val="0"/>
          <w:numId w:val="22"/>
        </w:numPr>
        <w:rPr>
          <w:rFonts w:ascii="Arial" w:cs="Arial" w:eastAsia="Arial" w:hAnsi="Arial"/>
          <w:sz w:val="14"/>
          <w:szCs w:val="14"/>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861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46990</wp:posOffset>
            </wp:positionV>
            <wp:extent cx="9861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340" w:space="365"/>
            <w:col w:w="1535"/>
          </w:cols>
          <w:pgMar w:left="320" w:top="1174" w:right="339" w:bottom="1440" w:gutter="0" w:footer="0" w:header="0"/>
          <w:type w:val="continuous"/>
        </w:sectPr>
      </w:pPr>
    </w:p>
    <w:p>
      <w:pPr>
        <w:ind w:left="66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For the one month ended June 30, 2020, net realized and unrealized gains on available-for-sale securities, equity securities and other invested assets is primarily the result of trading gains.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8" w:name="page79"/>
    <w:bookmarkEnd w:id="78"/>
    <w:p>
      <w:pPr>
        <w:ind w:left="660" w:hanging="328"/>
        <w:spacing w:after="0"/>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Gain on available-for-sale securities, equity securities and other invested assets is offset by a change in allowance for expected credit losses.</w:t>
      </w:r>
    </w:p>
    <w:p>
      <w:pPr>
        <w:spacing w:after="0" w:line="167" w:lineRule="exact"/>
        <w:rPr>
          <w:rFonts w:ascii="Arial" w:cs="Arial" w:eastAsia="Arial" w:hAnsi="Arial"/>
          <w:sz w:val="16"/>
          <w:szCs w:val="16"/>
          <w:i w:val="1"/>
          <w:iCs w:val="1"/>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one month ended June 30, 2020, net realized and unrealized gains on certain derivative instruments primarily relates to the realized and unrealized losses on futures and options used to hedge FIA and IUL products, primarily due to the change in underlying indices as well as timing of option and future purchases and expirations.</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fair value of reinsurance related embedded derivative is based on the change in fair value of the underlying assets held in the funds withheld ("FWH") portfolio.</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the table below for primary drivers of gains (losses) on certain derivatives.</w:t>
      </w:r>
    </w:p>
    <w:p>
      <w:pPr>
        <w:spacing w:after="0" w:line="144"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components of the realized and unrealized gains (losses) on certain derivative instruments hedging our indexed annuity and universal life products are summarized in the table below for the periods presented (dollars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w w:val="97"/>
              </w:rPr>
              <w:t>One Month Ended</w:t>
            </w:r>
          </w:p>
        </w:tc>
      </w:tr>
      <w:tr>
        <w:trPr>
          <w:trHeight w:val="183"/>
        </w:trPr>
        <w:tc>
          <w:tcPr>
            <w:tcW w:w="9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June 30, 2020</w:t>
            </w:r>
          </w:p>
        </w:tc>
      </w:tr>
      <w:tr>
        <w:trPr>
          <w:trHeight w:val="189"/>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Call Options: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7"/>
        </w:trPr>
        <w:tc>
          <w:tcPr>
            <w:tcW w:w="9640" w:type="dxa"/>
            <w:vAlign w:val="bottom"/>
          </w:tcPr>
          <w:p>
            <w:pPr>
              <w:ind w:left="220"/>
              <w:spacing w:after="0"/>
              <w:rPr>
                <w:sz w:val="20"/>
                <w:szCs w:val="20"/>
                <w:color w:val="auto"/>
              </w:rPr>
            </w:pPr>
            <w:r>
              <w:rPr>
                <w:rFonts w:ascii="Arial" w:cs="Arial" w:eastAsia="Arial" w:hAnsi="Arial"/>
                <w:sz w:val="14"/>
                <w:szCs w:val="14"/>
                <w:color w:val="auto"/>
              </w:rPr>
              <w:t>Gains on option expiration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30"/>
              <w:spacing w:after="0"/>
              <w:rPr>
                <w:sz w:val="20"/>
                <w:szCs w:val="20"/>
                <w:color w:val="auto"/>
              </w:rPr>
            </w:pPr>
            <w:r>
              <w:rPr>
                <w:rFonts w:ascii="Arial" w:cs="Arial" w:eastAsia="Arial" w:hAnsi="Arial"/>
                <w:sz w:val="14"/>
                <w:szCs w:val="14"/>
                <w:color w:val="auto"/>
              </w:rPr>
              <w:t>2</w:t>
            </w:r>
          </w:p>
        </w:tc>
      </w:tr>
      <w:tr>
        <w:trPr>
          <w:trHeight w:val="208"/>
        </w:trPr>
        <w:tc>
          <w:tcPr>
            <w:tcW w:w="9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unrealized gains (losses)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10</w:t>
            </w:r>
          </w:p>
        </w:tc>
      </w:tr>
      <w:tr>
        <w:trPr>
          <w:trHeight w:val="197"/>
        </w:trPr>
        <w:tc>
          <w:tcPr>
            <w:tcW w:w="9640" w:type="dxa"/>
            <w:vAlign w:val="bottom"/>
          </w:tcPr>
          <w:p>
            <w:pPr>
              <w:ind w:left="20"/>
              <w:spacing w:after="0"/>
              <w:rPr>
                <w:sz w:val="20"/>
                <w:szCs w:val="20"/>
                <w:color w:val="auto"/>
              </w:rPr>
            </w:pPr>
            <w:r>
              <w:rPr>
                <w:rFonts w:ascii="Arial" w:cs="Arial" w:eastAsia="Arial" w:hAnsi="Arial"/>
                <w:sz w:val="14"/>
                <w:szCs w:val="14"/>
                <w:color w:val="auto"/>
              </w:rPr>
              <w:t>Futures contracts: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8"/>
        </w:trPr>
        <w:tc>
          <w:tcPr>
            <w:tcW w:w="9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on futures contracts expiration</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9</w:t>
            </w:r>
          </w:p>
        </w:tc>
      </w:tr>
      <w:tr>
        <w:trPr>
          <w:trHeight w:val="197"/>
        </w:trPr>
        <w:tc>
          <w:tcPr>
            <w:tcW w:w="9640" w:type="dxa"/>
            <w:vAlign w:val="bottom"/>
          </w:tcPr>
          <w:p>
            <w:pPr>
              <w:ind w:left="220"/>
              <w:spacing w:after="0"/>
              <w:rPr>
                <w:sz w:val="20"/>
                <w:szCs w:val="20"/>
                <w:color w:val="auto"/>
              </w:rPr>
            </w:pPr>
            <w:r>
              <w:rPr>
                <w:rFonts w:ascii="Arial" w:cs="Arial" w:eastAsia="Arial" w:hAnsi="Arial"/>
                <w:sz w:val="14"/>
                <w:szCs w:val="14"/>
                <w:color w:val="auto"/>
              </w:rPr>
              <w:t>Change in unrealized losses</w:t>
            </w:r>
          </w:p>
        </w:tc>
        <w:tc>
          <w:tcPr>
            <w:tcW w:w="200" w:type="dxa"/>
            <w:vAlign w:val="bottom"/>
          </w:tcPr>
          <w:p>
            <w:pPr>
              <w:spacing w:after="0"/>
              <w:rPr>
                <w:sz w:val="17"/>
                <w:szCs w:val="17"/>
                <w:color w:val="auto"/>
              </w:rPr>
            </w:pPr>
          </w:p>
        </w:tc>
        <w:tc>
          <w:tcPr>
            <w:tcW w:w="1400" w:type="dxa"/>
            <w:vAlign w:val="bottom"/>
          </w:tcPr>
          <w:p>
            <w:pPr>
              <w:jc w:val="right"/>
              <w:ind w:right="90"/>
              <w:spacing w:after="0"/>
              <w:rPr>
                <w:sz w:val="20"/>
                <w:szCs w:val="20"/>
                <w:color w:val="auto"/>
              </w:rPr>
            </w:pPr>
            <w:r>
              <w:rPr>
                <w:rFonts w:ascii="Arial" w:cs="Arial" w:eastAsia="Arial" w:hAnsi="Arial"/>
                <w:sz w:val="14"/>
                <w:szCs w:val="14"/>
                <w:color w:val="auto"/>
              </w:rPr>
              <w:t>(6)</w:t>
            </w:r>
          </w:p>
        </w:tc>
      </w:tr>
      <w:tr>
        <w:trPr>
          <w:trHeight w:val="208"/>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6"/>
        </w:trPr>
        <w:tc>
          <w:tcPr>
            <w:tcW w:w="9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Gains (losses) on foreign currency forward</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r>
      <w:tr>
        <w:trPr>
          <w:trHeight w:val="227"/>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change in fair value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Annual Point-to-Point Change in S&amp;P 500 Index during the period</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bl>
    <w:p>
      <w:pPr>
        <w:spacing w:after="0" w:line="148" w:lineRule="exact"/>
        <w:rPr>
          <w:sz w:val="20"/>
          <w:szCs w:val="20"/>
          <w:color w:val="auto"/>
        </w:rPr>
      </w:pPr>
    </w:p>
    <w:p>
      <w:pPr>
        <w:jc w:val="both"/>
        <w:ind w:left="660" w:hanging="328"/>
        <w:spacing w:after="0" w:line="31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the one month ended June 30, 2020 on options settled during the period.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Additionally, the change in unrealized gains and losses due to fair value of call options are primarily driven by the underlying performance of the S&amp;P 500 Index during each respective year relative to the S&amp;P Index on the policyholder buy dates.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net change in fair value of the call options and futures contracts for the one month ended June 30, 2020 was primarily driven by movements in the S&amp;P 500 Index relative to the policyholder buy dates.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color w:val="auto"/>
        </w:rPr>
        <w:t>The average index credits to policyholders are as follows for the period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One Month Ended</w:t>
            </w:r>
          </w:p>
        </w:tc>
        <w:tc>
          <w:tcPr>
            <w:tcW w:w="160" w:type="dxa"/>
            <w:vAlign w:val="bottom"/>
            <w:tcBorders>
              <w:bottom w:val="single" w:sz="8" w:color="auto"/>
            </w:tcBorders>
          </w:tcPr>
          <w:p>
            <w:pPr>
              <w:spacing w:after="0"/>
              <w:rPr>
                <w:sz w:val="15"/>
                <w:szCs w:val="15"/>
                <w:color w:val="auto"/>
              </w:rPr>
            </w:pPr>
          </w:p>
        </w:tc>
      </w:tr>
      <w:tr>
        <w:trPr>
          <w:trHeight w:val="183"/>
        </w:trPr>
        <w:tc>
          <w:tcPr>
            <w:tcW w:w="96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Borders>
              <w:bottom w:val="single" w:sz="8" w:color="auto"/>
            </w:tcBorders>
          </w:tcPr>
          <w:p>
            <w:pPr>
              <w:spacing w:after="0"/>
              <w:rPr>
                <w:sz w:val="15"/>
                <w:szCs w:val="15"/>
                <w:color w:val="auto"/>
              </w:rPr>
            </w:pPr>
          </w:p>
        </w:tc>
      </w:tr>
      <w:tr>
        <w:trPr>
          <w:trHeight w:val="203"/>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Crediting Rate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964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9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Point-to-point strategy</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9640" w:type="dxa"/>
            <w:vAlign w:val="bottom"/>
          </w:tcPr>
          <w:p>
            <w:pPr>
              <w:ind w:left="220"/>
              <w:spacing w:after="0"/>
              <w:rPr>
                <w:sz w:val="20"/>
                <w:szCs w:val="20"/>
                <w:color w:val="auto"/>
              </w:rPr>
            </w:pPr>
            <w:r>
              <w:rPr>
                <w:rFonts w:ascii="Arial" w:cs="Arial" w:eastAsia="Arial" w:hAnsi="Arial"/>
                <w:sz w:val="14"/>
                <w:szCs w:val="14"/>
                <w:color w:val="auto"/>
              </w:rPr>
              <w:t>Monthly average strategy</w:t>
            </w: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9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Monthly point-to-point strategy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0"/>
        </w:trPr>
        <w:tc>
          <w:tcPr>
            <w:tcW w:w="9640" w:type="dxa"/>
            <w:vAlign w:val="bottom"/>
          </w:tcPr>
          <w:p>
            <w:pPr>
              <w:ind w:left="220"/>
              <w:spacing w:after="0"/>
              <w:rPr>
                <w:sz w:val="20"/>
                <w:szCs w:val="20"/>
                <w:color w:val="auto"/>
              </w:rPr>
            </w:pPr>
            <w:r>
              <w:rPr>
                <w:rFonts w:ascii="Arial" w:cs="Arial" w:eastAsia="Arial" w:hAnsi="Arial"/>
                <w:sz w:val="14"/>
                <w:szCs w:val="14"/>
                <w:color w:val="auto"/>
              </w:rPr>
              <w:t>3 year high water mark</w:t>
            </w:r>
          </w:p>
        </w:tc>
        <w:tc>
          <w:tcPr>
            <w:tcW w:w="144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pacing w:after="0" w:line="241" w:lineRule="exact"/>
        <w:rPr>
          <w:sz w:val="20"/>
          <w:szCs w:val="20"/>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 Market volatility compared to previous years can impact credits differently than overall S&amp;P 500 Index fluctuation.</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credits for the one month ended June 30, 2020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the major components included in Benefits and other changes in policy reserves for the period presented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w w:val="98"/>
              </w:rPr>
              <w:t>One Month Ended</w:t>
            </w:r>
          </w:p>
        </w:tc>
      </w:tr>
      <w:tr>
        <w:trPr>
          <w:trHeight w:val="182"/>
        </w:trPr>
        <w:tc>
          <w:tcPr>
            <w:tcW w:w="9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June 30, 2020</w:t>
            </w:r>
          </w:p>
        </w:tc>
      </w:tr>
      <w:tr>
        <w:trPr>
          <w:trHeight w:val="203"/>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FIA embedded derivative impact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69</w:t>
            </w:r>
          </w:p>
        </w:tc>
      </w:tr>
      <w:tr>
        <w:trPr>
          <w:trHeight w:val="197"/>
        </w:trPr>
        <w:tc>
          <w:tcPr>
            <w:tcW w:w="9620" w:type="dxa"/>
            <w:vAlign w:val="bottom"/>
          </w:tcPr>
          <w:p>
            <w:pPr>
              <w:ind w:left="20"/>
              <w:spacing w:after="0"/>
              <w:rPr>
                <w:sz w:val="20"/>
                <w:szCs w:val="20"/>
                <w:color w:val="auto"/>
              </w:rPr>
            </w:pPr>
            <w:r>
              <w:rPr>
                <w:rFonts w:ascii="Arial" w:cs="Arial" w:eastAsia="Arial" w:hAnsi="Arial"/>
                <w:sz w:val="14"/>
                <w:szCs w:val="14"/>
                <w:color w:val="auto"/>
              </w:rPr>
              <w:t>Index credits, interest credited &amp; bonuses</w:t>
            </w:r>
          </w:p>
        </w:tc>
        <w:tc>
          <w:tcPr>
            <w:tcW w:w="200" w:type="dxa"/>
            <w:vAlign w:val="bottom"/>
          </w:tcPr>
          <w:p>
            <w:pPr>
              <w:spacing w:after="0"/>
              <w:rPr>
                <w:sz w:val="17"/>
                <w:szCs w:val="17"/>
                <w:color w:val="auto"/>
              </w:rPr>
            </w:pPr>
          </w:p>
        </w:tc>
        <w:tc>
          <w:tcPr>
            <w:tcW w:w="1420" w:type="dxa"/>
            <w:vAlign w:val="bottom"/>
          </w:tcPr>
          <w:p>
            <w:pPr>
              <w:jc w:val="right"/>
              <w:ind w:right="71"/>
              <w:spacing w:after="0"/>
              <w:rPr>
                <w:sz w:val="20"/>
                <w:szCs w:val="20"/>
                <w:color w:val="auto"/>
              </w:rPr>
            </w:pPr>
            <w:r>
              <w:rPr>
                <w:rFonts w:ascii="Arial" w:cs="Arial" w:eastAsia="Arial" w:hAnsi="Arial"/>
                <w:sz w:val="14"/>
                <w:szCs w:val="14"/>
                <w:color w:val="auto"/>
              </w:rPr>
              <w:t>41</w:t>
            </w:r>
          </w:p>
        </w:tc>
      </w:tr>
      <w:tr>
        <w:trPr>
          <w:trHeight w:val="208"/>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Annuity payments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w:t>
            </w:r>
          </w:p>
        </w:tc>
      </w:tr>
      <w:tr>
        <w:trPr>
          <w:trHeight w:val="19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policy benefits and reserve movements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33</w:t>
            </w:r>
          </w:p>
        </w:tc>
      </w:tr>
      <w:tr>
        <w:trPr>
          <w:trHeight w:val="227"/>
        </w:trPr>
        <w:tc>
          <w:tcPr>
            <w:tcW w:w="9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benefits and other changes in policy reserves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6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FIA fair value option liability increased, driven by the changes in the equity markets, change in non-performance spread, and risk free rates during the period. The change in non-performance spread increased the FIA embedded derivative liability by $61 million during the one month ended June 30, 2020. The remaining change in the market value of the derivative assets hedging our FIA policies was driven by equity market impacts. See table in the net investment gains/losses discussion above for summary and discussion of net unrealized gains (losses) on certain derivative instruments.</w:t>
      </w:r>
    </w:p>
    <w:p>
      <w:pPr>
        <w:spacing w:after="0" w:line="9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increase in index credits, interest credited &amp; bonuses were primarily due to higher index credits on FIA policies, reflecting market movement during the one month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Personnel Costs and Other Operating Expenses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Personnel Costs and Other Operating Expenses for the period presented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w w:val="98"/>
              </w:rPr>
              <w:t>One Month Ended</w:t>
            </w:r>
          </w:p>
        </w:tc>
      </w:tr>
      <w:tr>
        <w:trPr>
          <w:trHeight w:val="181"/>
        </w:trPr>
        <w:tc>
          <w:tcPr>
            <w:tcW w:w="9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392"/>
              <w:spacing w:after="0"/>
              <w:rPr>
                <w:sz w:val="20"/>
                <w:szCs w:val="20"/>
                <w:color w:val="auto"/>
              </w:rPr>
            </w:pPr>
            <w:r>
              <w:rPr>
                <w:rFonts w:ascii="Arial" w:cs="Arial" w:eastAsia="Arial" w:hAnsi="Arial"/>
                <w:sz w:val="13"/>
                <w:szCs w:val="13"/>
                <w:b w:val="1"/>
                <w:bCs w:val="1"/>
                <w:color w:val="auto"/>
              </w:rPr>
              <w:t>June 30, 2020</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 costs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w:t>
            </w:r>
          </w:p>
        </w:tc>
      </w:tr>
      <w:tr>
        <w:trPr>
          <w:trHeight w:val="19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expenses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12</w:t>
            </w:r>
          </w:p>
        </w:tc>
      </w:tr>
      <w:tr>
        <w:trPr>
          <w:trHeight w:val="227"/>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personnel costs and other operating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Personnel costs for the one month ended June 30, 2020 primarily reflect employee-related expenses.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0" w:name="page81"/>
    <w:bookmarkEnd w:id="80"/>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operating expenses during the period reflect non-employee related expenses, including project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depreciation and amortization for the period presented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w w:val="98"/>
              </w:rPr>
              <w:t>One Month Ended</w:t>
            </w:r>
          </w:p>
        </w:tc>
      </w:tr>
      <w:tr>
        <w:trPr>
          <w:trHeight w:val="183"/>
        </w:trPr>
        <w:tc>
          <w:tcPr>
            <w:tcW w:w="9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June 30, 2020</w:t>
            </w:r>
          </w:p>
        </w:tc>
      </w:tr>
      <w:tr>
        <w:trPr>
          <w:trHeight w:val="203"/>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DAC, VOBA, and DSI</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r>
      <w:tr>
        <w:trPr>
          <w:trHeight w:val="196"/>
        </w:trPr>
        <w:tc>
          <w:tcPr>
            <w:tcW w:w="9620" w:type="dxa"/>
            <w:vAlign w:val="bottom"/>
          </w:tcPr>
          <w:p>
            <w:pPr>
              <w:ind w:left="20"/>
              <w:spacing w:after="0"/>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7"/>
                <w:szCs w:val="17"/>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(3)</w:t>
            </w:r>
          </w:p>
        </w:tc>
      </w:tr>
      <w:tr>
        <w:trPr>
          <w:trHeight w:val="209"/>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Unlocking</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r>
      <w:tr>
        <w:trPr>
          <w:trHeight w:val="196"/>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other intangible assets and other depreciation</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w:t>
            </w:r>
          </w:p>
        </w:tc>
      </w:tr>
      <w:tr>
        <w:trPr>
          <w:trHeight w:val="227"/>
        </w:trPr>
        <w:tc>
          <w:tcPr>
            <w:tcW w:w="9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depreciation and amortization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Amortization of DAC, VOBA, and DSI is based on current and future expected gross margins (pre-tax operating income before amortization). The amortization for the one month ended June 30, 2020 is the result of actual gross profits ("AGPs") in the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affecting net earnings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income tax expense for the period presented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w w:val="97"/>
              </w:rPr>
              <w:t>One Month Ended</w:t>
            </w:r>
          </w:p>
        </w:tc>
      </w:tr>
      <w:tr>
        <w:trPr>
          <w:trHeight w:val="183"/>
        </w:trPr>
        <w:tc>
          <w:tcPr>
            <w:tcW w:w="9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June 30, 2020</w:t>
            </w:r>
          </w:p>
        </w:tc>
      </w:tr>
      <w:tr>
        <w:trPr>
          <w:trHeight w:val="203"/>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(53)</w:t>
            </w:r>
          </w:p>
        </w:tc>
      </w:tr>
      <w:tr>
        <w:trPr>
          <w:trHeight w:val="162"/>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9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before valuation allowance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w:t>
            </w:r>
          </w:p>
        </w:tc>
      </w:tr>
      <w:tr>
        <w:trPr>
          <w:trHeight w:val="197"/>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w:t>
            </w:r>
          </w:p>
        </w:tc>
      </w:tr>
      <w:tr>
        <w:trPr>
          <w:trHeight w:val="22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9640" w:type="dxa"/>
            <w:vAlign w:val="bottom"/>
          </w:tcPr>
          <w:p>
            <w:pPr>
              <w:ind w:left="20"/>
              <w:spacing w:after="0"/>
              <w:rPr>
                <w:sz w:val="20"/>
                <w:szCs w:val="20"/>
                <w:color w:val="auto"/>
              </w:rPr>
            </w:pPr>
            <w:r>
              <w:rPr>
                <w:rFonts w:ascii="Arial" w:cs="Arial" w:eastAsia="Arial" w:hAnsi="Arial"/>
                <w:sz w:val="14"/>
                <w:szCs w:val="14"/>
                <w:color w:val="auto"/>
              </w:rPr>
              <w:t>Effective rate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26 %</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shows the adjustments made to reconcile Net loss from continuing operations attributable to common shareholders to Adjusted earnings from continuing operations attributable to common shareholders for the period presented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w w:val="95"/>
              </w:rPr>
              <w:t>One Month Ended</w:t>
            </w:r>
          </w:p>
        </w:tc>
      </w:tr>
      <w:tr>
        <w:trPr>
          <w:trHeight w:val="183"/>
        </w:trPr>
        <w:tc>
          <w:tcPr>
            <w:tcW w:w="9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June 30, 2020</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w:t>
            </w:r>
          </w:p>
        </w:tc>
      </w:tr>
      <w:tr>
        <w:trPr>
          <w:trHeight w:val="197"/>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gains and losses, net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52</w:t>
            </w:r>
          </w:p>
        </w:tc>
      </w:tr>
      <w:tr>
        <w:trPr>
          <w:trHeight w:val="197"/>
        </w:trPr>
        <w:tc>
          <w:tcPr>
            <w:tcW w:w="9680" w:type="dxa"/>
            <w:vAlign w:val="bottom"/>
          </w:tcPr>
          <w:p>
            <w:pPr>
              <w:ind w:left="20"/>
              <w:spacing w:after="0"/>
              <w:rPr>
                <w:sz w:val="20"/>
                <w:szCs w:val="20"/>
                <w:color w:val="auto"/>
              </w:rPr>
            </w:pPr>
            <w:r>
              <w:rPr>
                <w:rFonts w:ascii="Arial" w:cs="Arial" w:eastAsia="Arial" w:hAnsi="Arial"/>
                <w:sz w:val="14"/>
                <w:szCs w:val="14"/>
                <w:color w:val="auto"/>
              </w:rPr>
              <w:t>Indexed product related derivatives</w:t>
            </w:r>
          </w:p>
        </w:tc>
        <w:tc>
          <w:tcPr>
            <w:tcW w:w="200" w:type="dxa"/>
            <w:vAlign w:val="bottom"/>
          </w:tcPr>
          <w:p>
            <w:pPr>
              <w:spacing w:after="0"/>
              <w:rPr>
                <w:sz w:val="17"/>
                <w:szCs w:val="17"/>
                <w:color w:val="auto"/>
              </w:rPr>
            </w:pPr>
          </w:p>
        </w:tc>
        <w:tc>
          <w:tcPr>
            <w:tcW w:w="1360" w:type="dxa"/>
            <w:vAlign w:val="bottom"/>
          </w:tcPr>
          <w:p>
            <w:pPr>
              <w:jc w:val="right"/>
              <w:ind w:right="70"/>
              <w:spacing w:after="0"/>
              <w:rPr>
                <w:sz w:val="20"/>
                <w:szCs w:val="20"/>
                <w:color w:val="auto"/>
              </w:rPr>
            </w:pPr>
            <w:r>
              <w:rPr>
                <w:rFonts w:ascii="Arial" w:cs="Arial" w:eastAsia="Arial" w:hAnsi="Arial"/>
                <w:sz w:val="14"/>
                <w:szCs w:val="14"/>
                <w:color w:val="auto"/>
              </w:rPr>
              <w:t>42</w:t>
            </w:r>
          </w:p>
        </w:tc>
      </w:tr>
      <w:tr>
        <w:trPr>
          <w:trHeight w:val="208"/>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 amortization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r>
      <w:tr>
        <w:trPr>
          <w:trHeight w:val="197"/>
        </w:trPr>
        <w:tc>
          <w:tcPr>
            <w:tcW w:w="96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200" w:type="dxa"/>
            <w:vAlign w:val="bottom"/>
          </w:tcPr>
          <w:p>
            <w:pPr>
              <w:spacing w:after="0"/>
              <w:rPr>
                <w:sz w:val="17"/>
                <w:szCs w:val="17"/>
                <w:color w:val="auto"/>
              </w:rPr>
            </w:pPr>
          </w:p>
        </w:tc>
        <w:tc>
          <w:tcPr>
            <w:tcW w:w="1360" w:type="dxa"/>
            <w:vAlign w:val="bottom"/>
          </w:tcPr>
          <w:p>
            <w:pPr>
              <w:jc w:val="right"/>
              <w:ind w:right="70"/>
              <w:spacing w:after="0"/>
              <w:rPr>
                <w:sz w:val="20"/>
                <w:szCs w:val="20"/>
                <w:color w:val="auto"/>
              </w:rPr>
            </w:pPr>
            <w:r>
              <w:rPr>
                <w:rFonts w:ascii="Arial" w:cs="Arial" w:eastAsia="Arial" w:hAnsi="Arial"/>
                <w:sz w:val="14"/>
                <w:szCs w:val="14"/>
                <w:color w:val="auto"/>
              </w:rPr>
              <w:t>7</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on non-GAAP adjustments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w:t>
            </w:r>
          </w:p>
        </w:tc>
      </w:tr>
      <w:tr>
        <w:trPr>
          <w:trHeight w:val="202"/>
        </w:trPr>
        <w:tc>
          <w:tcPr>
            <w:tcW w:w="9680" w:type="dxa"/>
            <w:vAlign w:val="bottom"/>
          </w:tcPr>
          <w:p>
            <w:pPr>
              <w:ind w:left="460"/>
              <w:spacing w:after="0"/>
              <w:rPr>
                <w:sz w:val="20"/>
                <w:szCs w:val="20"/>
                <w:color w:val="auto"/>
              </w:rPr>
            </w:pPr>
            <w:r>
              <w:rPr>
                <w:rFonts w:ascii="Arial" w:cs="Arial" w:eastAsia="Arial" w:hAnsi="Arial"/>
                <w:sz w:val="14"/>
                <w:szCs w:val="14"/>
                <w:color w:val="auto"/>
              </w:rPr>
              <w:t>Adjusted earnings from continuing operations attributable to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37</w:t>
            </w:r>
          </w:p>
        </w:tc>
      </w:tr>
      <w:tr>
        <w:trPr>
          <w:trHeight w:val="21"/>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60" w:right="2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for the one month ended June 30, 2020 primarily reflects net investment income for the period, partially offset by changes in benefits and other policy reserves, and included a $4 million net favorable actual to expected mortality within the single premium immediate annuity ("SPIA") line of business and $4 million bond prepay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investment portfolio is designed to contribute stable earnings and balance risk across diverse asset classes and is primarily invested in high quality fixed income securities.</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2020, the fair value of our investment portfolio was approximately $28 billion and was divided among the following asset class and sectors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8"/>
              </w:rPr>
              <w:t>June 30, 2020</w:t>
            </w: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6"/>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r>
      <w:tr>
        <w:trPr>
          <w:trHeight w:val="202"/>
        </w:trPr>
        <w:tc>
          <w:tcPr>
            <w:tcW w:w="8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Government full faith and credit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United States Government sponsored entities</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 %</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municipalities, states and territories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Foreign Governments</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securities: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Finance, insurance and real estate</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4,184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Manufacturing, construction and mining</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Utilities, energy and related sectors</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Wholesale/retail trade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8100" w:type="dxa"/>
            <w:vAlign w:val="bottom"/>
          </w:tcPr>
          <w:p>
            <w:pPr>
              <w:ind w:left="160"/>
              <w:spacing w:after="0"/>
              <w:rPr>
                <w:sz w:val="20"/>
                <w:szCs w:val="20"/>
                <w:color w:val="auto"/>
              </w:rPr>
            </w:pPr>
            <w:r>
              <w:rPr>
                <w:rFonts w:ascii="Arial" w:cs="Arial" w:eastAsia="Arial" w:hAnsi="Arial"/>
                <w:sz w:val="14"/>
                <w:szCs w:val="14"/>
                <w:color w:val="auto"/>
              </w:rPr>
              <w:t>Services, media and other</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securities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Non-agency residential mortgage-backed securities</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Asset-backed securities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5,609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23,014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Equity securities (a)</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(primarily derivatives and limited partnerships)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 term investments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r>
      <w:tr>
        <w:trPr>
          <w:trHeight w:val="227"/>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investments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27,546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Includes investment grade non-redeemable preferred stocks ($773 million).</w:t>
      </w:r>
    </w:p>
    <w:p>
      <w:pPr>
        <w:spacing w:after="0" w:line="2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ind w:firstLine="8"/>
        <w:spacing w:after="0" w:line="260" w:lineRule="auto"/>
        <w:tabs>
          <w:tab w:leader="none" w:pos="2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2" w:name="page83"/>
    <w:bookmarkEnd w:id="82"/>
    <w:p>
      <w:pPr>
        <w:ind w:firstLine="405"/>
        <w:spacing w:after="0" w:line="277" w:lineRule="auto"/>
        <w:rPr>
          <w:sz w:val="20"/>
          <w:szCs w:val="20"/>
          <w:color w:val="auto"/>
        </w:rPr>
      </w:pPr>
      <w:r>
        <w:rPr>
          <w:rFonts w:ascii="Arial" w:cs="Arial" w:eastAsia="Arial" w:hAnsi="Arial"/>
          <w:sz w:val="18"/>
          <w:szCs w:val="18"/>
          <w:color w:val="auto"/>
        </w:rPr>
        <w:t>As of June 30, 2020, our fixed maturity available-for-sale ("AFS") securities portfolio was approximately $23 billion. The following table summarizes the credit quality, by NRSRO rating, of our fixed income portfolio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8"/>
              </w:rPr>
              <w:t>June 30, 2020</w:t>
            </w: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Rating</w:t>
            </w:r>
          </w:p>
        </w:tc>
        <w:tc>
          <w:tcPr>
            <w:tcW w:w="240" w:type="dxa"/>
            <w:vAlign w:val="bottom"/>
          </w:tcPr>
          <w:p>
            <w:pPr>
              <w:spacing w:after="0"/>
              <w:rPr>
                <w:sz w:val="17"/>
                <w:szCs w:val="17"/>
                <w:color w:val="auto"/>
              </w:rPr>
            </w:pP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r>
      <w:tr>
        <w:trPr>
          <w:trHeight w:val="20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7 %</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8,280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(c)</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4,234</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investment grade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20,971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B and below (b)</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(c)</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below investment grade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27"/>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23,014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$2 million of non-agency residential mortgage-backed securities ("RMBS") that carry a National Association of Insurance Commissioners ("NAIC") 1 designation.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$113 million of non-agency RMBS that carry a NAIC 1 designation.</w:t>
      </w:r>
    </w:p>
    <w:p>
      <w:pPr>
        <w:spacing w:after="0" w:line="55" w:lineRule="exact"/>
        <w:rPr>
          <w:rFonts w:ascii="Arial" w:cs="Arial" w:eastAsia="Arial" w:hAnsi="Arial"/>
          <w:sz w:val="14"/>
          <w:szCs w:val="14"/>
          <w:color w:val="auto"/>
        </w:rPr>
      </w:pPr>
    </w:p>
    <w:p>
      <w:pPr>
        <w:ind w:left="200" w:hanging="192"/>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Securities denoted as not-rated by an NRSRO were classified as investment or non-investment grade according to the securities' respective NAIC designation.</w:t>
      </w:r>
    </w:p>
    <w:p>
      <w:pPr>
        <w:spacing w:after="0" w:line="2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NAIC Designation</w:t>
            </w:r>
          </w:p>
        </w:tc>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97"/>
              </w:rPr>
              <w:t>NRSRO Equivalent Rating</w:t>
            </w:r>
          </w:p>
        </w:tc>
      </w:tr>
      <w:tr>
        <w:trPr>
          <w:trHeight w:val="202"/>
        </w:trPr>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AAA/AA/A</w:t>
            </w:r>
          </w:p>
        </w:tc>
      </w:tr>
      <w:tr>
        <w:trPr>
          <w:trHeight w:val="197"/>
        </w:trPr>
        <w:tc>
          <w:tcPr>
            <w:tcW w:w="554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5520" w:type="dxa"/>
            <w:vAlign w:val="bottom"/>
          </w:tcPr>
          <w:p>
            <w:pPr>
              <w:jc w:val="center"/>
              <w:spacing w:after="0"/>
              <w:rPr>
                <w:sz w:val="20"/>
                <w:szCs w:val="20"/>
                <w:color w:val="auto"/>
              </w:rPr>
            </w:pPr>
            <w:r>
              <w:rPr>
                <w:rFonts w:ascii="Arial" w:cs="Arial" w:eastAsia="Arial" w:hAnsi="Arial"/>
                <w:sz w:val="14"/>
                <w:szCs w:val="14"/>
                <w:color w:val="auto"/>
                <w:w w:val="99"/>
              </w:rPr>
              <w:t>BBB</w:t>
            </w:r>
          </w:p>
        </w:tc>
      </w:tr>
      <w:tr>
        <w:trPr>
          <w:trHeight w:val="208"/>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BB</w:t>
            </w:r>
          </w:p>
        </w:tc>
      </w:tr>
      <w:tr>
        <w:trPr>
          <w:trHeight w:val="197"/>
        </w:trPr>
        <w:tc>
          <w:tcPr>
            <w:tcW w:w="5540" w:type="dxa"/>
            <w:vAlign w:val="bottom"/>
          </w:tcPr>
          <w:p>
            <w:pPr>
              <w:jc w:val="center"/>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5520" w:type="dxa"/>
            <w:vAlign w:val="bottom"/>
          </w:tcPr>
          <w:p>
            <w:pPr>
              <w:jc w:val="center"/>
              <w:spacing w:after="0"/>
              <w:rPr>
                <w:sz w:val="20"/>
                <w:szCs w:val="20"/>
                <w:color w:val="auto"/>
              </w:rPr>
            </w:pPr>
            <w:r>
              <w:rPr>
                <w:rFonts w:ascii="Arial" w:cs="Arial" w:eastAsia="Arial" w:hAnsi="Arial"/>
                <w:sz w:val="14"/>
                <w:szCs w:val="14"/>
                <w:color w:val="auto"/>
                <w:w w:val="85"/>
              </w:rPr>
              <w:t>B</w:t>
            </w:r>
          </w:p>
        </w:tc>
      </w:tr>
      <w:tr>
        <w:trPr>
          <w:trHeight w:val="208"/>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CCC and lower</w:t>
            </w:r>
          </w:p>
        </w:tc>
      </w:tr>
      <w:tr>
        <w:trPr>
          <w:trHeight w:val="190"/>
        </w:trPr>
        <w:tc>
          <w:tcPr>
            <w:tcW w:w="5540" w:type="dxa"/>
            <w:vAlign w:val="bottom"/>
          </w:tcPr>
          <w:p>
            <w:pPr>
              <w:jc w:val="center"/>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6"/>
                <w:szCs w:val="16"/>
                <w:color w:val="auto"/>
              </w:rPr>
            </w:pPr>
          </w:p>
        </w:tc>
        <w:tc>
          <w:tcPr>
            <w:tcW w:w="5520" w:type="dxa"/>
            <w:vAlign w:val="bottom"/>
          </w:tcPr>
          <w:p>
            <w:pPr>
              <w:jc w:val="center"/>
              <w:spacing w:after="0"/>
              <w:rPr>
                <w:sz w:val="20"/>
                <w:szCs w:val="20"/>
                <w:color w:val="auto"/>
              </w:rPr>
            </w:pPr>
            <w:r>
              <w:rPr>
                <w:rFonts w:ascii="Arial" w:cs="Arial" w:eastAsia="Arial" w:hAnsi="Arial"/>
                <w:sz w:val="14"/>
                <w:szCs w:val="14"/>
                <w:color w:val="auto"/>
                <w:w w:val="94"/>
              </w:rPr>
              <w:t>In or near default</w:t>
            </w:r>
          </w:p>
        </w:tc>
      </w:tr>
    </w:tbl>
    <w:p>
      <w:pPr>
        <w:spacing w:after="0" w:line="2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t>The table below present our fixed maturity securities by NAIC designation as of June 30, 2020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 2020</w:t>
            </w:r>
          </w:p>
        </w:tc>
        <w:tc>
          <w:tcPr>
            <w:tcW w:w="2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3140" w:type="dxa"/>
            <w:vAlign w:val="bottom"/>
            <w:gridSpan w:val="2"/>
          </w:tcPr>
          <w:p>
            <w:pPr>
              <w:ind w:left="940"/>
              <w:spacing w:after="0"/>
              <w:rPr>
                <w:sz w:val="20"/>
                <w:szCs w:val="20"/>
                <w:color w:val="auto"/>
              </w:rPr>
            </w:pPr>
            <w:r>
              <w:rPr>
                <w:rFonts w:ascii="Arial" w:cs="Arial" w:eastAsia="Arial" w:hAnsi="Arial"/>
                <w:sz w:val="14"/>
                <w:szCs w:val="14"/>
                <w:b w:val="1"/>
                <w:bCs w:val="1"/>
                <w:color w:val="auto"/>
              </w:rPr>
              <w:t>NAIC Designation</w:t>
            </w:r>
          </w:p>
        </w:tc>
        <w:tc>
          <w:tcPr>
            <w:tcW w:w="460" w:type="dxa"/>
            <w:vAlign w:val="bottom"/>
          </w:tcPr>
          <w:p>
            <w:pPr>
              <w:spacing w:after="0"/>
              <w:rPr>
                <w:sz w:val="17"/>
                <w:szCs w:val="17"/>
                <w:color w:val="auto"/>
              </w:rPr>
            </w:pPr>
          </w:p>
        </w:tc>
        <w:tc>
          <w:tcPr>
            <w:tcW w:w="226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7"/>
                <w:szCs w:val="17"/>
                <w:color w:val="auto"/>
              </w:rPr>
            </w:pP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Fair Value</w:t>
            </w:r>
          </w:p>
        </w:tc>
        <w:tc>
          <w:tcPr>
            <w:tcW w:w="2480" w:type="dxa"/>
            <w:vAlign w:val="bottom"/>
          </w:tcPr>
          <w:p>
            <w:pPr>
              <w:jc w:val="right"/>
              <w:ind w:right="248"/>
              <w:spacing w:after="0"/>
              <w:rPr>
                <w:sz w:val="20"/>
                <w:szCs w:val="20"/>
                <w:color w:val="auto"/>
              </w:rPr>
            </w:pPr>
            <w:r>
              <w:rPr>
                <w:rFonts w:ascii="Arial" w:cs="Arial" w:eastAsia="Arial" w:hAnsi="Arial"/>
                <w:sz w:val="14"/>
                <w:szCs w:val="14"/>
                <w:b w:val="1"/>
                <w:bCs w:val="1"/>
                <w:color w:val="auto"/>
              </w:rPr>
              <w:t>Percent of Total Fair Value</w:t>
            </w:r>
          </w:p>
        </w:tc>
        <w:tc>
          <w:tcPr>
            <w:tcW w:w="180" w:type="dxa"/>
            <w:vAlign w:val="bottom"/>
          </w:tcPr>
          <w:p>
            <w:pPr>
              <w:spacing w:after="0"/>
              <w:rPr>
                <w:sz w:val="17"/>
                <w:szCs w:val="17"/>
                <w:color w:val="auto"/>
              </w:rPr>
            </w:pPr>
          </w:p>
        </w:tc>
      </w:tr>
      <w:tr>
        <w:trPr>
          <w:trHeight w:val="202"/>
        </w:trPr>
        <w:tc>
          <w:tcPr>
            <w:tcW w:w="3020" w:type="dxa"/>
            <w:vAlign w:val="bottom"/>
            <w:tcBorders>
              <w:top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12,033</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2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12,309</w:t>
            </w:r>
          </w:p>
        </w:tc>
        <w:tc>
          <w:tcPr>
            <w:tcW w:w="1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3020" w:type="dxa"/>
            <w:vAlign w:val="bottom"/>
          </w:tcPr>
          <w:p>
            <w:pPr>
              <w:jc w:val="right"/>
              <w:ind w:right="118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tcPr>
          <w:p>
            <w:pPr>
              <w:jc w:val="right"/>
              <w:ind w:right="88"/>
              <w:spacing w:after="0"/>
              <w:rPr>
                <w:sz w:val="20"/>
                <w:szCs w:val="20"/>
                <w:color w:val="auto"/>
              </w:rPr>
            </w:pPr>
            <w:r>
              <w:rPr>
                <w:rFonts w:ascii="Arial" w:cs="Arial" w:eastAsia="Arial" w:hAnsi="Arial"/>
                <w:sz w:val="14"/>
                <w:szCs w:val="14"/>
                <w:color w:val="auto"/>
              </w:rPr>
              <w:t>8,848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9,099</w:t>
            </w:r>
          </w:p>
        </w:tc>
        <w:tc>
          <w:tcPr>
            <w:tcW w:w="12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302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3020" w:type="dxa"/>
            <w:vAlign w:val="bottom"/>
          </w:tcPr>
          <w:p>
            <w:pPr>
              <w:jc w:val="right"/>
              <w:ind w:right="11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tcPr>
          <w:p>
            <w:pPr>
              <w:jc w:val="right"/>
              <w:ind w:right="8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302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3020" w:type="dxa"/>
            <w:vAlign w:val="bottom"/>
            <w:tcBorders>
              <w:bottom w:val="single" w:sz="8" w:color="CCEEFF"/>
            </w:tcBorders>
          </w:tcPr>
          <w:p>
            <w:pPr>
              <w:jc w:val="right"/>
              <w:ind w:right="118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r>
      <w:tr>
        <w:trPr>
          <w:trHeight w:val="227"/>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22,437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2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23,014</w:t>
            </w:r>
          </w:p>
        </w:tc>
        <w:tc>
          <w:tcPr>
            <w:tcW w:w="12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Investment Industry Concentration</w:t>
      </w:r>
    </w:p>
    <w:p>
      <w:pPr>
        <w:spacing w:after="0" w:line="22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tables below present the top ten industry categories of our fixed maturity and equity securities and FHLB common stock, including the fair value and percent of total fixed maturity and equity securities and FHLB common stock fair value as of June 30, 2020 (dollars in millions):</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5048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collateralized loan obligation ("CLO")</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0059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5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80" w:type="dxa"/>
            <w:vAlign w:val="bottom"/>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3,893</w:t>
            </w:r>
          </w:p>
        </w:tc>
        <w:tc>
          <w:tcPr>
            <w:tcW w:w="14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2,351</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2,184</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1,682</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1,585</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1,361</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1,304</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764</w:t>
            </w:r>
          </w:p>
        </w:tc>
        <w:tc>
          <w:tcPr>
            <w:tcW w:w="1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737</w:t>
            </w:r>
          </w:p>
        </w:tc>
        <w:tc>
          <w:tcPr>
            <w:tcW w:w="1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8"/>
        </w:trPr>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624</w:t>
            </w:r>
          </w:p>
        </w:tc>
        <w:tc>
          <w:tcPr>
            <w:tcW w:w="14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16,485</w:t>
            </w:r>
          </w:p>
        </w:tc>
        <w:tc>
          <w:tcPr>
            <w:tcW w:w="1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28" w:right="339" w:bottom="1440" w:gutter="0" w:footer="0" w:header="0"/>
          <w:type w:val="continuous"/>
        </w:sectPr>
      </w:pP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amortized cost and fair value of fixed maturity AFS securities by contractual maturities as of June 30, 2020, are shown below. Actual maturities may differ from contractual maturities because issuers may have the right to call or prepay obligations.</w:t>
      </w:r>
    </w:p>
    <w:p>
      <w:pPr>
        <w:spacing w:after="0" w:line="8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r>
      <w:tr>
        <w:trPr>
          <w:trHeight w:val="18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 Non-structured Hybrids, Municipal and Government securities:</w:t>
            </w: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Due in one year or less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79</w:t>
            </w:r>
          </w:p>
        </w:tc>
      </w:tr>
      <w:tr>
        <w:trPr>
          <w:trHeight w:val="208"/>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1,008</w:t>
            </w: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80" w:type="dxa"/>
            <w:vAlign w:val="bottom"/>
          </w:tcPr>
          <w:p>
            <w:pPr>
              <w:spacing w:after="0"/>
              <w:rPr>
                <w:sz w:val="17"/>
                <w:szCs w:val="17"/>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1,892</w:t>
            </w:r>
          </w:p>
        </w:tc>
      </w:tr>
      <w:tr>
        <w:trPr>
          <w:trHeight w:val="20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10,680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10,976</w:t>
            </w:r>
          </w:p>
        </w:tc>
      </w:tr>
      <w:tr>
        <w:trPr>
          <w:trHeight w:val="196"/>
        </w:trPr>
        <w:tc>
          <w:tcPr>
            <w:tcW w:w="814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13,609</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13,955</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5,501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5,609</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Commercial-mortgage-backed securities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2,561</w:t>
            </w:r>
          </w:p>
        </w:tc>
      </w:tr>
      <w:tr>
        <w:trPr>
          <w:trHeight w:val="19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889</w:t>
            </w:r>
          </w:p>
        </w:tc>
      </w:tr>
      <w:tr>
        <w:trPr>
          <w:trHeight w:val="196"/>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8,829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9,059</w:t>
            </w:r>
          </w:p>
        </w:tc>
      </w:tr>
      <w:tr>
        <w:trPr>
          <w:trHeight w:val="202"/>
        </w:trPr>
        <w:tc>
          <w:tcPr>
            <w:tcW w:w="8140" w:type="dxa"/>
            <w:vAlign w:val="bottom"/>
          </w:tcPr>
          <w:p>
            <w:pPr>
              <w:ind w:left="22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22,438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23,014</w:t>
            </w:r>
          </w:p>
        </w:tc>
      </w:tr>
      <w:tr>
        <w:trPr>
          <w:trHeight w:val="21"/>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Non-Agency RMBS Exposure</w:t>
      </w:r>
    </w:p>
    <w:p>
      <w:pPr>
        <w:spacing w:after="0" w:line="1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our investments in subprime and Alt-A RMBS securities was $74 million and $113 million as of June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85" w:name="page86"/>
    <w:bookmarkEnd w:id="85"/>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exposure to subprime and Alt-A RMBS by credit quality using NAIC designations, NRSRO ratings and vintage year as of June 30, 2020 (dollars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2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Percent of Total</w:t>
            </w:r>
          </w:p>
        </w:tc>
        <w:tc>
          <w:tcPr>
            <w:tcW w:w="160" w:type="dxa"/>
            <w:vAlign w:val="bottom"/>
          </w:tcPr>
          <w:p>
            <w:pPr>
              <w:spacing w:after="0"/>
              <w:rPr>
                <w:sz w:val="17"/>
                <w:szCs w:val="17"/>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2 %</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5 %</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r>
      <w:tr>
        <w:trPr>
          <w:trHeight w:val="227"/>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NRSRO:</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AAA</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1 %</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BBB</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Not rated - Above investment grade (a)</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and below</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810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3"/>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Vintage: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2005 and prior</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27"/>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 Securities denoted as not-rated by an NRSRO were classified as investment or non-investment grade according to the securities' respective NAIC designation.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 Exposure</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2020, our ABS exposure was largely composed of CLOs, which comprised 69% of all ABS holdings. These exposures are generally senior tranches of CLOs which have leveraged loans as their underlying collateral. The remainder of our ABS exposure was largely diversified by underlying collateral and issuer type, including automobile and home equity receivables.</w:t>
      </w:r>
    </w:p>
    <w:p>
      <w:pPr>
        <w:spacing w:after="0" w:line="8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June 30, 2020, the non-CLO exposure represents 31% of total ABS assets, or 6% of total invested assets and the CLO and non-CLO positions were trading at a net unrealized gain (loss) position of $79 million and $32 million, respectively. The following table summarize our ABS exposure (dollars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8"/>
              </w:rPr>
              <w:t>June 30, 2020</w:t>
            </w: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Asset Class</w:t>
            </w:r>
          </w:p>
        </w:tc>
        <w:tc>
          <w:tcPr>
            <w:tcW w:w="240" w:type="dxa"/>
            <w:vAlign w:val="bottom"/>
          </w:tcPr>
          <w:p>
            <w:pPr>
              <w:spacing w:after="0"/>
              <w:rPr>
                <w:sz w:val="17"/>
                <w:szCs w:val="17"/>
                <w:color w:val="auto"/>
              </w:rPr>
            </w:pP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ABS CLO</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3,893</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69 %</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ABS auto</w:t>
            </w:r>
          </w:p>
        </w:tc>
        <w:tc>
          <w:tcPr>
            <w:tcW w:w="2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 other</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8100" w:type="dxa"/>
            <w:vAlign w:val="bottom"/>
          </w:tcPr>
          <w:p>
            <w:pPr>
              <w:ind w:left="120"/>
              <w:spacing w:after="0"/>
              <w:rPr>
                <w:sz w:val="20"/>
                <w:szCs w:val="20"/>
                <w:color w:val="auto"/>
              </w:rPr>
            </w:pPr>
            <w:r>
              <w:rPr>
                <w:rFonts w:ascii="Arial" w:cs="Arial" w:eastAsia="Arial" w:hAnsi="Arial"/>
                <w:sz w:val="14"/>
                <w:szCs w:val="14"/>
                <w:b w:val="1"/>
                <w:bCs w:val="1"/>
                <w:color w:val="auto"/>
              </w:rPr>
              <w:t>Total ABS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5,609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Mortgage Loans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rate all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Realized gains and losses, net in the unaudited Condensed Consolidated Statements of Earnings.</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LTV and DSC ratios are utilized as part of the review process described above. As of June 30, 2020, our mortgage loans on real estate portfolio had a weighted average DSC ratio of 1.6 times, and a weighted average LTV ratio of 33%. See Note E to the Condensed Consolidated Financial Statements included in Item 1 of Part I of this Report for additional information regarding our LTV and DSC ratios.</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F&amp;G's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Unrealized Losses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amortized cost and fair value of the fixed maturity securities and the equity securities that were in an unrealized loss position as of June 30, 2020,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2020</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Expected Credit</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12"/>
                <w:szCs w:val="12"/>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40"/>
              <w:spacing w:after="0"/>
              <w:rPr>
                <w:sz w:val="20"/>
                <w:szCs w:val="20"/>
                <w:color w:val="auto"/>
              </w:rPr>
            </w:pPr>
            <w:r>
              <w:rPr>
                <w:rFonts w:ascii="Arial" w:cs="Arial" w:eastAsia="Arial" w:hAnsi="Arial"/>
                <w:sz w:val="14"/>
                <w:szCs w:val="14"/>
                <w:color w:val="auto"/>
              </w:rPr>
              <w:t>United States Government full faith and credit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United States Government sponsored agencies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7"/>
        </w:trPr>
        <w:tc>
          <w:tcPr>
            <w:tcW w:w="4580" w:type="dxa"/>
            <w:vAlign w:val="bottom"/>
          </w:tcPr>
          <w:p>
            <w:pPr>
              <w:ind w:left="240"/>
              <w:spacing w:after="0"/>
              <w:rPr>
                <w:sz w:val="20"/>
                <w:szCs w:val="20"/>
                <w:color w:val="auto"/>
              </w:rPr>
            </w:pPr>
            <w:r>
              <w:rPr>
                <w:rFonts w:ascii="Arial" w:cs="Arial" w:eastAsia="Arial" w:hAnsi="Arial"/>
                <w:sz w:val="14"/>
                <w:szCs w:val="14"/>
                <w:color w:val="auto"/>
              </w:rPr>
              <w:t>United States municipalities, states and territories</w:t>
            </w: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Governments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insurance and real estate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7"/>
        </w:trPr>
        <w:tc>
          <w:tcPr>
            <w:tcW w:w="4580" w:type="dxa"/>
            <w:vAlign w:val="bottom"/>
          </w:tcPr>
          <w:p>
            <w:pPr>
              <w:ind w:left="240"/>
              <w:spacing w:after="0"/>
              <w:rPr>
                <w:sz w:val="20"/>
                <w:szCs w:val="20"/>
                <w:color w:val="auto"/>
              </w:rPr>
            </w:pPr>
            <w:r>
              <w:rPr>
                <w:rFonts w:ascii="Arial" w:cs="Arial" w:eastAsia="Arial" w:hAnsi="Arial"/>
                <w:sz w:val="14"/>
                <w:szCs w:val="14"/>
                <w:color w:val="auto"/>
              </w:rPr>
              <w:t>Manufacturing, construction and mining</w:t>
            </w: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Utilities, energy and related sectors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7"/>
        </w:trPr>
        <w:tc>
          <w:tcPr>
            <w:tcW w:w="4580" w:type="dxa"/>
            <w:vAlign w:val="bottom"/>
          </w:tcPr>
          <w:p>
            <w:pPr>
              <w:ind w:left="240"/>
              <w:spacing w:after="0"/>
              <w:rPr>
                <w:sz w:val="20"/>
                <w:szCs w:val="20"/>
                <w:color w:val="auto"/>
              </w:rPr>
            </w:pPr>
            <w:r>
              <w:rPr>
                <w:rFonts w:ascii="Arial" w:cs="Arial" w:eastAsia="Arial" w:hAnsi="Arial"/>
                <w:sz w:val="14"/>
                <w:szCs w:val="14"/>
                <w:color w:val="auto"/>
              </w:rPr>
              <w:t>Wholesale/retail trade</w:t>
            </w: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Services, media and other</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Hybrid securities</w:t>
            </w: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Non-agency residential mortgage backed securities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Commercial mortgage backed securities</w:t>
            </w:r>
          </w:p>
        </w:tc>
        <w:tc>
          <w:tcPr>
            <w:tcW w:w="1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backed securities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90"/>
        </w:trPr>
        <w:tc>
          <w:tcPr>
            <w:tcW w:w="4580" w:type="dxa"/>
            <w:vAlign w:val="bottom"/>
          </w:tcPr>
          <w:p>
            <w:pPr>
              <w:ind w:left="12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18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3,799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8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2"/>
        </w:trPr>
        <w:tc>
          <w:tcPr>
            <w:tcW w:w="4580" w:type="dxa"/>
            <w:vAlign w:val="bottom"/>
          </w:tcPr>
          <w:p>
            <w:pPr>
              <w:ind w:left="120"/>
              <w:spacing w:after="0"/>
              <w:rPr>
                <w:sz w:val="20"/>
                <w:szCs w:val="20"/>
                <w:color w:val="auto"/>
              </w:rPr>
            </w:pPr>
            <w:r>
              <w:rPr>
                <w:rFonts w:ascii="Arial" w:cs="Arial" w:eastAsia="Arial" w:hAnsi="Arial"/>
                <w:sz w:val="14"/>
                <w:szCs w:val="14"/>
                <w:b w:val="1"/>
                <w:bCs w:val="1"/>
                <w:color w:val="auto"/>
              </w:rPr>
              <w:t>Total investments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4,226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gross unrealized loss position on the fixed maturity available-for-sale fixed and equity portfolio was $69 million as of June 30, 2020. Most components of the portfolio exhibited price appreciation as credit spreads narrowed significantly during the period. The total amortized cost of all securities in an unrealized loss position was $4,226 million as of June 30, 2020. The average market value/book value of the investment category with the largest unrealized loss position was 98% for asset backed securities as of June 30, 2020. In aggregate, asset backed securities represented 20% of the total unrealized loss position as of June 30, 2020.</w:t>
      </w:r>
    </w:p>
    <w:p>
      <w:pPr>
        <w:spacing w:after="0" w:line="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municipal bond exposure is a combination of general obligation bonds (fair value of $240 million and an amortized cost of $231 million as of June 30, 2020) and special revenue bonds (fair value of $1,121 million and amortized cost of $1,090 million as of June 30, 2020).</w:t>
      </w:r>
    </w:p>
    <w:p>
      <w:pPr>
        <w:spacing w:after="0" w:line="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Across all municipal bonds, the largest issuer represented 8% of the category, less than 1% of the entire portfolio and is rated NAIC 1. Our focus within municipal bonds is on NAIC 1 rated instruments, and 89%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8" w:name="page89"/>
    <w:bookmarkEnd w:id="88"/>
    <w:p>
      <w:pPr>
        <w:jc w:val="both"/>
        <w:ind w:firstLine="405"/>
        <w:spacing w:after="0" w:line="277" w:lineRule="auto"/>
        <w:rPr>
          <w:sz w:val="20"/>
          <w:szCs w:val="20"/>
          <w:color w:val="auto"/>
        </w:rPr>
      </w:pPr>
      <w:r>
        <w:rPr>
          <w:rFonts w:ascii="Arial" w:cs="Arial" w:eastAsia="Arial" w:hAnsi="Arial"/>
          <w:sz w:val="18"/>
          <w:szCs w:val="18"/>
          <w:color w:val="auto"/>
        </w:rPr>
        <w:t>The amortized cost and fair value of fixed maturity available for sale securities under watch list analysis and the number of months in a loss position with investment grade securities (NRSRO rating of BBB/Baa or higher) as of June 30, 2020, were as follows (dollars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securities</w:t>
            </w:r>
          </w:p>
        </w:tc>
        <w:tc>
          <w:tcPr>
            <w:tcW w:w="16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3"/>
                <w:szCs w:val="13"/>
                <w:color w:val="auto"/>
              </w:rPr>
            </w:pPr>
          </w:p>
        </w:tc>
        <w:tc>
          <w:tcPr>
            <w:tcW w:w="12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grade:</w:t>
            </w:r>
          </w:p>
        </w:tc>
        <w:tc>
          <w:tcPr>
            <w:tcW w:w="1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ind w:left="11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color w:val="auto"/>
              </w:rPr>
              <w:t>Twelve months or greater</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investment grade</w:t>
            </w:r>
          </w:p>
        </w:tc>
        <w:tc>
          <w:tcPr>
            <w:tcW w:w="14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Twelve months or greater</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below investment grade</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and Watch List</w:t>
      </w:r>
    </w:p>
    <w:p>
      <w:pPr>
        <w:spacing w:after="0" w:line="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June 30, 2020, our watch list included six securities in an unrealized loss position with an amortized cost of $52 million, allowance for expected credit losses of $8 million, unrealized losses of $2 million and a fair value of $42 million. The watch list excludes structured securities due to a revision of processes as a result of ASU 2016-13.</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54 structured securities with a fair value of $91 million on the watch list to which we had potential credit exposure as of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analysis of these structured securities, which included cash flow testing, resulted in allowances for expected credit losses as of June 30,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Sovereign Debt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portfolio had no direct exposure to European sovereign debt as of June 30, 2020.</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 Company also had no material exposure risk related to financial investments in Puerto Rico.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regarding our net investment income and net investment gains (losses) refer to Note E to the Condensed Consolidated Financial Statements included in Item 1 of Part 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AFS Securities</w:t>
      </w:r>
    </w:p>
    <w:p>
      <w:pPr>
        <w:spacing w:after="0" w:line="13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June 30, 2020, refer to Note E to the Condensed Consolidated Financial Statements included in Item 1 of Part I of this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detail regarding our concentration of financial instruments refer to Item 3 of Part II of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reduces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F to the Condensed Consolidated Financial Statements included in Item 1 of Part I of this Report for additional information regarding our derivatives and our exposure to credit loss on call options.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1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20"/>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76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Realized gains and losses, net</w:t>
            </w:r>
          </w:p>
        </w:tc>
        <w:tc>
          <w:tcPr>
            <w:tcW w:w="7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76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7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141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continuing operations, before income taxes and equity in earnings of</w:t>
            </w:r>
          </w:p>
        </w:tc>
        <w:tc>
          <w:tcPr>
            <w:tcW w:w="76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(69)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unconsolidated affiliates</w:t>
            </w: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revenues in the Corporate and Other segment increased $20 million, or 38%, in the three-month period ended June 30, 2020 and decreased $50 million, or 45% in the six-month period ended June 30, 2020 from the corresponding periods in 2019. The increase in the three-month period and decrease in the six-month period are primarily attributable to valuation gains and losses, respectively, associated with our deferred compensation plan assets in the 2020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0" w:name="page91"/>
    <w:bookmarkEnd w:id="90"/>
    <w:p>
      <w:pPr>
        <w:jc w:val="both"/>
        <w:ind w:firstLine="243"/>
        <w:spacing w:after="0" w:line="255" w:lineRule="auto"/>
        <w:rPr>
          <w:sz w:val="20"/>
          <w:szCs w:val="20"/>
          <w:color w:val="auto"/>
        </w:rPr>
      </w:pPr>
      <w:r>
        <w:rPr>
          <w:rFonts w:ascii="Arial" w:cs="Arial" w:eastAsia="Arial" w:hAnsi="Arial"/>
          <w:sz w:val="18"/>
          <w:szCs w:val="18"/>
          <w:color w:val="auto"/>
        </w:rPr>
        <w:t>Personnel costs in the Corporate and Other segment increased $26 million, or 81%, in the three-month period ended June 30, 2020 and decreased $42 million, or 58% in the six-month period ended June 30, 2020 from the corresponding periods in 2019. The increase in the three-month period is attributable to increased expense associated with the aforementioned increase in the valuation of deferred compensation plan assets, partially offset by a decline in average employee headcount compared to the corresponding period in 2019. The decrease in the six-month period is attributable to the aforementioned decrease in the valuation of deferred compensation plan assets, partially offset by an increase in average employee headcount compared to the corresponding period in 2019.</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 the Corporate and Other segment increased $24 million, or 67%, in the three-month period ended June 30, 2020 and increased $26 million, or 40%, from the corresponding periods in 2019. The increase in the three and six-month periods ended June 30, 2020 is primarily attributable to costs related to the acquisition of F&amp;G, which were in excess of the costs incurred related to the abandoned acquisition of Stewart Information Services Corporation in the 2019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on our debt, capital expenditures, business acquisitions, stock repurchases and dividends on our common stock. We paid dividends of $0.33 per share in the second quarter of 2020, or approximately $96 million to our common shareholders. On July 22, 2020, our Board of Directors declared cash dividends of $0.33 per share, payable on September 30, 2020, to FNF common shareholders of record as of September 16, 2020.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of June 30, 2020, we had cash and cash equivalents of $2,353 million, short term investments of $209 million and available capacity under our Revolving Credit Facilities of $1,050 million. On April 22, 2020 we entered into the Term Loan Agreement which provides for a $1.0 billion, 364 day delayed-draw, term loan. On June 1, 2020, in connection with the completion of our F&amp;G acquisition, we drew down the full $1.0 billion in principal to fund a portion of the acquisition. On June 12, 2020 we completed our underwritten public offering of $650 million aggregate principal amount of our 3.40% Notes. The net proceeds from the registered offering of the 3.40% Notes were approximately $642 million, after deducting underwriting discounts and commissions and offering expenses. We used the net proceeds from the offering to repay $640 million of the outstanding principal amount under the Term Loan. On July 31, 2020, we repaid an additional $100 million of the principal amount under the Term Loan Agreement. Additionally, on July 29, 2020, we purchased for $90 million the outstanding Class A units of ServiceLink held by minority owners. As of the purchase date ServiceLink is a wholly owned subsidiary of FNF.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8"/>
          <w:szCs w:val="18"/>
          <w:color w:val="auto"/>
        </w:rPr>
        <w:t>domicile regulates the extent to which our title underwriters can pay dividends or make other distributions. As of December 31, 2019, $1,868 million of our net assets were restricted from dividend payments without prior approval from the relevant departments of insurance. We anticipate that our title insurance subsidiaries will pay or make dividends in the remainder of 2020 of approximately $261 million. Our underwritten title companies and non-insurance subsidiaries are not regulated to the same extent as our insurance subsidiaries.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six months ended June 30, 2020 and 2019 totaled $553 million and $372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cash provided by operating activities of $181 million is primarily attributable to the increase in pre-tax earnings, excluding non-cash valuation losses in the current year period and non-cash valuation gains in the prior year period, and the addition of interest credited to contractholder account balances of $123 million in the current year period, partially offset by the timing of receipts and payments of prepaid assets, payables, receivables and income taxes.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provided by investing activities for the six months ended June 30, 2020 and 2019 were $(353)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$120 million, respectively. The increase in cash used in investing activities of $473 million in the 2020 period compared with the 2019 period is primarily attributable to a $976 million cash outflow, which is net of cash acquired, related to the acquisition of F&amp;G, partially offset by increased proceeds from sales and maturities of short-term investments of $538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$48 million and $47 million for the six-month periods ended June 30, 2020 and 2019, respectively.</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provided by (used in) financing activities for the six months ended June 30, 2020 and 2019 were $777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$(144) million, respectively. The increase in cash provided by financing activities of $921 million from the 2019 period is primarily attributable to cash inflows from principal borrowings under the Term Loan Credit Agreement of $1 billion, the offering of the 3.40% Notes of $648 million, cash inflows from contractholder account deposits of $297 million, and a $31 million increase in cash inflows related to the exercise of stock options, partially offset by repayments of principal borrowed under the Term Loan of $640 million, increased cash outflows from contractholder withdrawals of $193 million, and a $147 million increase in cash outflows related to the change in secured trust deposits.</w:t>
      </w:r>
    </w:p>
    <w:p>
      <w:pPr>
        <w:spacing w:after="0" w:line="70" w:lineRule="exact"/>
        <w:rPr>
          <w:sz w:val="20"/>
          <w:szCs w:val="20"/>
          <w:color w:val="auto"/>
        </w:rPr>
      </w:pPr>
    </w:p>
    <w:p>
      <w:pPr>
        <w:ind w:right="380" w:firstLine="324"/>
        <w:spacing w:after="0" w:line="244"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H</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ind w:right="140" w:firstLine="324"/>
        <w:spacing w:after="0" w:line="238"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contractual obligations related to annuity and universal life products increased by approximately $37 billion at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a result of the acquisition of F&amp;G. See Note G to the Condensed Consolidated Financial Statements included in Item 1 of Part I of this Report for changes to our contractual obligations related to notes payable. Since December 31, 2019, there have been no other material changes to our contractual obligations.</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17, 2018, our Board of Directors approved a new three-year stock repurchase program effective August 1, 2018</w:t>
      </w:r>
      <w:r>
        <w:rPr>
          <w:rFonts w:ascii="Arial" w:cs="Arial" w:eastAsia="Arial" w:hAnsi="Arial"/>
          <w:sz w:val="17"/>
          <w:szCs w:val="17"/>
          <w:i w:val="1"/>
          <w:iCs w:val="1"/>
          <w:color w:val="auto"/>
        </w:rPr>
        <w:t xml:space="preserve"> </w:t>
      </w:r>
      <w:r>
        <w:rPr>
          <w:rFonts w:ascii="Arial" w:cs="Arial" w:eastAsia="Arial" w:hAnsi="Arial"/>
          <w:sz w:val="17"/>
          <w:szCs w:val="17"/>
          <w:color w:val="auto"/>
        </w:rPr>
        <w:t>(the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We repurchased 3,650,000 shares of FNF common stock during the six months ended June 30, 2020 for approximately $104 million, or an average of $28.45 per share. Since the original commencement of the 2018 Repurchase Program through market close on August 7, 2020, we repurchased a total of 6,430,000 FNF common shares for $210 million, or an average of $32.70 per share.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our unfunded investment commitments discussed below, there have been no significant changes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off-balance sheet arrangements since our Annual Report.</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have unfunded investment commitments as of June 30, 2020 based upon the timing of when investments are executed compared to when the actual investments are funded, as some investments require that funding occur over a period of months or years. Please refer to Note E and Note H to the Condensed Consolidated Financial Statements included in Item 1 of Part I of this Report for additional details on unfunded investment commitments.</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the market risk factors related to our F&amp;G segment described below, there have been no material changes in the market risks described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and are naturally exposed to a variety of market risks. We are primarily exposed to interest rate risk, credit risk and equity price risk and have some exposure to counterparty risk, which affect the fair value of financial instruments subject to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6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place a high priority to risk management and risk control. As part of our effort to ensure measured risk taking, management has integrated risk management in our daily business activities and strategic planning. We have comprehensive risk management, governance and control procedures in place and have established a dedicated risk management function with responsibility for the formulation of our risk appetite, strategies, policies and limits. The risk management function is also responsible for monitoring our overall market risk exposures and provides review, oversight and support functions on risk-related issues. Our risk appetite is aligned with how our businesses are managed and how we anticipate future regulatory developments.</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Our risk governance and control systems enable us to identify, control, monitor and aggregate risks and provide assurance that risks are being measured, monitored and reported adequately and effectively in accordance with the following three principles:</w:t>
      </w:r>
    </w:p>
    <w:p>
      <w:pPr>
        <w:spacing w:after="0" w:line="212"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of the business has primary responsibility for the day-to-day management of risk.</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risk management function has the primary responsibility to align risk taking with strategic planning through risk tolerance and limit setting.</w:t>
      </w:r>
    </w:p>
    <w:p>
      <w:pPr>
        <w:spacing w:after="0" w:line="263" w:lineRule="exact"/>
        <w:rPr>
          <w:rFonts w:ascii="Arial" w:cs="Arial" w:eastAsia="Arial" w:hAnsi="Arial"/>
          <w:sz w:val="17"/>
          <w:szCs w:val="17"/>
          <w:color w:val="auto"/>
        </w:rPr>
      </w:pPr>
    </w:p>
    <w:p>
      <w:pPr>
        <w:ind w:right="300" w:firstLine="8"/>
        <w:spacing w:after="0" w:line="277" w:lineRule="auto"/>
        <w:tabs>
          <w:tab w:leader="none" w:pos="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internal audit function provides an ongoing independent and objective assessment of the effectiveness of internal controls, including financial and operational risk management.</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Chief Risk Officer (“CRO”) heads our risk management process and reports directly to our Chief Executive Officer (“CEO”). Our Enterprise Risk Committee discusses and approves all risk policies and reviews and approves risks associated with our activities. This includes volatility (affecting earnings and value), exposure (required capital and market risk) and insurance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implemented several limit structures to manage risk. Examples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3" w:name="page94"/>
    <w:bookmarkEnd w:id="93"/>
    <w:p>
      <w:pPr>
        <w:ind w:firstLine="8"/>
        <w:spacing w:after="0" w:line="277" w:lineRule="auto"/>
        <w:tabs>
          <w:tab w:leader="none" w:pos="1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At-risk limits on sensitivities of regulatory capital to the capital markets provide the fundamental framework to manage capital markets risks including the risk of asset / liability mismatch;</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Duration and convexity mismatch limits;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Credit risk concentration limits;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 and derivative guidelines.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manage our risk appetite based on two key risk metrics:</w:t>
      </w:r>
    </w:p>
    <w:p>
      <w:pPr>
        <w:spacing w:after="0" w:line="252" w:lineRule="exact"/>
        <w:rPr>
          <w:sz w:val="20"/>
          <w:szCs w:val="20"/>
          <w:color w:val="auto"/>
        </w:rPr>
      </w:pPr>
    </w:p>
    <w:p>
      <w:pPr>
        <w:ind w:right="120" w:firstLine="8"/>
        <w:spacing w:after="0" w:line="277" w:lineRule="auto"/>
        <w:tabs>
          <w:tab w:leader="none" w:pos="1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Capital Sensitivities: the potential reduction, under a range of moderate to extreme capital markets stress scenarios, of the excess of available statutory capital above the minimum required under the NAIC regulatory RBC methodology; and</w:t>
      </w:r>
    </w:p>
    <w:p>
      <w:pPr>
        <w:spacing w:after="0" w:line="197" w:lineRule="exact"/>
        <w:rPr>
          <w:rFonts w:ascii="Arial" w:cs="Arial" w:eastAsia="Arial" w:hAnsi="Arial"/>
          <w:sz w:val="18"/>
          <w:szCs w:val="18"/>
          <w:color w:val="auto"/>
        </w:rPr>
      </w:pPr>
    </w:p>
    <w:p>
      <w:pPr>
        <w:jc w:val="both"/>
        <w:ind w:right="340" w:firstLine="8"/>
        <w:spacing w:after="0" w:line="263" w:lineRule="auto"/>
        <w:tabs>
          <w:tab w:leader="none" w:pos="1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Earnings Sensitivities: the potential reduction in results of operations over a 30 year time horizon under the same moderate to extreme capital markets stress scenario. Maintaining a consistent level of earnings helps us to finance our operations, support our capital requirements and provide funds to pay dividends to stockholders.</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Our risk metrics cover the most important aspects in terms of performance measures where risk can materialize and are representative of the regulatory constraints to which our business is subject. The sensitivities for earnings and statutory capital are important metrics since they provide insight into the level of risk we take under stress scenarios. They also are the basis for internal risk management.</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also subject to cash flow stress testing pursuant to regulatory requirements. This analysis measures the effect of changes in interest rate assumptions on asset and liability cash flows. The analysis includes the effects of:</w:t>
      </w:r>
    </w:p>
    <w:p>
      <w:pPr>
        <w:spacing w:after="0" w:line="197"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amount of redemptions and prepayments in our asset portfolio;</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derivative portfolio;</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Death benefits and other claims payable under the terms of our insurance products;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Lapses and surrenders in our insurance products;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Minimum interest guarantees in our insurance products;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Book value guarantees in our insurance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Interest rate risk is our primary market risk exposure. We define interest rate risk as the risk of an economic loss due to adverse changes in interest rates. This risk arises from our holdings in interest sensitive assets and liabilities, primarily as a result of investing life insurance premiums and fixed annuity deposits received in interest-sensitive assets and carrying these funds as interest-sensitive liabilities. Substantial and sustained increases or decreases in market interest rates can affect the profitability of the insurance products and the fair value of our investments, as the majority of our insurance liabilities are backed by fixed maturity securities.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profitability of most of our products depends on the spreads between interest yield on investments and rates credited on insurance liabilities. We have the ability to adjust the rates credited, primarily caps and credit rates, on the majority of the annuity liabilities at least annually, subject to minimum guaranteed values. In addition, the majority of the annuity products have surrender and withdrawal penalty provisions designed to encourage persistency and to help ensure targeted spreads are earned. However, competitive factors, including the impact of the level of surrenders and withdrawals, may limit our ability to adjust or maintain crediting rates at the levels necessary to avoid a narrowing of spreads under certain market conditions.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4" w:name="page95"/>
    <w:bookmarkEnd w:id="94"/>
    <w:p>
      <w:pPr>
        <w:jc w:val="both"/>
        <w:ind w:firstLine="405"/>
        <w:spacing w:after="0" w:line="259" w:lineRule="auto"/>
        <w:rPr>
          <w:sz w:val="20"/>
          <w:szCs w:val="20"/>
          <w:color w:val="auto"/>
        </w:rPr>
      </w:pPr>
      <w:r>
        <w:rPr>
          <w:rFonts w:ascii="Arial" w:cs="Arial" w:eastAsia="Arial" w:hAnsi="Arial"/>
          <w:sz w:val="18"/>
          <w:szCs w:val="18"/>
          <w:color w:val="auto"/>
        </w:rPr>
        <w:t>In order to meet our policy and contractual obligations, we must earn a sufficient return on our invested assets. Significant changes in interest rates exposes us to the risk of not earning the anticipated spreads between the interest rate earned on our investments and the credited interest rates paid on outstanding policies and contracts. Both rising and declining interest rates can negatively affect interest earnings, spread income and the attractiveness of certain of our products.</w:t>
      </w:r>
    </w:p>
    <w:p>
      <w:pPr>
        <w:spacing w:after="0" w:line="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periods of increasing interest rates, we may offer higher crediting rates on interest-sensitive products, such as IUL insurance and fixed annuities, and we may increase crediting rates on in-force products to keep these products competitive. A rise in interest rates, in the absence of other countervailing changes, will result in a decline in the market value of our investment portfolio.</w:t>
      </w:r>
    </w:p>
    <w:p>
      <w:pPr>
        <w:spacing w:after="0" w:line="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part of our asset liability management (“ALM”) program, we have made a significant effort to identify the assets appropriate to different product lines and ensure investing strategies match the profile of these liabilities. Our ALM strategy is designed to align the expected cash flows from the investment portfolio with the expected liability cash flows. As such, a major component of our effort to manage interest rate risk has been to structure the investment portfolio with cash flow characteristics that are consistent with the cash flow characteristics of the insurance liabilities. We use actuarial models to simulate the cash flows expected from the existing business under various interest rate scenarios. These simulations enable us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duration of the investment portfolio, excluding cash and cash equivalents, derivatives, policy loans, and common stocks as of June 30, 2020, is summarized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Duration (years)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Total</w:t>
            </w:r>
          </w:p>
        </w:tc>
        <w:tc>
          <w:tcPr>
            <w:tcW w:w="160" w:type="dxa"/>
            <w:vAlign w:val="bottom"/>
            <w:tcBorders>
              <w:bottom w:val="single" w:sz="8" w:color="auto"/>
            </w:tcBorders>
          </w:tcPr>
          <w:p>
            <w:pPr>
              <w:spacing w:after="0"/>
              <w:rPr>
                <w:sz w:val="18"/>
                <w:szCs w:val="18"/>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0-4</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11,982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5-9</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5,651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10-14</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15-19</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3,024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2"/>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26,696</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and Counterparty Risk</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the risk that a counterparty will default on its contractual obligation resulting in financial loss. The major source of credit risk arises predominantly in our insurance operations’ portfolios of debt and similar securities. The fair value of our fixed maturity portfolio totaled $23 billion at June 30, 2020. Our credit risk materializes primarily as impairment losses. We are exposed to occasional cyclical economic downturns, during which impairment losses may be significantly higher than the long-term historical average. This is offset by years where we expect the actual impairment losses to be substantially lower than the long-term average. Credit risk in the portfolio can also materialize as increased capital requirements as assets migrate into lower credit qualities over time. The effect of rating migration on our capital requirements is also dependent on the economic cycle and increased asset impairment levels may go hand in hand with increased asset related capital requirements.</w:t>
      </w:r>
    </w:p>
    <w:p>
      <w:pPr>
        <w:spacing w:after="0" w:line="4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attempt to manage the risk of default and rating migration by applying disciplined credit evaluation and underwriting standards and limiting allocations to lower quality, higher risk investments. In addition, we diversify our exposure by issuer and country, using rating based issuer and country limits. We also set investment constraints that limit our exposure by industry segment. To limit the impact that credit risk can have on earnings and capital adequacy levels, we have portfolio-level credit risk constraints in place. Limit compliance is monitored on a monthly or, in some cases, daily basis.</w:t>
      </w:r>
    </w:p>
    <w:p>
      <w:pPr>
        <w:spacing w:after="0" w:line="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the use of call options, we are exposed to counterparty credit risk-the risk that a counterparty fails to perform under the terms of the derivative contract. We have adopted a policy of only dealing with credit worthy counterparties and obtaining sufficient collateral where appropriate, as a means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Our policy allows for the purchase of derivative instruments from counterparties and/or clearinghouses that meet the required qualifications under the Iowa Code. We review the ratings of all the counterparties periodically. Collateral support documents are negotiated to further reduce the exposure when deemed necessary. See Note F to the Condensed Consolidated Financial Statements included in Item 1 of Part I of this Report for additional information regarding our exposure to credit loss.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credit risk related to the ability of reinsurance counterparties to honor their obligations to pay the contract amounts under various agreements. To minimize the risk of credit loss on such contracts, we diversify our exposures among many reinsurers and limit the amount of exposure to each based on credit rating. We also generally limit our selection of counterparties with which we do new transactions to those with an “A-” credit rating or above and/or that are appropriately collateralized and provide credit for reinsurance. When exceptions are made to that principle, we ensure that we obtain collateral to mitigate our risk of loss. The following table presents our reinsurance recoverable balances and financial strength ratings for our five largest reinsurance recoverable balances as of June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rPr>
              <w:t>Financial Strength Rating</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Parent Company/Principal Reinsurers</w:t>
            </w:r>
          </w:p>
        </w:tc>
        <w:tc>
          <w:tcPr>
            <w:tcW w:w="140" w:type="dxa"/>
            <w:vAlign w:val="bottom"/>
            <w:vMerge w:val="restart"/>
          </w:tcPr>
          <w:p>
            <w:pPr>
              <w:spacing w:after="0"/>
              <w:rPr>
                <w:sz w:val="12"/>
                <w:szCs w:val="12"/>
                <w:color w:val="auto"/>
              </w:rPr>
            </w:pPr>
          </w:p>
        </w:tc>
        <w:tc>
          <w:tcPr>
            <w:tcW w:w="140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Reinsurance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 Best</w:t>
            </w:r>
          </w:p>
        </w:tc>
        <w:tc>
          <w:tcPr>
            <w:tcW w:w="12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S&amp;P</w:t>
            </w:r>
          </w:p>
        </w:tc>
        <w:tc>
          <w:tcPr>
            <w:tcW w:w="12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Fitch</w:t>
            </w:r>
          </w:p>
        </w:tc>
        <w:tc>
          <w:tcPr>
            <w:tcW w:w="12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Moody's</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Recoverable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Wilton Reassurance Company</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$1,478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Not Rated</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Not Rated</w:t>
            </w:r>
          </w:p>
        </w:tc>
        <w:tc>
          <w:tcPr>
            <w:tcW w:w="0" w:type="dxa"/>
            <w:vAlign w:val="bottom"/>
          </w:tcPr>
          <w:p>
            <w:pPr>
              <w:spacing w:after="0"/>
              <w:rPr>
                <w:sz w:val="1"/>
                <w:szCs w:val="1"/>
                <w:color w:val="auto"/>
              </w:rPr>
            </w:pPr>
          </w:p>
        </w:tc>
      </w:tr>
      <w:tr>
        <w:trPr>
          <w:trHeight w:val="197"/>
        </w:trPr>
        <w:tc>
          <w:tcPr>
            <w:tcW w:w="5080" w:type="dxa"/>
            <w:vAlign w:val="bottom"/>
            <w:gridSpan w:val="2"/>
          </w:tcPr>
          <w:p>
            <w:pPr>
              <w:ind w:left="60"/>
              <w:spacing w:after="0"/>
              <w:rPr>
                <w:sz w:val="20"/>
                <w:szCs w:val="20"/>
                <w:color w:val="auto"/>
              </w:rPr>
            </w:pPr>
            <w:r>
              <w:rPr>
                <w:rFonts w:ascii="Arial" w:cs="Arial" w:eastAsia="Arial" w:hAnsi="Arial"/>
                <w:sz w:val="14"/>
                <w:szCs w:val="14"/>
                <w:color w:val="auto"/>
              </w:rPr>
              <w:t>Kubera</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828</w:t>
            </w:r>
          </w:p>
        </w:tc>
        <w:tc>
          <w:tcPr>
            <w:tcW w:w="12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Not Rated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Not Rated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Not Rated</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Not Rated</w:t>
            </w:r>
          </w:p>
        </w:tc>
        <w:tc>
          <w:tcPr>
            <w:tcW w:w="0" w:type="dxa"/>
            <w:vAlign w:val="bottom"/>
          </w:tcPr>
          <w:p>
            <w:pPr>
              <w:spacing w:after="0"/>
              <w:rPr>
                <w:sz w:val="1"/>
                <w:szCs w:val="1"/>
                <w:color w:val="auto"/>
              </w:rPr>
            </w:pPr>
          </w:p>
        </w:tc>
      </w:tr>
      <w:tr>
        <w:trPr>
          <w:trHeight w:val="208"/>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Life of Denver Insurance Company</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Not Rated</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A3</w:t>
            </w:r>
          </w:p>
        </w:tc>
        <w:tc>
          <w:tcPr>
            <w:tcW w:w="0" w:type="dxa"/>
            <w:vAlign w:val="bottom"/>
          </w:tcPr>
          <w:p>
            <w:pPr>
              <w:spacing w:after="0"/>
              <w:rPr>
                <w:sz w:val="1"/>
                <w:szCs w:val="1"/>
                <w:color w:val="auto"/>
              </w:rPr>
            </w:pPr>
          </w:p>
        </w:tc>
      </w:tr>
      <w:tr>
        <w:trPr>
          <w:trHeight w:val="197"/>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Hannover Re</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130</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AA-</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Not Rated</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Not Rated</w:t>
            </w:r>
          </w:p>
        </w:tc>
        <w:tc>
          <w:tcPr>
            <w:tcW w:w="0" w:type="dxa"/>
            <w:vAlign w:val="bottom"/>
          </w:tcPr>
          <w:p>
            <w:pPr>
              <w:spacing w:after="0"/>
              <w:rPr>
                <w:sz w:val="1"/>
                <w:szCs w:val="1"/>
                <w:color w:val="auto"/>
              </w:rPr>
            </w:pPr>
          </w:p>
        </w:tc>
      </w:tr>
      <w:tr>
        <w:trPr>
          <w:trHeight w:val="208"/>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London Life</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Not Rated</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Not Rated</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Not Rated</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the normal course of business, certain reinsurance recoverables are subject to reviews by the reinsurers. We are not aware of any material disputes arising from these reviews or other communications with the counterparties as of June 30, 2020 that would require an allowance for uncollectible amounts.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primarily exposed to equity price risk through certain insurance products, specifically those products with GMWB. We offer a variety of FIA contracts with crediting strategies linked to the performance of indices such as the S&amp;P 500 Index, Dow Jones Industrials or the NASDAQ 100 Index. The estimated cost of providing GMWB incorporates various assumptions about the overall performance of equity markets over certain time periods. Periods of significant and sustained downturns in equity markets, increased equity volatility or reduced interest rates could result in an increase in the valuation of the future policy benefit or policyholder account balance liabilities associated with such products, resulting in a reduction in our net earnings. The rate of amortization of intangibles related to FIA products and the cost of providing GMWB could also increase if equity market performance is worse than assumed.</w:t>
      </w:r>
    </w:p>
    <w:p>
      <w:pPr>
        <w:spacing w:after="0" w:line="6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 economically hedge the equity returns on these products, we purchase derivatives to hedge the FIA equity exposure. The primary way we hedge FIA equity exposure is to purchase over the counter equity index call options from broker-dealer derivative counterparties approved by the Company. The second way to hedge FIA equity exposure is by purchasing exchange traded equity index futures contracts. Our hedging strategy enables us to reduce our overall hedging costs and achieve a high correlation of returns on the call options purchased relative to the index credits earned by the FIA contractholders. The majority of the call options are one-year options purchased to match the funding requirements underlying the FIA contracts. These hedge programs are limited to the current policy term of the FIA contracts, based on current participation rates. Future returns, which may be reflected in FIA contracts’ credited rates beyond the current policy term, are not hedged. We attempt to manage the costs of these purchases through the terms of our FIA contracts, which permit us to change caps or participation rates, subject to certain guaranteed minimums that must be maintained.</w:t>
      </w:r>
    </w:p>
    <w:p>
      <w:pPr>
        <w:spacing w:after="0" w:line="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derivatives are used to fund the FIA contract index credits and the cost of the call options purchased is treated as a component of spread earnings. While the FIA hedging program does not explicitly hedge GAAP income volatility, the FIA hedging program tends to mitigate a significant portion of the GAAP reserve changes associated with movements in the equity market and risk-free rates. This is due to the fact that a key component in the calculation of GAAP reserves is the market valuation of the current term embedded derivative. Due to the alignment of the embedded derivative reserve component with hedging of this same embedded derivative, there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we incur a raw hedging loss.</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F to the Condensed Consolidated Financial Statements included in Item 1 of Part I of this Report for additional details on the derivatives portfolio.</w:t>
      </w:r>
    </w:p>
    <w:p>
      <w:pPr>
        <w:spacing w:after="0" w:line="3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Fair value changes associated with these investments are intended to, but do not always, substantially offset the increase or decrease in the amounts added to policyholder account balances for index products. When index credits to policyholders exceed option proceeds received at expiration related to such credits, any shortfall is funded by our net investment spread earnings and futures income. For the one month ended June 30, 2020, the annual index credits to policyholders on their anniversaries was $21 million. Proceeds received at expiration on options related to such credits was $7 million.</w:t>
      </w:r>
    </w:p>
    <w:p>
      <w:pPr>
        <w:spacing w:after="0" w:line="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The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and value-at-risk to monitor this risk daily. We intend to continue to adjust the hedging strategy as market conditions and risk tolerance change.</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Best Interest Regulation</w:t>
      </w:r>
    </w:p>
    <w:p>
      <w:pPr>
        <w:spacing w:after="0" w:line="9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March 2018, the United States Fifth Circuit Court of Appeals formally vacated the U. S. Department of Labor “Fiduciary Rule” which would have imposed fiduciary duties upon insurance agents selling Individual Retirement Account (IRA) annuities and would have potentially had a material impact on us, our products, distribution, and business model. Since then, in June 2019, the U.S. Securities and Exchange Commission (SEC) adopted Regulation Best Interest imposing new sales practice standards on securities brokers, which does not directly impact the Company or its distributors, but gives impetus for the NAIC and individual states to consider best interest proposals for insurance sales. The NAIC adopted an amended Suitability in Annuity Transactions Model Regulation in February 2020 incorporating a requirement that agents act in the best interest of consumers without putting their own financial interests or insurer’s interests ahead of consumer interests. It is expected individual states may soon begin to consider and adopt the NAIC model regulation. FGL NY Insurance already modified certain new business processes in response to the New York Department of Financial Services (NYDFS) best interest rule despite relatively low sales in New York. Management is following a legal challenge to nullify the NYDFS rule and will continue to monitor action by other state or federal agencies to implement sales practice rules affecting insurance agents selling fixed insurance or annuity products.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our unaudited Condensed Consolidated Financial Statements included in Item 1 of Part I of this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June 30, 2020, the Company’s most significant investment in one industry, excluding United States ("U.S.") Government securities, was its investment securities in the Banking industry with a fair value of $2,351 million or 9% of the invested assets portfolio and an amortized cost of $2,307 million. As of June 30, 2020, the Company’s holdings in this industry include investments in 101 different issuers with the top ten investments accounting for 39% of the total holdings in this industry. As of June 30, 2020 the Company had no investments in issuers that exceeded 10% of shareholders' equity. The Company's largest concentration in any single issuer as of June 30, 2020 was HP Enterprise Co. with a total fair value of $132 million or 1% of the invested assets portfolio.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7" w:name="page98"/>
    <w:bookmarkEnd w:id="97"/>
    <w:p>
      <w:pPr>
        <w:ind w:left="220"/>
        <w:spacing w:after="0"/>
        <w:rPr>
          <w:sz w:val="20"/>
          <w:szCs w:val="20"/>
          <w:color w:val="auto"/>
        </w:rPr>
      </w:pPr>
      <w:r>
        <w:rPr>
          <w:rFonts w:ascii="Arial" w:cs="Arial" w:eastAsia="Arial" w:hAnsi="Arial"/>
          <w:sz w:val="18"/>
          <w:szCs w:val="18"/>
          <w:b w:val="1"/>
          <w:bCs w:val="1"/>
          <w:i w:val="1"/>
          <w:iCs w:val="1"/>
          <w:color w:val="auto"/>
        </w:rPr>
        <w:t>Concentrations of Financial and Capital Markets Risk</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exposed to financial and capital markets risk, including changes in interest rates and credit spreads which can have an adverse effect on the Company’s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 month time period, certain of the Company’s products may be exposed to disintermediation risk. Disintermediation risk refers to the risk that policyholders surrender their contracts in a rising interest rate environment, requiring the Company to liquidate assets in an unrealized loss position. The Company attempts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the Company’s products. The Company expects to continue to face these challenges and uncertainties that could adversely affect its results of operations and financial condition.</w:t>
      </w:r>
    </w:p>
    <w:p>
      <w:pPr>
        <w:spacing w:after="0" w:line="29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is closely monitoring developments related to the COVID-19 pandemic to assess its impact on our business. While still evolving, the COVID-19 pandemic has caused significant economic and financial turmoil in the U.S. and around the world, and has fueled concerns that it will lead to a global recession. These conditions may continue or worsen in the near term. At this time, it is not possible to estimate how long it will take to halt the spread of the virus or the longer term-effects the COVID-19 pandemic could have on our business. Increased economic uncertainty and increased unemployment resulting from the economic impacts of the spread of COVID-19 may result in policyholders seeking sources of liquidity and withdrawing at rates greater than we previously expected. If policyholder lapse and surrender rates significantly exceed our expectations, it could have a material adverse effect on our business, financial condition, results of operations, liquidity and cash flows. Such events or conditions could also have an adverse effect on our sales of new policies. The Company is monitoring the impact of COVID-19 on the Company’s investment portfolio and the potential for ratings changes caused by the sudden slowdown of economic activity. The extent to which the COVID-19 pandemic impacts our business, results of operations, financial condition, liquidity or prospects will depend on future developments which are highly uncertain and cannot be predicted.</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March 6, 2019, Scottish Re (U.S.), Inc. (“SRUS”), a Delaware domestic life and health reinsurer of FGL Insurance, was ordered into receivership for purposes of rehabilitation. As of June 30, 2020, the net amount recoverable from SRUS was $46 million. The financial exposure related to these ceded reserves are substantially mitigated via a reinsurance agreement whereby Wilton Re assumes treaty non-performance including credit risk for this business.</w:t>
      </w:r>
    </w:p>
    <w:p>
      <w:pPr>
        <w:spacing w:after="0" w:line="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June 30, 2020, the net amount recoverable from Pavonia was $87 million. The financial exposure related to these ceded reserves are substantially mitigated via a reinsurance agreement whereby Wilton Re assumes treaty non-performance including credit risk for this business.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additional information on concentrations of reinsurance risk, refer to Note P </w:t>
      </w:r>
      <w:r>
        <w:rPr>
          <w:rFonts w:ascii="Arial" w:cs="Arial" w:eastAsia="Arial" w:hAnsi="Arial"/>
          <w:sz w:val="18"/>
          <w:szCs w:val="18"/>
          <w:i w:val="1"/>
          <w:iCs w:val="1"/>
          <w:color w:val="auto"/>
        </w:rPr>
        <w:t>Reinsurance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Sensitivity Analysis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analysis below is hypothetical and should not be considered a projection of future risks. Earnings projections are before tax and non-controlling interest.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assess interest rate exposures for financial assets, liabilities and derivatives using hypothetical test scenarios that assume either increasing or decreasing 100 basis point parallel shifts in the yield curve, reflecting changes in either credit spreads or risk-free rates.</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interest rates were to increase 100 basis points from levels at June 30, 2020, the estimated fair value of our fixed maturity securities would decrease by approximately $1.0 billion. The impact on shareholders’ equity of such decrease, net of income taxes (assumes a 21% tax rate) and intangibles adjustments, and the change in reinsurance related derivative would be a decrease of $692 million in AOCI and a decrease of $666 million in total shareholders’ equity. If interest rates were to decrease by 100 basis points from levels at June 30, 2020, the estimated impact on the FIA embedded derivative liability of such a decrease would be an increase of $187 million.</w:t>
      </w:r>
    </w:p>
    <w:p>
      <w:pPr>
        <w:spacing w:after="0" w:line="9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Our liquidity needs are managed using the surrender and withdrawal provisions of the annuity contracts and through other means.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Assuming all other factors are constant, we estimate that a decline in equity market prices of 10% would cause the fair value of our equity investments to decrease by approximately $93 million, our call option investments to decrease by approximately $16 million based on equity positions and our FIA embedded derivative liability to decrease by approximately $31 million as of June 30, 2020. Due to the adoption of ASU 2016-01 in 2018, the 10% decline in market value of our equity securities would affect current earnings. These scenarios consider only the direct effect on fair value of declines in equity market levels and not changes in asset-based fees recognized as revenue, or changes in our estimates of total gross profits used as a basis for amortizing intangibles.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completed the F&amp;G acquisition on June 1, 2020 (see Note B of the Notes to the unaudited Condensed Consolidated Financial Statements). The scope of management's assessment of the effectiveness of the Company's disclosure controls and procedures did not include the internal controls over financial reporting of F&amp;G. This exclusion is in accordance with the SEC Staff’s general guidance that an assessment of a recently acquired business may be omitted from the scope of management’s assessment for one year following the acquisition. F&amp;G represented approximately 5% of our gross revenue for the quarter ended June 30, 2020. Total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assets of the acquired business as of June 30, 2020 represented approximately 80% of total consolidated assets, consisting principally of investments, goodwill and other intangible assets.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closing of the F&amp;G acquisition, we have incorporated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F&amp;G and may take further steps to integrate such controls and processes with those of the Company.</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2020 that have materially affected, or are reasonably likely to materially affect, our internal control over financial reporting, other than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risk factors disclosed in "Item 1A. Risk Factors" included in our Annual Report on Form 10-K for the year ended December 31, 2019, are hereby incorporated by reference. In addition, we identified the following additional risk factors during the six months ended June 30,2020:</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materially and adversely affected by the occurrence of a catastrophe, including natural or man-made disasters.</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Any catastrophic event, such as pandemic diseases, terrorist attacks, floods, severe storms or hurricanes or computer cyber-terrorism, could have a material and adverse effect on our business in several respects:</w:t>
      </w:r>
    </w:p>
    <w:p>
      <w:pPr>
        <w:spacing w:after="0" w:line="198" w:lineRule="exact"/>
        <w:rPr>
          <w:sz w:val="20"/>
          <w:szCs w:val="20"/>
          <w:color w:val="auto"/>
        </w:rPr>
      </w:pPr>
    </w:p>
    <w:p>
      <w:pPr>
        <w:ind w:left="660" w:right="700" w:hanging="328"/>
        <w:spacing w:after="0" w:line="29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outbreak of a pandemic disease, like the novel coronavirus COVID-19, could have a material adverse effect on our liquidity, financial condition and the operating results of our insurance business due to its impact on the economy and financial markets;</w:t>
      </w:r>
    </w:p>
    <w:p>
      <w:pPr>
        <w:spacing w:after="0" w:line="173"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197"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18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Although we expect our acquisition of F&amp;G will result in cost savings, synergies and other benefits to us, we may not realize those benefits because of integration difficulties and other challenges.</w:t>
      </w:r>
    </w:p>
    <w:p>
      <w:pPr>
        <w:spacing w:after="0" w:line="1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success of our acquisition of F&amp;G will depend in large part on the success of the management of the combined company in integrating the operations, strategies, technologies and personnel of the two companies following the completion of the merger. We may fail to realize some or all of the anticipated benefits of the merger if the integration process takes longer than expected or is more costly than expected. Our failure to meet the challenges involved in successfully integrating the operations of F&amp;G or to otherwise realize any of the anticipated benefits of the merger, including additional cost savings and synergies, could impair our operations. In addition, we anticipate that the overall integration of F&amp;G will be a time-consuming and expensive process that, without proper planning and effective and timely implementation, could significantly disrupt our business. Potential difficulties we may encounter in the integration process include the following:</w:t>
      </w:r>
    </w:p>
    <w:p>
      <w:pPr>
        <w:spacing w:after="0" w:line="204"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management teams, strategies, technologies and operations, products and services;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disruption of ongoing businesses and distraction of their respective management teams from ongoing business concerns;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retention of and possible decrease in business from the existing clients of both companies;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creation of uniform standards, controls, procedures, policies and information systems;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reduction of the costs associated with each company's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1" w:name="page102"/>
    <w:bookmarkEnd w:id="101"/>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optimization of information technology platforms and administrative infrastructures;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retention of key employees;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unknown liabilities, expenses or delays associated with the mergers.</w:t>
      </w:r>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anticipated cost savings, synergies and other benefits include the combination of offices in various locations and the elimination of numerous technology systems, duplicative personnel and duplicative market and other data sources. However, these anticipated cost savings, synergies and other benefits assume a successful integration and are based on projections, which are inherently uncertain, and other assumptions. Even if integration is successful, anticipated cost savings, synergies and other benefits may not be achieved.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decline in the future as a result of the acquisition of F&amp;G.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decline in the future as a result of the merger for a number of reasons, including:</w:t>
      </w:r>
    </w:p>
    <w:p>
      <w:pPr>
        <w:spacing w:after="0" w:line="252"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unsuccessful integration of F&amp;G (including for the reasons set forth in the preceding risk factor);</w:t>
      </w:r>
    </w:p>
    <w:p>
      <w:pPr>
        <w:spacing w:after="0" w:line="252" w:lineRule="exact"/>
        <w:rPr>
          <w:rFonts w:ascii="Arial" w:cs="Arial" w:eastAsia="Arial" w:hAnsi="Arial"/>
          <w:sz w:val="18"/>
          <w:szCs w:val="18"/>
          <w:color w:val="auto"/>
        </w:rPr>
      </w:pPr>
    </w:p>
    <w:p>
      <w:pPr>
        <w:ind w:right="100" w:firstLine="8"/>
        <w:spacing w:after="0" w:line="258" w:lineRule="auto"/>
        <w:tabs>
          <w:tab w:leader="none" w:pos="1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to achieve the perceived benefits of the merger, including financial results, synergies, cost savings, innovation and operational efficiencies, as rapidly as or to the extent anticipated by financial or industry analysts.</w:t>
      </w:r>
    </w:p>
    <w:p>
      <w:pPr>
        <w:spacing w:after="0" w:line="1" w:lineRule="exact"/>
        <w:rPr>
          <w:rFonts w:ascii="Arial" w:cs="Arial" w:eastAsia="Arial" w:hAnsi="Arial"/>
          <w:sz w:val="18"/>
          <w:szCs w:val="18"/>
          <w:color w:val="auto"/>
        </w:rPr>
      </w:pPr>
    </w:p>
    <w:p>
      <w:pPr>
        <w:ind w:right="700"/>
        <w:spacing w:after="0" w:line="260" w:lineRule="auto"/>
        <w:rPr>
          <w:rFonts w:ascii="Arial" w:cs="Arial" w:eastAsia="Arial" w:hAnsi="Arial"/>
          <w:sz w:val="18"/>
          <w:szCs w:val="18"/>
          <w:color w:val="auto"/>
        </w:rPr>
      </w:pPr>
      <w:r>
        <w:rPr>
          <w:rFonts w:ascii="Arial" w:cs="Arial" w:eastAsia="Arial" w:hAnsi="Arial"/>
          <w:sz w:val="18"/>
          <w:szCs w:val="18"/>
          <w:color w:val="auto"/>
        </w:rPr>
        <w:t>Additionally, general fluctuations in stock markets could have a material adverse effect on the market for, or liquidity of, the FNF common stock, regardless of the actual operating performance of FNF and F&amp;G.</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acquisition of F&amp;G may not be accretive and may cause dilution to our earnings per share, which may negatively affect the market price of our common stock.</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currently anticipate that the acquisition of F&amp;G will be accretive to earnings per share (on an adjusted earnings basis) during the first full calendar year after the merger. This expectation is based on preliminary estimates which may materially change. We could also encounter additional transaction-related costs or other factors such as the failure to realize all of the benefits anticipated in the merger. All of these factors could cause dilution to our earnings per share or decrease or delay the expected accretive effect of the merger and cause a decrease in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results will suffer if the combined company does not effectively manage its expanded operations following the acquisition of F&amp;G.</w:t>
      </w:r>
    </w:p>
    <w:p>
      <w:pPr>
        <w:spacing w:after="0" w:line="2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size of the business of the combined company has increased significantly. Our future success depends, in part, upon our ability to manage this expanded business, which may pose substantial challenges for management, including challenges related to the management and monitoring of new operations, including new international operations, and associated increased costs and complexity. There can be no assurances that we will be successful or that we will realize the expected operating efficiencies, cost savings, revenue enhancements and other benefits currently anticipated from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expenses related to the integration of F&amp;G's business</w:t>
      </w:r>
      <w:r>
        <w:rPr>
          <w:rFonts w:ascii="Arial" w:cs="Arial" w:eastAsia="Arial" w:hAnsi="Arial"/>
          <w:sz w:val="18"/>
          <w:szCs w:val="18"/>
          <w:color w:val="auto"/>
        </w:rPr>
        <w:t>.</w:t>
      </w:r>
    </w:p>
    <w:p>
      <w:pPr>
        <w:spacing w:after="0" w:line="23"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We expect to incur substantial expenses in connection with the integration of F&amp;G's business. There are a large number of processes, policies, procedures, operations, technologies and systems that must be integrated, including purchasing, accounting and finance, sales, payroll, pricing, revenue management, marketing and benefits. While we have assumed that a certain level of expenses would be incurred, there are many factors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9" w:right="39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18"/>
          <w:szCs w:val="18"/>
          <w:color w:val="auto"/>
        </w:rPr>
        <w:t>beyond our control that could affect the total amount or the timing of the integration expenses. Moreover, many of the expenses that would be incurred are, by their nature, difficult to estimate accurately. These integration expenses likely will result in significant charges against earnings and the amount and timing of such charges are uncertain at present.</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following the acquisition of F&amp;G and our credit ratings or the credit ratings of our subsidiaries may be different from what we currently expect.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incurred indebtedness in order to provide funds to pay a portion of the cash portion of the merger consideration and other costs and expenses incurred in connection with the merger. As a result, following completion of the merger, we have substantial indebtedness and our credit ratings or the credit ratings of our subsidiaries may be different from what we currently expect.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This substantial indebtedness may adversely affect our business, financial condition and operating results, including:</w:t>
      </w:r>
    </w:p>
    <w:p>
      <w:pPr>
        <w:spacing w:after="0" w:line="238"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making it more difficult to satisfy our debt service obligations;</w:t>
      </w:r>
    </w:p>
    <w:p>
      <w:pPr>
        <w:spacing w:after="0" w:line="252" w:lineRule="exact"/>
        <w:rPr>
          <w:rFonts w:ascii="Arial" w:cs="Arial" w:eastAsia="Arial" w:hAnsi="Arial"/>
          <w:sz w:val="18"/>
          <w:szCs w:val="18"/>
          <w:color w:val="auto"/>
        </w:rPr>
      </w:pPr>
    </w:p>
    <w:p>
      <w:pPr>
        <w:ind w:right="220" w:firstLine="8"/>
        <w:spacing w:after="0" w:line="277" w:lineRule="auto"/>
        <w:tabs>
          <w:tab w:leader="none" w:pos="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requiring a substantial portion of cash flows from operations for debt service payments, thereby reducing the availability of cash flow to fund working capital, capital expenditures, acquisitions, and other general corporate purposes;</w:t>
      </w:r>
    </w:p>
    <w:p>
      <w:pPr>
        <w:spacing w:after="0" w:line="197" w:lineRule="exact"/>
        <w:rPr>
          <w:rFonts w:ascii="Arial" w:cs="Arial" w:eastAsia="Arial" w:hAnsi="Arial"/>
          <w:sz w:val="18"/>
          <w:szCs w:val="18"/>
          <w:color w:val="auto"/>
        </w:rPr>
      </w:pPr>
    </w:p>
    <w:p>
      <w:pPr>
        <w:ind w:right="140" w:firstLine="8"/>
        <w:spacing w:after="0" w:line="277" w:lineRule="auto"/>
        <w:tabs>
          <w:tab w:leader="none" w:pos="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requirements, capital expenditures, acquisitions, investments, debt service obligations and other general operating requirements;</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business and, consequently, negatively affecting our competitive position;</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taking advantage of favorable business opportunities;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negatively impacting our existing credit ratings, including resulting in a downgrade or negative outlook;</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placing us at a relative competitive disadvantage compared our competitors that have less debt;</w:t>
      </w:r>
    </w:p>
    <w:p>
      <w:pPr>
        <w:spacing w:after="0" w:line="252" w:lineRule="exact"/>
        <w:rPr>
          <w:rFonts w:ascii="Arial" w:cs="Arial" w:eastAsia="Arial" w:hAnsi="Arial"/>
          <w:sz w:val="18"/>
          <w:szCs w:val="18"/>
          <w:color w:val="auto"/>
        </w:rPr>
      </w:pPr>
    </w:p>
    <w:p>
      <w:pPr>
        <w:ind w:right="40" w:firstLine="8"/>
        <w:spacing w:after="0" w:line="277" w:lineRule="auto"/>
        <w:tabs>
          <w:tab w:leader="none" w:pos="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flexibility to plan for, or react to, changes in the businesses and industries in which we operate, which may adversely affect our operating results and ability to meet our debt service obligations;</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our ability to refinance its indebtedness or increasing the cost of such indebtedness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covenants in the debt instruments governing this indebtedness may limit how we conduct our business following the merger. If we incur additional indebtedness in the future, the risks related to our substantial indebtedness may intensify.</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Concentration in certain states for the distribution of our life insurance and annuity products may subject us to losses attributable to economic downturns or catastrophes in those states.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top five states for the distribution of our life insurance and annuity products are California, Texas, Florida, New Jersey and Arizona. Any adverse economic developments or catastrophes in these states could have an adverse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could adversely affect our business, financial condition, liquidity, results of operations and cash flows.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rate risk is a significant market risk as our business involves issuing interest rate sensitive obligations backed primarily by investments in fixed income assets. For the past several years interest rates have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103" w:name="page104"/>
    <w:bookmarkEnd w:id="103"/>
    <w:p>
      <w:pPr>
        <w:ind w:right="80"/>
        <w:spacing w:after="0" w:line="275" w:lineRule="auto"/>
        <w:rPr>
          <w:sz w:val="20"/>
          <w:szCs w:val="20"/>
          <w:color w:val="auto"/>
        </w:rPr>
      </w:pPr>
      <w:r>
        <w:rPr>
          <w:rFonts w:ascii="Arial" w:cs="Arial" w:eastAsia="Arial" w:hAnsi="Arial"/>
          <w:sz w:val="17"/>
          <w:szCs w:val="17"/>
          <w:color w:val="auto"/>
        </w:rPr>
        <w:t>remained at or near historically low levels. The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periods of increasing interest rates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and results of operations. We have developed and maintain ALM programs and procedures designed to mitigate interest rate risk by matching asset cash flows to expected liability cash flows. In addition, we assess surrender charges on withdrawals in excess of allowable penalty-free amounts that occur during the surrender charge period. There can be no assurance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20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may experience spread income compression, and a loss of anticipated earnings, if credited interest rates are increased on renewing contracts in an effort to decrease or manage withdrawal activity. Our expectation for future spread income is an important component in amortization of DAC, DSI, and VOBA under U.S. GAAP. Significant reductions in spread income may cause us to accelerate DAC, DSI, and VOBA amortization.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 volatility could negatively impact our business.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estimated cost of providing GMWB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future policy benefit or policyholder account balance liabilities associated with such products, resulting in a reduction in our revenues and net earnings (loss). The rate of amortization of DAC and VOBA relating to FIA products could also increase if equity market performance is worse than assumed and have a materially adverse impact on our results of operations and financial condition.</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investments are subject to market and credit risks. These risks could be heightened during periods of extreme volatility or disruption in financial and credit markets.</w:t>
      </w:r>
    </w:p>
    <w:p>
      <w:pPr>
        <w:spacing w:after="0" w:line="1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issuers of the fixed-income securities we own to default on either principal or interest payments. Additionally, market price valuations may not accurately reflect the underlying expected cash flows of securities within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4" w:name="page105"/>
    <w:bookmarkEnd w:id="104"/>
    <w:p>
      <w:pPr>
        <w:ind w:right="40"/>
        <w:spacing w:after="0" w:line="275" w:lineRule="auto"/>
        <w:rPr>
          <w:sz w:val="20"/>
          <w:szCs w:val="20"/>
          <w:color w:val="auto"/>
        </w:rPr>
      </w:pPr>
      <w:r>
        <w:rPr>
          <w:rFonts w:ascii="Arial" w:cs="Arial" w:eastAsia="Arial" w:hAnsi="Arial"/>
          <w:sz w:val="17"/>
          <w:szCs w:val="17"/>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the credit risk of our counterparties, including companies with whom we have reinsurance agreements or we have purchased call options.</w:t>
      </w:r>
    </w:p>
    <w:p>
      <w:pPr>
        <w:spacing w:after="0" w:line="1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insurance subsidiaries cede material amounts of insurance and transfer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and results of operations. We regularly monitor the credit rating and performance of our reinsurance parties. Wilton Re represents our largest reinsurance counterparty exposure.</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are also exposed to credit loss in the event of non-performance by our counterparties on call options. We seek to reduce the risk associated with such agreements by purchasing such options from large, well-established financial institutions. There can be no assurance we will not suffer losses in the event of counterparty non-performance.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repurchases of equity securities by FNF during the three months ended June 30, 2020:</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3560" w:type="dxa"/>
            <w:vAlign w:val="bottom"/>
            <w:vMerge w:val="restart"/>
          </w:tcPr>
          <w:p>
            <w:pPr>
              <w:jc w:val="center"/>
              <w:ind w:left="1748"/>
              <w:spacing w:after="0"/>
              <w:rPr>
                <w:sz w:val="20"/>
                <w:szCs w:val="20"/>
                <w:color w:val="auto"/>
              </w:rPr>
            </w:pPr>
            <w:r>
              <w:rPr>
                <w:rFonts w:ascii="Arial" w:cs="Arial" w:eastAsia="Arial" w:hAnsi="Arial"/>
                <w:sz w:val="14"/>
                <w:szCs w:val="14"/>
                <w:b w:val="1"/>
                <w:bCs w:val="1"/>
                <w:color w:val="auto"/>
                <w:w w:val="92"/>
              </w:rPr>
              <w:t>Total Number of Shares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48"/>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3560" w:type="dxa"/>
            <w:vAlign w:val="bottom"/>
          </w:tcPr>
          <w:p>
            <w:pPr>
              <w:jc w:val="center"/>
              <w:ind w:left="1728"/>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480" w:space="240"/>
            <w:col w:w="1520"/>
          </w:cols>
          <w:pgMar w:left="320" w:top="1016" w:right="339" w:bottom="1440" w:gutter="0" w:footer="0" w:header="0"/>
          <w:type w:val="continuous"/>
        </w:sectPr>
      </w:pPr>
    </w:p>
    <w:tbl>
      <w:tblPr>
        <w:tblLayout w:type="fixed"/>
        <w:tblInd w:w="260" w:type="dxa"/>
        <w:tblCellMar>
          <w:top w:w="0" w:type="dxa"/>
          <w:left w:w="0" w:type="dxa"/>
          <w:bottom w:w="0" w:type="dxa"/>
          <w:right w:w="0" w:type="dxa"/>
        </w:tblCellMar>
      </w:tblPr>
      <w:tr>
        <w:trPr>
          <w:trHeight w:val="244"/>
        </w:trPr>
        <w:tc>
          <w:tcPr>
            <w:tcW w:w="4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4/1/2020 - 4/30/2020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18,570,000</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5/1/2020 - 5/31/2020</w:t>
            </w:r>
          </w:p>
        </w:tc>
        <w:tc>
          <w:tcPr>
            <w:tcW w:w="12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18,570,000</w:t>
            </w: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6/1/2020 - 6/30/2020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18,570,000</w:t>
            </w: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21" w:lineRule="exact"/>
        <w:rPr>
          <w:sz w:val="20"/>
          <w:szCs w:val="20"/>
          <w:color w:val="auto"/>
        </w:rPr>
      </w:pPr>
    </w:p>
    <w:p>
      <w:pPr>
        <w:ind w:left="980" w:hanging="648"/>
        <w:spacing w:after="0" w:line="277" w:lineRule="auto"/>
        <w:tabs>
          <w:tab w:leader="none" w:pos="6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05" w:name="page106"/>
    <w:bookmarkEnd w:id="105"/>
    <w:tbl>
      <w:tblPr>
        <w:tblLayout w:type="fixed"/>
        <w:tblInd w:w="460" w:type="dxa"/>
        <w:tblCellMar>
          <w:top w:w="0" w:type="dxa"/>
          <w:left w:w="0" w:type="dxa"/>
          <w:bottom w:w="0" w:type="dxa"/>
          <w:right w:w="0" w:type="dxa"/>
        </w:tblCellMar>
      </w:tblPr>
      <w:tr>
        <w:trPr>
          <w:trHeight w:val="227"/>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4.1</w:t>
            </w:r>
          </w:p>
        </w:tc>
        <w:tc>
          <w:tcPr>
            <w:tcW w:w="9740" w:type="dxa"/>
            <w:vAlign w:val="bottom"/>
            <w:gridSpan w:val="5"/>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Supplemental Indenture, dated as of June 1, 2020, by and among Fidelity &amp; Guaranty Life Holdings, Inc., Fidelity National Financial,</w:t>
              </w:r>
            </w:hyperlink>
          </w:p>
        </w:tc>
      </w:tr>
      <w:tr>
        <w:trPr>
          <w:trHeight w:val="155"/>
        </w:trPr>
        <w:tc>
          <w:tcPr>
            <w:tcW w:w="1080" w:type="dxa"/>
            <w:vAlign w:val="bottom"/>
          </w:tcPr>
          <w:p>
            <w:pPr>
              <w:spacing w:after="0"/>
              <w:rPr>
                <w:sz w:val="13"/>
                <w:szCs w:val="13"/>
                <w:color w:val="auto"/>
              </w:rPr>
            </w:pPr>
          </w:p>
        </w:tc>
        <w:tc>
          <w:tcPr>
            <w:tcW w:w="9720" w:type="dxa"/>
            <w:vAlign w:val="bottom"/>
            <w:tcBorders>
              <w:top w:val="single" w:sz="8" w:color="0000FF"/>
            </w:tcBorders>
            <w:gridSpan w:val="4"/>
          </w:tcPr>
          <w:p>
            <w:pPr>
              <w:spacing w:after="0" w:line="15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Inc., and Wells Fargo Bank, National Association, as trustee. (incorporated by reference to Exhibit 4.1 to the Registrant's Current</w:t>
              </w:r>
            </w:hyperlink>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3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Report on Form 8-K filed on June 1, 2020).</w:t>
              </w:r>
            </w:hyperlink>
          </w:p>
        </w:tc>
        <w:tc>
          <w:tcPr>
            <w:tcW w:w="65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4.2</w:t>
            </w:r>
          </w:p>
        </w:tc>
        <w:tc>
          <w:tcPr>
            <w:tcW w:w="9680" w:type="dxa"/>
            <w:vAlign w:val="bottom"/>
            <w:tcBorders>
              <w:bottom w:val="single" w:sz="8" w:color="0000FF"/>
            </w:tcBorders>
            <w:gridSpan w:val="2"/>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Indenture, dated as of April 20, 2018, by and among Fidelity &amp; Guaranty Life Holdings, Inc., the guarantors party thereto and Wells</w:t>
              </w:r>
            </w:hyperlink>
          </w:p>
        </w:tc>
        <w:tc>
          <w:tcPr>
            <w:tcW w:w="60" w:type="dxa"/>
            <w:vAlign w:val="bottom"/>
            <w:gridSpan w:val="3"/>
          </w:tcPr>
          <w:p>
            <w:pPr>
              <w:spacing w:after="0"/>
              <w:rPr>
                <w:sz w:val="24"/>
                <w:szCs w:val="24"/>
                <w:color w:val="auto"/>
              </w:rPr>
            </w:pPr>
          </w:p>
        </w:tc>
      </w:tr>
      <w:tr>
        <w:trPr>
          <w:trHeight w:val="157"/>
        </w:trPr>
        <w:tc>
          <w:tcPr>
            <w:tcW w:w="1080" w:type="dxa"/>
            <w:vAlign w:val="bottom"/>
          </w:tcPr>
          <w:p>
            <w:pPr>
              <w:spacing w:after="0"/>
              <w:rPr>
                <w:sz w:val="13"/>
                <w:szCs w:val="13"/>
                <w:color w:val="auto"/>
              </w:rPr>
            </w:pPr>
          </w:p>
        </w:tc>
        <w:tc>
          <w:tcPr>
            <w:tcW w:w="9680" w:type="dxa"/>
            <w:vAlign w:val="bottom"/>
            <w:gridSpan w:val="2"/>
          </w:tcPr>
          <w:p>
            <w:pPr>
              <w:spacing w:after="0" w:line="157" w:lineRule="exact"/>
              <w:rPr>
                <w:rFonts w:ascii="Arial" w:cs="Arial" w:eastAsia="Arial" w:hAnsi="Arial"/>
                <w:sz w:val="18"/>
                <w:szCs w:val="18"/>
                <w:u w:val="single" w:color="auto"/>
                <w:color w:val="0000FF"/>
                <w:w w:val="94"/>
              </w:rPr>
            </w:pPr>
            <w:hyperlink r:id="rId149">
              <w:r>
                <w:rPr>
                  <w:rFonts w:ascii="Arial" w:cs="Arial" w:eastAsia="Arial" w:hAnsi="Arial"/>
                  <w:sz w:val="18"/>
                  <w:szCs w:val="18"/>
                  <w:u w:val="single" w:color="auto"/>
                  <w:color w:val="0000FF"/>
                  <w:w w:val="94"/>
                </w:rPr>
                <w:t>Fargo Bank, National Association, as trustee (incorporated by reference to Exhibit 4.1 to the Current Report on Form 8-K filed by</w:t>
              </w:r>
            </w:hyperlink>
          </w:p>
        </w:tc>
        <w:tc>
          <w:tcPr>
            <w:tcW w:w="60" w:type="dxa"/>
            <w:vAlign w:val="bottom"/>
            <w:gridSpan w:val="3"/>
          </w:tcPr>
          <w:p>
            <w:pPr>
              <w:spacing w:after="0"/>
              <w:rPr>
                <w:sz w:val="13"/>
                <w:szCs w:val="13"/>
                <w:color w:val="auto"/>
              </w:rPr>
            </w:pPr>
          </w:p>
        </w:tc>
      </w:tr>
    </w:tbl>
    <w:p>
      <w:pPr>
        <w:ind w:left="154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FGL Holdings (File No. 001-37779) on April 25, 2018).</w:t>
        </w:r>
      </w:hyperlink>
    </w:p>
    <w:p>
      <w:pPr>
        <w:sectPr>
          <w:pgSz w:w="11900" w:h="16838" w:orient="portrait"/>
          <w:cols w:equalWidth="0" w:num="1">
            <w:col w:w="11220"/>
          </w:cols>
          <w:pgMar w:left="320" w:top="1020" w:right="359" w:bottom="1440" w:gutter="0" w:footer="0" w:header="0"/>
        </w:sectPr>
      </w:pP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Fifth Supplemental Indenture, dated as of June 12, 2020, between Fidelity National Financial, Inc. and The Bank of New York Mellon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Trust Company, N.A. (incorporated by reference to Exhibit 4.1 to the Registrant's Current Report on Form 8-K filed on June 12,</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2020).</w:t>
        </w:r>
      </w:hyperlink>
    </w:p>
    <w:p>
      <w:pPr>
        <w:spacing w:after="0" w:line="200" w:lineRule="exact"/>
        <w:rPr>
          <w:rFonts w:ascii="Arial" w:cs="Arial" w:eastAsia="Arial" w:hAnsi="Arial"/>
          <w:sz w:val="18"/>
          <w:szCs w:val="18"/>
          <w:u w:val="single" w:color="auto"/>
          <w:color w:val="0000FF"/>
        </w:rPr>
      </w:pPr>
    </w:p>
    <w:p>
      <w:pPr>
        <w:spacing w:after="0" w:line="395" w:lineRule="exact"/>
        <w:rPr>
          <w:rFonts w:ascii="Arial" w:cs="Arial" w:eastAsia="Arial" w:hAnsi="Arial"/>
          <w:sz w:val="18"/>
          <w:szCs w:val="18"/>
          <w:u w:val="single" w:color="auto"/>
          <w:color w:val="0000FF"/>
        </w:rPr>
      </w:pPr>
    </w:p>
    <w:p>
      <w:pPr>
        <w:jc w:val="both"/>
        <w:spacing w:after="0" w:line="235"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Form of Notes (included in Exhibit 4.3 hereto which is incorporated by reference to Exhibit 4.1 to the Registrant's Current Report on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Form 8-K filed on June 12, 2020)</w:t>
        </w:r>
      </w:hyperlink>
    </w:p>
    <w:p>
      <w:pPr>
        <w:spacing w:after="0" w:line="71" w:lineRule="exact"/>
        <w:rPr>
          <w:sz w:val="20"/>
          <w:szCs w:val="20"/>
          <w:color w:val="auto"/>
        </w:rPr>
      </w:pPr>
    </w:p>
    <w:p>
      <w:pPr>
        <w:sectPr>
          <w:pgSz w:w="11900" w:h="16838" w:orient="portrait"/>
          <w:cols w:equalWidth="0" w:num="2">
            <w:col w:w="820" w:space="720"/>
            <w:col w:w="9680"/>
          </w:cols>
          <w:pgMar w:left="320" w:top="1020" w:right="359" w:bottom="1440" w:gutter="0" w:footer="0" w:header="0"/>
          <w:type w:val="continuous"/>
        </w:sectPr>
      </w:pPr>
    </w:p>
    <w:tbl>
      <w:tblPr>
        <w:tblLayout w:type="fixed"/>
        <w:tblInd w:w="240" w:type="dxa"/>
        <w:tblCellMar>
          <w:top w:w="0" w:type="dxa"/>
          <w:left w:w="0" w:type="dxa"/>
          <w:bottom w:w="0" w:type="dxa"/>
          <w:right w:w="0" w:type="dxa"/>
        </w:tblCellMar>
      </w:tblPr>
      <w:tr>
        <w:trPr>
          <w:trHeight w:val="227"/>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10.1</w:t>
            </w:r>
          </w:p>
        </w:tc>
        <w:tc>
          <w:tcPr>
            <w:tcW w:w="9760" w:type="dxa"/>
            <w:vAlign w:val="bottom"/>
            <w:gridSpan w:val="7"/>
          </w:tcPr>
          <w:p>
            <w:pPr>
              <w:spacing w:after="0"/>
              <w:rPr>
                <w:rFonts w:ascii="Arial" w:cs="Arial" w:eastAsia="Arial" w:hAnsi="Arial"/>
                <w:sz w:val="18"/>
                <w:szCs w:val="18"/>
                <w:color w:val="0000FF"/>
                <w:w w:val="93"/>
              </w:rPr>
            </w:pPr>
            <w:hyperlink r:id="rId151">
              <w:r>
                <w:rPr>
                  <w:rFonts w:ascii="Arial" w:cs="Arial" w:eastAsia="Arial" w:hAnsi="Arial"/>
                  <w:sz w:val="18"/>
                  <w:szCs w:val="18"/>
                  <w:color w:val="0000FF"/>
                  <w:w w:val="93"/>
                </w:rPr>
                <w:t>Term Loan Credit Agreement, dated April 22, 2020, among Fidelity National Financial, Inc., as the Borrower, Bank of America, N.A.</w:t>
              </w:r>
            </w:hyperlink>
          </w:p>
        </w:tc>
      </w:tr>
      <w:tr>
        <w:trPr>
          <w:trHeight w:val="142"/>
        </w:trPr>
        <w:tc>
          <w:tcPr>
            <w:tcW w:w="1300" w:type="dxa"/>
            <w:vAlign w:val="bottom"/>
          </w:tcPr>
          <w:p>
            <w:pPr>
              <w:spacing w:after="0"/>
              <w:rPr>
                <w:sz w:val="12"/>
                <w:szCs w:val="12"/>
                <w:color w:val="auto"/>
              </w:rPr>
            </w:pPr>
          </w:p>
        </w:tc>
        <w:tc>
          <w:tcPr>
            <w:tcW w:w="9680" w:type="dxa"/>
            <w:vAlign w:val="bottom"/>
            <w:tcBorders>
              <w:top w:val="single" w:sz="8" w:color="0000FF"/>
            </w:tcBorders>
            <w:gridSpan w:val="3"/>
          </w:tcPr>
          <w:p>
            <w:pPr>
              <w:spacing w:after="0" w:line="142" w:lineRule="exact"/>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as Administrative Agent, JP Morgan Chase Bank, N.A., as Syndication Agent, and The Other Lenders Party Thereto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1300" w:type="dxa"/>
            <w:vAlign w:val="bottom"/>
          </w:tcPr>
          <w:p>
            <w:pPr>
              <w:spacing w:after="0"/>
              <w:rPr>
                <w:sz w:val="20"/>
                <w:szCs w:val="20"/>
                <w:color w:val="auto"/>
              </w:rPr>
            </w:pPr>
          </w:p>
        </w:tc>
        <w:tc>
          <w:tcPr>
            <w:tcW w:w="9760" w:type="dxa"/>
            <w:vAlign w:val="bottom"/>
            <w:gridSpan w:val="7"/>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reference to Exhibit 10.1 to the Registrant's Quarterly Report on Form 10-Q for the quarter ended March 31, 2020).</w:t>
              </w:r>
            </w:hyperlink>
          </w:p>
        </w:tc>
      </w:tr>
      <w:tr>
        <w:trPr>
          <w:trHeight w:val="296"/>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10.2</w:t>
            </w:r>
          </w:p>
        </w:tc>
        <w:tc>
          <w:tcPr>
            <w:tcW w:w="9720" w:type="dxa"/>
            <w:vAlign w:val="bottom"/>
            <w:tcBorders>
              <w:bottom w:val="single" w:sz="8" w:color="0000FF"/>
            </w:tcBorders>
            <w:gridSpan w:val="5"/>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First Amendment to the Agreement and Plan of Merger, dated as of April 24, 2020, by Fidelity National Financial, Inc., a Delaware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972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Corporation ("Parent"), F I Corp., a Cayman Islands exempted company and wholly owned subsidiary of Parent, F II Corp., a Cayman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300" w:type="dxa"/>
            <w:vAlign w:val="bottom"/>
          </w:tcPr>
          <w:p>
            <w:pPr>
              <w:spacing w:after="0"/>
              <w:rPr>
                <w:sz w:val="12"/>
                <w:szCs w:val="12"/>
                <w:color w:val="auto"/>
              </w:rPr>
            </w:pPr>
          </w:p>
        </w:tc>
        <w:tc>
          <w:tcPr>
            <w:tcW w:w="9740" w:type="dxa"/>
            <w:vAlign w:val="bottom"/>
            <w:gridSpan w:val="6"/>
          </w:tcPr>
          <w:p>
            <w:pPr>
              <w:spacing w:after="0" w:line="142" w:lineRule="exact"/>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Islands exempted company and wholly owned subsidiary of Parent, and FGL Holdings, a Cayman Island exempted company</w:t>
              </w:r>
            </w:hyperlink>
          </w:p>
        </w:tc>
        <w:tc>
          <w:tcPr>
            <w:tcW w:w="20" w:type="dxa"/>
            <w:vAlign w:val="bottom"/>
          </w:tcPr>
          <w:p>
            <w:pPr>
              <w:spacing w:after="0"/>
              <w:rPr>
                <w:sz w:val="12"/>
                <w:szCs w:val="12"/>
                <w:color w:val="auto"/>
              </w:rPr>
            </w:pPr>
          </w:p>
        </w:tc>
      </w:tr>
      <w:tr>
        <w:trPr>
          <w:trHeight w:val="230"/>
        </w:trPr>
        <w:tc>
          <w:tcPr>
            <w:tcW w:w="1300" w:type="dxa"/>
            <w:vAlign w:val="bottom"/>
          </w:tcPr>
          <w:p>
            <w:pPr>
              <w:spacing w:after="0"/>
              <w:rPr>
                <w:sz w:val="20"/>
                <w:szCs w:val="20"/>
                <w:color w:val="auto"/>
              </w:rPr>
            </w:pPr>
          </w:p>
        </w:tc>
        <w:tc>
          <w:tcPr>
            <w:tcW w:w="9760" w:type="dxa"/>
            <w:vAlign w:val="bottom"/>
            <w:gridSpan w:val="7"/>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(incorporated by reference to Exhibit 2.2 to the Registrant's Registration Statement on Form S-4/A filed on April 24, 2020).</w:t>
              </w:r>
            </w:hyperlink>
          </w:p>
        </w:tc>
      </w:tr>
      <w:tr>
        <w:trPr>
          <w:trHeight w:val="350"/>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31.1</w:t>
            </w:r>
          </w:p>
        </w:tc>
        <w:tc>
          <w:tcPr>
            <w:tcW w:w="9760" w:type="dxa"/>
            <w:vAlign w:val="bottom"/>
            <w:gridSpan w:val="7"/>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37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31.2</w:t>
            </w:r>
          </w:p>
        </w:tc>
        <w:tc>
          <w:tcPr>
            <w:tcW w:w="9760" w:type="dxa"/>
            <w:vAlign w:val="bottom"/>
            <w:gridSpan w:val="7"/>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324"/>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32.1</w:t>
            </w:r>
          </w:p>
        </w:tc>
        <w:tc>
          <w:tcPr>
            <w:tcW w:w="9760" w:type="dxa"/>
            <w:vAlign w:val="bottom"/>
            <w:gridSpan w:val="7"/>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Certification by Chief Executive Officer of Periodic Financial Reports pursuant to Section 906 of the Sarbanes-Oxley Act of 2002, 18</w:t>
              </w:r>
            </w:hyperlink>
          </w:p>
        </w:tc>
      </w:tr>
      <w:tr>
        <w:trPr>
          <w:trHeight w:val="155"/>
        </w:trPr>
        <w:tc>
          <w:tcPr>
            <w:tcW w:w="13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10">
              <w:r>
                <w:rPr>
                  <w:rFonts w:ascii="Arial" w:cs="Arial" w:eastAsia="Arial" w:hAnsi="Arial"/>
                  <w:sz w:val="18"/>
                  <w:szCs w:val="18"/>
                  <w:color w:val="0000FF"/>
                  <w:w w:val="89"/>
                </w:rPr>
                <w:t>U.S.C. Section 1350.</w:t>
              </w:r>
            </w:hyperlink>
          </w:p>
        </w:tc>
        <w:tc>
          <w:tcPr>
            <w:tcW w:w="818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5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5"/>
              </w:rPr>
              <w:t>32.2</w:t>
            </w:r>
          </w:p>
        </w:tc>
        <w:tc>
          <w:tcPr>
            <w:tcW w:w="9760" w:type="dxa"/>
            <w:vAlign w:val="bottom"/>
            <w:gridSpan w:val="7"/>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Certification by Chief Financial Officer of Periodic Financial Reports pursuant to Section 906 of the Sarbanes-Oxley Act of 2002, 18</w:t>
              </w:r>
            </w:hyperlink>
          </w:p>
        </w:tc>
      </w:tr>
      <w:tr>
        <w:trPr>
          <w:trHeight w:val="155"/>
        </w:trPr>
        <w:tc>
          <w:tcPr>
            <w:tcW w:w="13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11">
              <w:r>
                <w:rPr>
                  <w:rFonts w:ascii="Arial" w:cs="Arial" w:eastAsia="Arial" w:hAnsi="Arial"/>
                  <w:sz w:val="18"/>
                  <w:szCs w:val="18"/>
                  <w:color w:val="0000FF"/>
                  <w:w w:val="89"/>
                </w:rPr>
                <w:t>U.S.C. Section 1350.</w:t>
              </w:r>
            </w:hyperlink>
          </w:p>
        </w:tc>
        <w:tc>
          <w:tcPr>
            <w:tcW w:w="8140" w:type="dxa"/>
            <w:vAlign w:val="bottom"/>
            <w:tcBorders>
              <w:top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412"/>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5"/>
              </w:rPr>
              <w:t>101.INS</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635"/>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0"/>
              </w:rPr>
              <w:t>101.SCH</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4"/>
              </w:rPr>
              <w:t>101.CAL</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9"/>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2"/>
              </w:rPr>
              <w:t>101.DEF</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1"/>
              </w:rPr>
              <w:t>101.PRE</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5"/>
              </w:rPr>
              <w:t>101.LAB</w:t>
            </w:r>
          </w:p>
        </w:tc>
        <w:tc>
          <w:tcPr>
            <w:tcW w:w="97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88" w:lineRule="exact"/>
        <w:rPr>
          <w:sz w:val="20"/>
          <w:szCs w:val="20"/>
          <w:color w:val="auto"/>
        </w:rPr>
      </w:pPr>
    </w:p>
    <w:p>
      <w:pPr>
        <w:ind w:left="1540" w:hanging="1107"/>
        <w:spacing w:after="0"/>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4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Date: August 10, 2020</w:t>
            </w:r>
          </w:p>
        </w:tc>
        <w:tc>
          <w:tcPr>
            <w:tcW w:w="4900" w:type="dxa"/>
            <w:vAlign w:val="bottom"/>
          </w:tcPr>
          <w:p>
            <w:pPr>
              <w:ind w:left="16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80" w:type="dxa"/>
            <w:vAlign w:val="bottom"/>
          </w:tcPr>
          <w:p>
            <w:pPr>
              <w:spacing w:after="0"/>
              <w:rPr>
                <w:sz w:val="20"/>
                <w:szCs w:val="20"/>
                <w:color w:val="auto"/>
              </w:rPr>
            </w:pPr>
          </w:p>
        </w:tc>
        <w:tc>
          <w:tcPr>
            <w:tcW w:w="4900" w:type="dxa"/>
            <w:vAlign w:val="bottom"/>
          </w:tcPr>
          <w:p>
            <w:pPr>
              <w:ind w:left="1660"/>
              <w:spacing w:after="0"/>
              <w:rPr>
                <w:sz w:val="20"/>
                <w:szCs w:val="20"/>
                <w:color w:val="auto"/>
              </w:rPr>
            </w:pPr>
            <w:r>
              <w:rPr>
                <w:rFonts w:ascii="Arial" w:cs="Arial" w:eastAsia="Arial" w:hAnsi="Arial"/>
                <w:sz w:val="18"/>
                <w:szCs w:val="18"/>
                <w:color w:val="auto"/>
              </w:rPr>
              <w:t>(registrant)</w:t>
            </w:r>
          </w:p>
        </w:tc>
      </w:tr>
      <w:tr>
        <w:trPr>
          <w:trHeight w:val="431"/>
        </w:trPr>
        <w:tc>
          <w:tcPr>
            <w:tcW w:w="3280" w:type="dxa"/>
            <w:vAlign w:val="bottom"/>
          </w:tcPr>
          <w:p>
            <w:pPr>
              <w:spacing w:after="0"/>
              <w:rPr>
                <w:sz w:val="24"/>
                <w:szCs w:val="24"/>
                <w:color w:val="auto"/>
              </w:rPr>
            </w:pPr>
          </w:p>
        </w:tc>
        <w:tc>
          <w:tcPr>
            <w:tcW w:w="4900" w:type="dxa"/>
            <w:vAlign w:val="bottom"/>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0</wp:posOffset>
            </wp:positionV>
            <wp:extent cx="26828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9579"/>
          </w:cols>
          <w:pgMar w:left="880" w:top="104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63"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26231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Anthony J. Park</w:t>
      </w:r>
    </w:p>
    <w:p>
      <w:pPr>
        <w:ind w:left="1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10, 2020</w:t>
      </w:r>
    </w:p>
    <w:p>
      <w:pPr>
        <w:spacing w:after="0" w:line="8"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31750</wp:posOffset>
            </wp:positionV>
            <wp:extent cx="33261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10, 2020</w:t>
      </w:r>
    </w:p>
    <w:p>
      <w:pPr>
        <w:spacing w:after="0" w:line="8"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31750</wp:posOffset>
            </wp:positionV>
            <wp:extent cx="3326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lowerLetter"/>
      <w:start w:val="2"/>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lowerRoman"/>
      <w:start w:val="1"/>
    </w:lvl>
  </w:abstractNum>
  <w:abstractNum w:abstractNumId="16">
    <w:nsid w:val="6CEAF087"/>
    <w:multiLevelType w:val="hybridMultilevel"/>
    <w:lvl w:ilvl="0">
      <w:lvlJc w:val="left"/>
      <w:lvlText w:val="(%1)"/>
      <w:numFmt w:val="lowerRoman"/>
      <w:start w:val="4"/>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Roman"/>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lvl w:ilvl="1">
      <w:lvlJc w:val="left"/>
      <w:lvlText w:val="%2"/>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48" Type="http://schemas.openxmlformats.org/officeDocument/2006/relationships/hyperlink" Target="https://www.sec.gov/Archives/edgar/data/1331875/000110465920068392/tm2021453d4_ex4-1.htm" TargetMode="External"/><Relationship Id="rId149" Type="http://schemas.openxmlformats.org/officeDocument/2006/relationships/hyperlink" Target="https://www.sec.gov/Archives/edgar/data/1668428/000119312518131682/d553516dex41.htm" TargetMode="External"/><Relationship Id="rId150" Type="http://schemas.openxmlformats.org/officeDocument/2006/relationships/hyperlink" Target="https://www.sec.gov/Archives/edgar/data/1331875/000110465920072692/tm2021971d7_ex4-1.htm" TargetMode="External"/><Relationship Id="rId151" Type="http://schemas.openxmlformats.org/officeDocument/2006/relationships/hyperlink" Target="https://www.sec.gov/Archives/edgar/data/1331875/000133187520000021/termloancreditagreemen.htm" TargetMode="External"/><Relationship Id="rId152" Type="http://schemas.openxmlformats.org/officeDocument/2006/relationships/hyperlink" Target="https://www.sec.gov/Archives/edgar/data/1331875/000104746920002579/a2241436zs-4a.htm#ann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2020-08-10T14:59:38Z</dcterms:created>
  <dcterms:modified xsi:type="dcterms:W3CDTF">2020-08-10T14:59:38Z</dcterms:modified>
</cp:coreProperties>
</file>