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June 15, 2022</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001-32630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3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16-1725106</w:t>
            </w:r>
          </w:p>
        </w:tc>
      </w:tr>
      <w:tr>
        <w:trPr>
          <w:trHeight w:val="351"/>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240" w:type="dxa"/>
            <w:vAlign w:val="bottom"/>
          </w:tcPr>
          <w:p>
            <w:pPr>
              <w:spacing w:after="0"/>
              <w:rPr>
                <w:sz w:val="24"/>
                <w:szCs w:val="24"/>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Number)</w:t>
            </w:r>
          </w:p>
        </w:tc>
      </w:tr>
    </w:tbl>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601 Riverside Avenue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Jacksonville, Florida 32204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(Addresses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(904) 854-8100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6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6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FNF Common Stock, $0.0001 par value</w:t>
            </w:r>
          </w:p>
        </w:tc>
        <w:tc>
          <w:tcPr>
            <w:tcW w:w="560" w:type="dxa"/>
            <w:vAlign w:val="bottom"/>
          </w:tcPr>
          <w:p>
            <w:pPr>
              <w:spacing w:after="0"/>
              <w:rPr>
                <w:sz w:val="21"/>
                <w:szCs w:val="21"/>
                <w:color w:val="auto"/>
              </w:rPr>
            </w:pPr>
          </w:p>
        </w:tc>
        <w:tc>
          <w:tcPr>
            <w:tcW w:w="1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FNF</w:t>
            </w:r>
          </w:p>
        </w:tc>
        <w:tc>
          <w:tcPr>
            <w:tcW w:w="70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4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1303655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Fidelity National Financial, Inc. Annual Meeting of Shareholders was held June 15, 2022. As of April 18, 2022, the record date for the Annual Meeting, 280,700,591 shares of common stock of the Company were outstanding and entitled to vote. A quorum of shares of common stock were present or represented at the Annual Meeting. The number of votes cast for, against or withheld, as well as abstentions, if applicable, with respect to each proposal is set out below:</w:t>
      </w:r>
    </w:p>
    <w:p>
      <w:pPr>
        <w:spacing w:after="0" w:line="207" w:lineRule="exact"/>
        <w:rPr>
          <w:sz w:val="20"/>
          <w:szCs w:val="20"/>
          <w:color w:val="auto"/>
        </w:rPr>
      </w:pPr>
    </w:p>
    <w:p>
      <w:pPr>
        <w:ind w:right="460" w:firstLine="8"/>
        <w:spacing w:after="0" w:line="271"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three Class II directors to serve until the 2025 Annual Meeting of Shareholders or until their successors are duly elected and qualified or their earlier death, resignation or removal</w:t>
      </w:r>
    </w:p>
    <w:tbl>
      <w:tblPr>
        <w:tblLayout w:type="fixed"/>
        <w:tblInd w:w="1220" w:type="dxa"/>
        <w:tblCellMar>
          <w:top w:w="0" w:type="dxa"/>
          <w:left w:w="0" w:type="dxa"/>
          <w:bottom w:w="0" w:type="dxa"/>
          <w:right w:w="0" w:type="dxa"/>
        </w:tblCellMar>
      </w:tblPr>
      <w:tr>
        <w:trPr>
          <w:trHeight w:val="199"/>
        </w:trPr>
        <w:tc>
          <w:tcPr>
            <w:tcW w:w="2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vMerge w:val="restart"/>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900" w:type="dxa"/>
            <w:vAlign w:val="bottom"/>
            <w:gridSpan w:val="5"/>
          </w:tcPr>
          <w:p>
            <w:pPr>
              <w:jc w:val="center"/>
              <w:ind w:left="170"/>
              <w:spacing w:after="0" w:line="199" w:lineRule="exact"/>
              <w:rPr>
                <w:sz w:val="20"/>
                <w:szCs w:val="20"/>
                <w:color w:val="auto"/>
              </w:rPr>
            </w:pPr>
            <w:r>
              <w:rPr>
                <w:rFonts w:ascii="Times New Roman" w:cs="Times New Roman" w:eastAsia="Times New Roman" w:hAnsi="Times New Roman"/>
                <w:sz w:val="18"/>
                <w:szCs w:val="18"/>
                <w:b w:val="1"/>
                <w:bCs w:val="1"/>
                <w:color w:val="auto"/>
                <w:w w:val="99"/>
              </w:rPr>
              <w:t>BROKER NON-</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VOTES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Halim Dhanidina</w:t>
            </w:r>
          </w:p>
        </w:tc>
        <w:tc>
          <w:tcPr>
            <w:tcW w:w="3060" w:type="dxa"/>
            <w:vAlign w:val="bottom"/>
            <w:gridSpan w:val="3"/>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9"/>
              </w:rPr>
              <w:t>212,595,537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3,462,980</w:t>
            </w:r>
          </w:p>
        </w:tc>
        <w:tc>
          <w:tcPr>
            <w:tcW w:w="440" w:type="dxa"/>
            <w:vAlign w:val="bottom"/>
            <w:shd w:val="clear" w:color="auto" w:fill="CCEEFF"/>
          </w:tcPr>
          <w:p>
            <w:pPr>
              <w:spacing w:after="0"/>
              <w:rPr>
                <w:sz w:val="19"/>
                <w:szCs w:val="19"/>
                <w:color w:val="auto"/>
              </w:rPr>
            </w:pPr>
          </w:p>
        </w:tc>
        <w:tc>
          <w:tcPr>
            <w:tcW w:w="1720" w:type="dxa"/>
            <w:vAlign w:val="bottom"/>
            <w:gridSpan w:val="4"/>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26,578,339</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D. (Ron) Lane</w:t>
            </w:r>
          </w:p>
        </w:tc>
        <w:tc>
          <w:tcPr>
            <w:tcW w:w="30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197,776,473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18,282,044</w:t>
            </w:r>
          </w:p>
        </w:tc>
        <w:tc>
          <w:tcPr>
            <w:tcW w:w="440" w:type="dxa"/>
            <w:vAlign w:val="bottom"/>
          </w:tcPr>
          <w:p>
            <w:pPr>
              <w:spacing w:after="0"/>
              <w:rPr>
                <w:sz w:val="19"/>
                <w:szCs w:val="19"/>
                <w:color w:val="auto"/>
              </w:rPr>
            </w:pPr>
          </w:p>
        </w:tc>
        <w:tc>
          <w:tcPr>
            <w:tcW w:w="172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8"/>
              </w:rPr>
              <w:t>26,578,339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Cary H. Thompson</w:t>
            </w:r>
          </w:p>
        </w:tc>
        <w:tc>
          <w:tcPr>
            <w:tcW w:w="3060" w:type="dxa"/>
            <w:vAlign w:val="bottom"/>
            <w:gridSpan w:val="3"/>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9"/>
              </w:rPr>
              <w:t>203,324,426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12,734,091</w:t>
            </w:r>
          </w:p>
        </w:tc>
        <w:tc>
          <w:tcPr>
            <w:tcW w:w="440" w:type="dxa"/>
            <w:vAlign w:val="bottom"/>
            <w:shd w:val="clear" w:color="auto" w:fill="CCEEFF"/>
          </w:tcPr>
          <w:p>
            <w:pPr>
              <w:spacing w:after="0"/>
              <w:rPr>
                <w:sz w:val="19"/>
                <w:szCs w:val="19"/>
                <w:color w:val="auto"/>
              </w:rPr>
            </w:pPr>
          </w:p>
        </w:tc>
        <w:tc>
          <w:tcPr>
            <w:tcW w:w="1720" w:type="dxa"/>
            <w:vAlign w:val="bottom"/>
            <w:gridSpan w:val="4"/>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26,578,339</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whose term of office as a director continued after the meeting are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Class I (term expires at the 2024 Annual Shareholders Meeting): </w:t>
      </w:r>
      <w:r>
        <w:rPr>
          <w:rFonts w:ascii="Times New Roman" w:cs="Times New Roman" w:eastAsia="Times New Roman" w:hAnsi="Times New Roman"/>
          <w:sz w:val="18"/>
          <w:szCs w:val="18"/>
          <w:color w:val="auto"/>
        </w:rPr>
        <w:t>Raymond R. Quirk, Sandra D. Morgan, Heather H. Murren, and John D. Rood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Class III (term expires at the 2023 Annual Shareholders Meeting): </w:t>
      </w:r>
      <w:r>
        <w:rPr>
          <w:rFonts w:ascii="Times New Roman" w:cs="Times New Roman" w:eastAsia="Times New Roman" w:hAnsi="Times New Roman"/>
          <w:sz w:val="17"/>
          <w:szCs w:val="17"/>
          <w:color w:val="auto"/>
        </w:rPr>
        <w:t>William P. Foley, II, Douglas K. Ammerman, Thomas M. Hagerty and Peter O. Shea, Jr.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approve a non-binding advisory resolution on the compensation paid to our named executive officers</w:t>
      </w:r>
    </w:p>
    <w:p>
      <w:pPr>
        <w:spacing w:after="0" w:line="3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vMerge w:val="restart"/>
          </w:tcPr>
          <w:p>
            <w:pPr>
              <w:spacing w:after="0"/>
              <w:rPr>
                <w:sz w:val="17"/>
                <w:szCs w:val="17"/>
                <w:color w:val="auto"/>
              </w:rPr>
            </w:pPr>
          </w:p>
        </w:tc>
        <w:tc>
          <w:tcPr>
            <w:tcW w:w="720" w:type="dxa"/>
            <w:vAlign w:val="bottom"/>
            <w:vMerge w:val="restart"/>
          </w:tcPr>
          <w:p>
            <w:pPr>
              <w:spacing w:after="0"/>
              <w:rPr>
                <w:sz w:val="17"/>
                <w:szCs w:val="17"/>
                <w:color w:val="auto"/>
              </w:rPr>
            </w:pPr>
          </w:p>
        </w:tc>
        <w:tc>
          <w:tcPr>
            <w:tcW w:w="158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5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BROKER NON-</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520" w:type="dxa"/>
            <w:vAlign w:val="bottom"/>
            <w:gridSpan w:val="3"/>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center"/>
              <w:ind w:right="340"/>
              <w:spacing w:after="0" w:line="142" w:lineRule="exact"/>
              <w:rPr>
                <w:sz w:val="20"/>
                <w:szCs w:val="20"/>
                <w:color w:val="auto"/>
              </w:rPr>
            </w:pPr>
            <w:r>
              <w:rPr>
                <w:rFonts w:ascii="Times New Roman" w:cs="Times New Roman" w:eastAsia="Times New Roman" w:hAnsi="Times New Roman"/>
                <w:sz w:val="16"/>
                <w:szCs w:val="16"/>
                <w:b w:val="1"/>
                <w:bCs w:val="1"/>
                <w:color w:val="auto"/>
              </w:rPr>
              <w:t>VOTES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6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w w:val="97"/>
              </w:rPr>
              <w:t>208,230,452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7,429,982</w:t>
            </w:r>
          </w:p>
        </w:tc>
        <w:tc>
          <w:tcPr>
            <w:tcW w:w="76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398,083</w:t>
            </w:r>
          </w:p>
        </w:tc>
        <w:tc>
          <w:tcPr>
            <w:tcW w:w="98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26,578,339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approve the Amended and Restated Fidelity National Financial, Inc. 2013 Employee Stock Purchase Plan</w:t>
      </w:r>
    </w:p>
    <w:p>
      <w:pPr>
        <w:spacing w:after="0" w:line="3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vMerge w:val="restart"/>
          </w:tcPr>
          <w:p>
            <w:pPr>
              <w:spacing w:after="0"/>
              <w:rPr>
                <w:sz w:val="18"/>
                <w:szCs w:val="18"/>
                <w:color w:val="auto"/>
              </w:rPr>
            </w:pPr>
          </w:p>
        </w:tc>
        <w:tc>
          <w:tcPr>
            <w:tcW w:w="720" w:type="dxa"/>
            <w:vAlign w:val="bottom"/>
            <w:vMerge w:val="restart"/>
          </w:tcPr>
          <w:p>
            <w:pPr>
              <w:spacing w:after="0"/>
              <w:rPr>
                <w:sz w:val="18"/>
                <w:szCs w:val="18"/>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BROKER NON-</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520" w:type="dxa"/>
            <w:vAlign w:val="bottom"/>
            <w:gridSpan w:val="3"/>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center"/>
              <w:ind w:right="340"/>
              <w:spacing w:after="0" w:line="142" w:lineRule="exact"/>
              <w:rPr>
                <w:sz w:val="20"/>
                <w:szCs w:val="20"/>
                <w:color w:val="auto"/>
              </w:rPr>
            </w:pPr>
            <w:r>
              <w:rPr>
                <w:rFonts w:ascii="Times New Roman" w:cs="Times New Roman" w:eastAsia="Times New Roman" w:hAnsi="Times New Roman"/>
                <w:sz w:val="16"/>
                <w:szCs w:val="16"/>
                <w:b w:val="1"/>
                <w:bCs w:val="1"/>
                <w:color w:val="auto"/>
              </w:rPr>
              <w:t>VOTES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6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w w:val="97"/>
              </w:rPr>
              <w:t>145,145,105</w:t>
            </w:r>
          </w:p>
        </w:tc>
        <w:tc>
          <w:tcPr>
            <w:tcW w:w="15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6"/>
              </w:rPr>
              <w:t>70,587,905</w:t>
            </w:r>
          </w:p>
        </w:tc>
        <w:tc>
          <w:tcPr>
            <w:tcW w:w="76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325,507</w:t>
            </w:r>
          </w:p>
        </w:tc>
        <w:tc>
          <w:tcPr>
            <w:tcW w:w="98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26,578,339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Ratification and appointment of Ernst &amp; Young LLP as the Company’s independent registered public accounting firm for the 2022 fiscal year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6660" w:type="dxa"/>
            <w:vAlign w:val="bottom"/>
            <w:gridSpan w:val="3"/>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7"/>
              </w:rPr>
              <w:t>ABSTAIN</w:t>
            </w:r>
          </w:p>
        </w:tc>
      </w:tr>
      <w:tr>
        <w:trPr>
          <w:trHeight w:val="20"/>
        </w:trPr>
        <w:tc>
          <w:tcPr>
            <w:tcW w:w="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50"/>
        </w:trPr>
        <w:tc>
          <w:tcPr>
            <w:tcW w:w="22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242,273,030</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227,926</w:t>
            </w:r>
          </w:p>
        </w:tc>
        <w:tc>
          <w:tcPr>
            <w:tcW w:w="76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135,900</w:t>
            </w:r>
          </w:p>
        </w:tc>
        <w:tc>
          <w:tcPr>
            <w:tcW w:w="5120" w:type="dxa"/>
            <w:vAlign w:val="bottom"/>
          </w:tcPr>
          <w:p>
            <w:pPr>
              <w:spacing w:after="0"/>
              <w:rPr>
                <w:sz w:val="21"/>
                <w:szCs w:val="21"/>
                <w:color w:val="auto"/>
              </w:rPr>
            </w:pPr>
          </w:p>
        </w:tc>
      </w:tr>
      <w:tr>
        <w:trPr>
          <w:trHeight w:val="2126"/>
        </w:trPr>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firstLine="225"/>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300" w:type="dxa"/>
            <w:vAlign w:val="bottom"/>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21, 2022</w:t>
            </w:r>
          </w:p>
        </w:tc>
        <w:tc>
          <w:tcPr>
            <w:tcW w:w="630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By:  /s/ Michael L. Gravelle</w:t>
            </w:r>
          </w:p>
        </w:tc>
      </w:tr>
      <w:tr>
        <w:trPr>
          <w:trHeight w:val="218"/>
        </w:trPr>
        <w:tc>
          <w:tcPr>
            <w:tcW w:w="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Michael L. Gravelle</w:t>
            </w:r>
          </w:p>
        </w:tc>
      </w:tr>
      <w:tr>
        <w:trPr>
          <w:trHeight w:val="180"/>
        </w:trPr>
        <w:tc>
          <w:tcPr>
            <w:tcW w:w="5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234"/>
        </w:trPr>
        <w:tc>
          <w:tcPr>
            <w:tcW w:w="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Corporate Secretary</w:t>
            </w:r>
          </w:p>
        </w:tc>
      </w:tr>
    </w:tbl>
    <w:p>
      <w:pPr>
        <w:spacing w:after="0" w:line="1" w:lineRule="exact"/>
        <w:rPr>
          <w:sz w:val="20"/>
          <w:szCs w:val="20"/>
          <w:color w:val="auto"/>
        </w:rPr>
      </w:pPr>
    </w:p>
    <w:sectPr>
      <w:pgSz w:w="11900" w:h="16838" w:orient="portrait"/>
      <w:cols w:equalWidth="0" w:num="1">
        <w:col w:w="10480"/>
      </w:cols>
      <w:pgMar w:left="580" w:top="88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2022-06-21T15:15:14Z</dcterms:created>
  <dcterms:modified xsi:type="dcterms:W3CDTF">2022-06-21T15:15:14Z</dcterms:modified>
</cp:coreProperties>
</file>