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7"/>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485775</wp:posOffset>
            </wp:positionV>
            <wp:extent cx="71348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33655</wp:posOffset>
            </wp:positionH>
            <wp:positionV relativeFrom="paragraph">
              <wp:posOffset>452120</wp:posOffset>
            </wp:positionV>
            <wp:extent cx="71348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46"/>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47" w:lineRule="exact"/>
        <w:rPr>
          <w:sz w:val="24"/>
          <w:szCs w:val="24"/>
          <w:color w:val="auto"/>
        </w:rPr>
      </w:pPr>
    </w:p>
    <w:p>
      <w:pPr>
        <w:jc w:val="center"/>
        <w:ind w:right="-46"/>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6" w:lineRule="exact"/>
        <w:rPr>
          <w:sz w:val="24"/>
          <w:szCs w:val="24"/>
          <w:color w:val="auto"/>
        </w:rPr>
      </w:pPr>
    </w:p>
    <w:p>
      <w:pPr>
        <w:jc w:val="center"/>
        <w:ind w:right="-46"/>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2406015</wp:posOffset>
            </wp:positionH>
            <wp:positionV relativeFrom="paragraph">
              <wp:posOffset>86360</wp:posOffset>
            </wp:positionV>
            <wp:extent cx="23812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1250" cy="8255"/>
                    </a:xfrm>
                    <a:prstGeom prst="rect">
                      <a:avLst/>
                    </a:prstGeom>
                    <a:noFill/>
                  </pic:spPr>
                </pic:pic>
              </a:graphicData>
            </a:graphic>
          </wp:anchor>
        </w:drawing>
      </w:r>
    </w:p>
    <w:p>
      <w:pPr>
        <w:spacing w:after="0" w:line="211" w:lineRule="exact"/>
        <w:rPr>
          <w:sz w:val="24"/>
          <w:szCs w:val="24"/>
          <w:color w:val="auto"/>
        </w:rPr>
      </w:pPr>
    </w:p>
    <w:p>
      <w:pPr>
        <w:jc w:val="center"/>
        <w:ind w:right="-46"/>
        <w:spacing w:after="0"/>
        <w:rPr>
          <w:sz w:val="20"/>
          <w:szCs w:val="20"/>
          <w:color w:val="auto"/>
        </w:rPr>
      </w:pPr>
      <w:r>
        <w:rPr>
          <w:rFonts w:ascii="Times New Roman" w:cs="Times New Roman" w:eastAsia="Times New Roman" w:hAnsi="Times New Roman"/>
          <w:sz w:val="28"/>
          <w:szCs w:val="2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2406015</wp:posOffset>
            </wp:positionH>
            <wp:positionV relativeFrom="paragraph">
              <wp:posOffset>114300</wp:posOffset>
            </wp:positionV>
            <wp:extent cx="23812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125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ind w:left="507" w:right="480" w:hanging="436"/>
        <w:spacing w:after="0" w:line="249" w:lineRule="auto"/>
        <w:tabs>
          <w:tab w:leader="none" w:pos="507"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QUARTERLY REPORT PURSUANT TO SECTION 13 OR 15(d) OF THE SECURITIES EXCHANGE ACT OF 1934</w:t>
      </w:r>
    </w:p>
    <w:p>
      <w:pPr>
        <w:spacing w:after="0" w:line="66" w:lineRule="exact"/>
        <w:rPr>
          <w:sz w:val="24"/>
          <w:szCs w:val="24"/>
          <w:color w:val="auto"/>
        </w:rPr>
      </w:pPr>
    </w:p>
    <w:p>
      <w:pPr>
        <w:jc w:val="center"/>
        <w:ind w:right="-46"/>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2026</w:t>
      </w:r>
    </w:p>
    <w:p>
      <w:pPr>
        <w:spacing w:after="0" w:line="85" w:lineRule="exact"/>
        <w:rPr>
          <w:sz w:val="24"/>
          <w:szCs w:val="24"/>
          <w:color w:val="auto"/>
        </w:rPr>
      </w:pPr>
    </w:p>
    <w:p>
      <w:pPr>
        <w:jc w:val="center"/>
        <w:ind w:right="-46"/>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32" w:lineRule="exact"/>
        <w:rPr>
          <w:sz w:val="24"/>
          <w:szCs w:val="24"/>
          <w:color w:val="auto"/>
        </w:rPr>
      </w:pPr>
    </w:p>
    <w:p>
      <w:pPr>
        <w:ind w:left="547" w:right="420" w:hanging="547"/>
        <w:spacing w:after="0" w:line="181" w:lineRule="auto"/>
        <w:tabs>
          <w:tab w:leader="none" w:pos="547" w:val="left"/>
        </w:tabs>
        <w:numPr>
          <w:ilvl w:val="0"/>
          <w:numId w:val="2"/>
        </w:numPr>
        <w:rPr>
          <w:rFonts w:ascii="MS PGothic" w:cs="MS PGothic" w:eastAsia="MS PGothic" w:hAnsi="MS PGothic"/>
          <w:sz w:val="41"/>
          <w:szCs w:val="41"/>
          <w:color w:val="auto"/>
          <w:vertAlign w:val="subscript"/>
        </w:rPr>
      </w:pPr>
      <w:r>
        <w:rPr>
          <w:rFonts w:ascii="Times New Roman" w:cs="Times New Roman" w:eastAsia="Times New Roman" w:hAnsi="Times New Roman"/>
          <w:sz w:val="21"/>
          <w:szCs w:val="21"/>
          <w:b w:val="1"/>
          <w:bCs w:val="1"/>
          <w:color w:val="auto"/>
        </w:rPr>
        <w:t>TRANSITION REPORT PURSUANT TO SECTION 13 OR 15(d) OF THE SECURITIES EXCHANGE ACT OF 1934</w:t>
      </w:r>
    </w:p>
    <w:p>
      <w:pPr>
        <w:spacing w:after="0" w:line="63" w:lineRule="exact"/>
        <w:rPr>
          <w:sz w:val="24"/>
          <w:szCs w:val="24"/>
          <w:color w:val="auto"/>
        </w:rPr>
      </w:pPr>
    </w:p>
    <w:p>
      <w:pPr>
        <w:jc w:val="center"/>
        <w:ind w:right="-46"/>
        <w:spacing w:after="0"/>
        <w:rPr>
          <w:sz w:val="20"/>
          <w:szCs w:val="20"/>
          <w:color w:val="auto"/>
        </w:rPr>
      </w:pPr>
      <w:r>
        <w:rPr>
          <w:rFonts w:ascii="Times New Roman" w:cs="Times New Roman" w:eastAsia="Times New Roman" w:hAnsi="Times New Roman"/>
          <w:sz w:val="18"/>
          <w:szCs w:val="18"/>
          <w:b w:val="1"/>
          <w:bCs w:val="1"/>
          <w:color w:val="auto"/>
        </w:rPr>
        <w:t>Commission File Number: 001-32630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1766570</wp:posOffset>
            </wp:positionH>
            <wp:positionV relativeFrom="paragraph">
              <wp:posOffset>92075</wp:posOffset>
            </wp:positionV>
            <wp:extent cx="36601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60140" cy="8255"/>
                    </a:xfrm>
                    <a:prstGeom prst="rect">
                      <a:avLst/>
                    </a:prstGeom>
                    <a:noFill/>
                  </pic:spPr>
                </pic:pic>
              </a:graphicData>
            </a:graphic>
          </wp:anchor>
        </w:drawing>
        <w:drawing>
          <wp:anchor simplePos="0" relativeHeight="251657728" behindDoc="1" locked="0" layoutInCell="0" allowOverlap="1">
            <wp:simplePos x="0" y="0"/>
            <wp:positionH relativeFrom="column">
              <wp:posOffset>2759710</wp:posOffset>
            </wp:positionH>
            <wp:positionV relativeFrom="paragraph">
              <wp:posOffset>184150</wp:posOffset>
            </wp:positionV>
            <wp:extent cx="1682750" cy="6985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82750" cy="6985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tbl>
      <w:tblPr>
        <w:tblLayout w:type="fixed"/>
        <w:tblInd w:w="867" w:type="dxa"/>
        <w:tblCellMar>
          <w:top w:w="0" w:type="dxa"/>
          <w:left w:w="0" w:type="dxa"/>
          <w:bottom w:w="0" w:type="dxa"/>
          <w:right w:w="0" w:type="dxa"/>
        </w:tblCellMar>
      </w:tblPr>
      <w:tr>
        <w:trPr>
          <w:trHeight w:val="281"/>
        </w:trPr>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80" w:type="dxa"/>
            <w:vAlign w:val="bottom"/>
            <w:gridSpan w:val="7"/>
          </w:tcPr>
          <w:p>
            <w:pPr>
              <w:jc w:val="center"/>
              <w:ind w:right="2160"/>
              <w:spacing w:after="0"/>
              <w:rPr>
                <w:sz w:val="20"/>
                <w:szCs w:val="20"/>
                <w:color w:val="auto"/>
              </w:rPr>
            </w:pPr>
            <w:r>
              <w:rPr>
                <w:rFonts w:ascii="Times New Roman" w:cs="Times New Roman" w:eastAsia="Times New Roman" w:hAnsi="Times New Roman"/>
                <w:sz w:val="21"/>
                <w:szCs w:val="21"/>
                <w:b w:val="1"/>
                <w:bCs w:val="1"/>
                <w:color w:val="auto"/>
              </w:rPr>
              <w:t>FIDELITY NATIONAL FINANCIAL, INC.</w:t>
            </w:r>
          </w:p>
        </w:tc>
      </w:tr>
      <w:tr>
        <w:trPr>
          <w:trHeight w:val="242"/>
        </w:trPr>
        <w:tc>
          <w:tcPr>
            <w:tcW w:w="5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680" w:type="dxa"/>
            <w:vAlign w:val="bottom"/>
            <w:gridSpan w:val="7"/>
          </w:tcPr>
          <w:p>
            <w:pPr>
              <w:jc w:val="center"/>
              <w:ind w:right="2140"/>
              <w:spacing w:after="0"/>
              <w:rPr>
                <w:sz w:val="20"/>
                <w:szCs w:val="20"/>
                <w:color w:val="auto"/>
              </w:rPr>
            </w:pPr>
            <w:r>
              <w:rPr>
                <w:rFonts w:ascii="Times New Roman" w:cs="Times New Roman" w:eastAsia="Times New Roman" w:hAnsi="Times New Roman"/>
                <w:sz w:val="18"/>
                <w:szCs w:val="18"/>
                <w:b w:val="1"/>
                <w:bCs w:val="1"/>
                <w:color w:val="auto"/>
                <w:w w:val="97"/>
              </w:rPr>
              <w:t>(Exact name of registrant as specified in its charter)</w:t>
            </w:r>
          </w:p>
        </w:tc>
      </w:tr>
      <w:tr>
        <w:trPr>
          <w:trHeight w:val="118"/>
        </w:trPr>
        <w:tc>
          <w:tcPr>
            <w:tcW w:w="5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136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379"/>
        </w:trPr>
        <w:tc>
          <w:tcPr>
            <w:tcW w:w="580" w:type="dxa"/>
            <w:vAlign w:val="bottom"/>
          </w:tcPr>
          <w:p>
            <w:pPr>
              <w:spacing w:after="0"/>
              <w:rPr>
                <w:sz w:val="24"/>
                <w:szCs w:val="24"/>
                <w:color w:val="auto"/>
              </w:rPr>
            </w:pPr>
          </w:p>
        </w:tc>
        <w:tc>
          <w:tcPr>
            <w:tcW w:w="1960" w:type="dxa"/>
            <w:vAlign w:val="bottom"/>
            <w:gridSpan w:val="3"/>
          </w:tcPr>
          <w:p>
            <w:pPr>
              <w:jc w:val="center"/>
              <w:ind w:right="1240"/>
              <w:spacing w:after="0"/>
              <w:rPr>
                <w:sz w:val="20"/>
                <w:szCs w:val="20"/>
                <w:color w:val="auto"/>
              </w:rPr>
            </w:pPr>
            <w:r>
              <w:rPr>
                <w:rFonts w:ascii="Times New Roman" w:cs="Times New Roman" w:eastAsia="Times New Roman" w:hAnsi="Times New Roman"/>
                <w:sz w:val="18"/>
                <w:szCs w:val="18"/>
                <w:b w:val="1"/>
                <w:bCs w:val="1"/>
                <w:color w:val="auto"/>
                <w:w w:val="96"/>
              </w:rPr>
              <w:t>Nevada</w:t>
            </w:r>
          </w:p>
        </w:tc>
        <w:tc>
          <w:tcPr>
            <w:tcW w:w="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160" w:type="dxa"/>
            <w:vAlign w:val="bottom"/>
            <w:gridSpan w:val="4"/>
          </w:tcPr>
          <w:p>
            <w:pPr>
              <w:jc w:val="center"/>
              <w:ind w:left="1981"/>
              <w:spacing w:after="0"/>
              <w:rPr>
                <w:sz w:val="20"/>
                <w:szCs w:val="20"/>
                <w:color w:val="auto"/>
              </w:rPr>
            </w:pPr>
            <w:r>
              <w:rPr>
                <w:rFonts w:ascii="Times New Roman" w:cs="Times New Roman" w:eastAsia="Times New Roman" w:hAnsi="Times New Roman"/>
                <w:sz w:val="18"/>
                <w:szCs w:val="18"/>
                <w:b w:val="1"/>
                <w:bCs w:val="1"/>
                <w:color w:val="auto"/>
                <w:w w:val="98"/>
              </w:rPr>
              <w:t>16-1725106</w:t>
            </w:r>
          </w:p>
        </w:tc>
      </w:tr>
      <w:tr>
        <w:trPr>
          <w:trHeight w:val="147"/>
        </w:trPr>
        <w:tc>
          <w:tcPr>
            <w:tcW w:w="2540" w:type="dxa"/>
            <w:vAlign w:val="bottom"/>
            <w:gridSpan w:val="4"/>
          </w:tcPr>
          <w:p>
            <w:pPr>
              <w:jc w:val="center"/>
              <w:ind w:right="660"/>
              <w:spacing w:after="0" w:line="147"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9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540" w:type="dxa"/>
            <w:vAlign w:val="bottom"/>
            <w:gridSpan w:val="2"/>
          </w:tcPr>
          <w:p>
            <w:pPr>
              <w:jc w:val="center"/>
              <w:ind w:left="369"/>
              <w:spacing w:after="0" w:line="147"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6"/>
        </w:trPr>
        <w:tc>
          <w:tcPr>
            <w:tcW w:w="2540" w:type="dxa"/>
            <w:vAlign w:val="bottom"/>
            <w:gridSpan w:val="4"/>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540" w:type="dxa"/>
            <w:vAlign w:val="bottom"/>
            <w:gridSpan w:val="2"/>
          </w:tcPr>
          <w:p>
            <w:pPr>
              <w:jc w:val="center"/>
              <w:ind w:left="369"/>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95"/>
        </w:trPr>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5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601 Riverside Avenue</w:t>
            </w: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08"/>
        </w:trPr>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5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Jacksonville, Florida 32204</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186"/>
        </w:trPr>
        <w:tc>
          <w:tcPr>
            <w:tcW w:w="5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80" w:type="dxa"/>
            <w:vAlign w:val="bottom"/>
            <w:gridSpan w:val="7"/>
          </w:tcPr>
          <w:p>
            <w:pPr>
              <w:jc w:val="center"/>
              <w:ind w:right="21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r>
      <w:tr>
        <w:trPr>
          <w:trHeight w:val="463"/>
        </w:trPr>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520" w:type="dxa"/>
            <w:vAlign w:val="bottom"/>
            <w:gridSpan w:val="3"/>
          </w:tcPr>
          <w:p>
            <w:pPr>
              <w:jc w:val="center"/>
              <w:ind w:left="939"/>
              <w:spacing w:after="0"/>
              <w:rPr>
                <w:sz w:val="20"/>
                <w:szCs w:val="20"/>
                <w:color w:val="auto"/>
              </w:rPr>
            </w:pPr>
            <w:r>
              <w:rPr>
                <w:rFonts w:ascii="Times New Roman" w:cs="Times New Roman" w:eastAsia="Times New Roman" w:hAnsi="Times New Roman"/>
                <w:sz w:val="18"/>
                <w:szCs w:val="18"/>
                <w:b w:val="1"/>
                <w:bCs w:val="1"/>
                <w:color w:val="auto"/>
                <w:w w:val="97"/>
              </w:rPr>
              <w:t>(904) 854-8100</w:t>
            </w: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13"/>
        </w:trPr>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80" w:type="dxa"/>
            <w:vAlign w:val="bottom"/>
            <w:gridSpan w:val="7"/>
          </w:tcPr>
          <w:p>
            <w:pPr>
              <w:jc w:val="center"/>
              <w:ind w:right="2140"/>
              <w:spacing w:after="0"/>
              <w:rPr>
                <w:sz w:val="20"/>
                <w:szCs w:val="20"/>
                <w:color w:val="auto"/>
              </w:rPr>
            </w:pPr>
            <w:r>
              <w:rPr>
                <w:rFonts w:ascii="Times New Roman" w:cs="Times New Roman" w:eastAsia="Times New Roman" w:hAnsi="Times New Roman"/>
                <w:sz w:val="14"/>
                <w:szCs w:val="14"/>
                <w:b w:val="1"/>
                <w:bCs w:val="1"/>
                <w:color w:val="auto"/>
                <w:w w:val="99"/>
              </w:rPr>
              <w:t>(Registrant’s telephone number, including area code)</w:t>
            </w:r>
          </w:p>
        </w:tc>
      </w:tr>
      <w:tr>
        <w:trPr>
          <w:trHeight w:val="411"/>
        </w:trPr>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80" w:type="dxa"/>
            <w:vAlign w:val="bottom"/>
            <w:gridSpan w:val="7"/>
          </w:tcPr>
          <w:p>
            <w:pPr>
              <w:jc w:val="center"/>
              <w:ind w:right="214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r>
      <w:tr>
        <w:trPr>
          <w:trHeight w:val="183"/>
        </w:trPr>
        <w:tc>
          <w:tcPr>
            <w:tcW w:w="580" w:type="dxa"/>
            <w:vAlign w:val="bottom"/>
          </w:tcPr>
          <w:p>
            <w:pPr>
              <w:spacing w:after="0"/>
              <w:rPr>
                <w:sz w:val="15"/>
                <w:szCs w:val="15"/>
                <w:color w:val="auto"/>
              </w:rPr>
            </w:pPr>
          </w:p>
        </w:tc>
        <w:tc>
          <w:tcPr>
            <w:tcW w:w="1960" w:type="dxa"/>
            <w:vAlign w:val="bottom"/>
            <w:gridSpan w:val="3"/>
          </w:tcPr>
          <w:p>
            <w:pPr>
              <w:jc w:val="center"/>
              <w:ind w:right="840"/>
              <w:spacing w:after="0"/>
              <w:rPr>
                <w:sz w:val="20"/>
                <w:szCs w:val="20"/>
                <w:color w:val="auto"/>
              </w:rPr>
            </w:pPr>
            <w:r>
              <w:rPr>
                <w:rFonts w:ascii="Times New Roman" w:cs="Times New Roman" w:eastAsia="Times New Roman" w:hAnsi="Times New Roman"/>
                <w:sz w:val="14"/>
                <w:szCs w:val="14"/>
                <w:b w:val="1"/>
                <w:bCs w:val="1"/>
                <w:color w:val="auto"/>
                <w:w w:val="99"/>
              </w:rPr>
              <w:t>Title of Each Class</w:t>
            </w:r>
          </w:p>
        </w:tc>
        <w:tc>
          <w:tcPr>
            <w:tcW w:w="3520" w:type="dxa"/>
            <w:vAlign w:val="bottom"/>
            <w:gridSpan w:val="3"/>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w w:val="98"/>
              </w:rPr>
              <w:t>Trading Symbol</w:t>
            </w:r>
          </w:p>
        </w:tc>
        <w:tc>
          <w:tcPr>
            <w:tcW w:w="31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0"/>
        </w:trPr>
        <w:tc>
          <w:tcPr>
            <w:tcW w:w="5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6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1"/>
        </w:trPr>
        <w:tc>
          <w:tcPr>
            <w:tcW w:w="254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color w:val="auto"/>
              </w:rPr>
              <w:t>FNF Common Stock, $0.0001 par value</w:t>
            </w:r>
          </w:p>
        </w:tc>
        <w:tc>
          <w:tcPr>
            <w:tcW w:w="980" w:type="dxa"/>
            <w:vAlign w:val="bottom"/>
          </w:tcPr>
          <w:p>
            <w:pPr>
              <w:spacing w:after="0"/>
              <w:rPr>
                <w:sz w:val="19"/>
                <w:szCs w:val="19"/>
                <w:color w:val="auto"/>
              </w:rPr>
            </w:pPr>
          </w:p>
        </w:tc>
        <w:tc>
          <w:tcPr>
            <w:tcW w:w="2540" w:type="dxa"/>
            <w:vAlign w:val="bottom"/>
            <w:gridSpan w:val="2"/>
          </w:tcPr>
          <w:p>
            <w:pPr>
              <w:jc w:val="center"/>
              <w:ind w:right="1560"/>
              <w:spacing w:after="0"/>
              <w:rPr>
                <w:sz w:val="20"/>
                <w:szCs w:val="20"/>
                <w:color w:val="auto"/>
              </w:rPr>
            </w:pPr>
            <w:r>
              <w:rPr>
                <w:rFonts w:ascii="Times New Roman" w:cs="Times New Roman" w:eastAsia="Times New Roman" w:hAnsi="Times New Roman"/>
                <w:sz w:val="14"/>
                <w:szCs w:val="14"/>
                <w:color w:val="auto"/>
              </w:rPr>
              <w:t>FNF</w:t>
            </w:r>
          </w:p>
        </w:tc>
        <w:tc>
          <w:tcPr>
            <w:tcW w:w="220" w:type="dxa"/>
            <w:vAlign w:val="bottom"/>
          </w:tcPr>
          <w:p>
            <w:pPr>
              <w:spacing w:after="0"/>
              <w:rPr>
                <w:sz w:val="19"/>
                <w:szCs w:val="19"/>
                <w:color w:val="auto"/>
              </w:rPr>
            </w:pPr>
          </w:p>
        </w:tc>
        <w:tc>
          <w:tcPr>
            <w:tcW w:w="294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color w:val="auto"/>
                <w:w w:val="99"/>
              </w:rPr>
              <w:t>New York Stock Exchange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1766570</wp:posOffset>
            </wp:positionH>
            <wp:positionV relativeFrom="paragraph">
              <wp:posOffset>99695</wp:posOffset>
            </wp:positionV>
            <wp:extent cx="3660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60140" cy="8255"/>
                    </a:xfrm>
                    <a:prstGeom prst="rect">
                      <a:avLst/>
                    </a:prstGeom>
                    <a:noFill/>
                  </pic:spPr>
                </pic:pic>
              </a:graphicData>
            </a:graphic>
          </wp:anchor>
        </w:drawing>
      </w:r>
    </w:p>
    <w:p>
      <w:pPr>
        <w:spacing w:after="0" w:line="260" w:lineRule="exact"/>
        <w:rPr>
          <w:sz w:val="24"/>
          <w:szCs w:val="24"/>
          <w:color w:val="auto"/>
        </w:rPr>
      </w:pPr>
    </w:p>
    <w:p>
      <w:pPr>
        <w:ind w:left="47"/>
        <w:spacing w:after="0" w:line="244"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Times New Roman" w:cs="Times New Roman" w:eastAsia="Times New Roman" w:hAnsi="Times New Roman"/>
          <w:sz w:val="14"/>
          <w:szCs w:val="14"/>
          <w:color w:val="auto"/>
        </w:rPr>
        <w:t xml:space="preserve"> or No </w:t>
      </w:r>
      <w:r>
        <w:rPr>
          <w:rFonts w:ascii="MS PGothic" w:cs="MS PGothic" w:eastAsia="MS PGothic" w:hAnsi="MS PGothic"/>
          <w:sz w:val="21"/>
          <w:szCs w:val="21"/>
          <w:color w:val="auto"/>
        </w:rPr>
        <w:t>☐</w:t>
      </w:r>
    </w:p>
    <w:p>
      <w:pPr>
        <w:spacing w:after="0" w:line="37" w:lineRule="exact"/>
        <w:rPr>
          <w:sz w:val="24"/>
          <w:szCs w:val="24"/>
          <w:color w:val="auto"/>
        </w:rPr>
      </w:pPr>
    </w:p>
    <w:p>
      <w:pPr>
        <w:ind w:left="47"/>
        <w:spacing w:after="0" w:line="247" w:lineRule="exact"/>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w:t>
      </w:r>
      <w:r>
        <w:rPr>
          <w:rFonts w:ascii="Times New Roman" w:cs="Times New Roman" w:eastAsia="Times New Roman" w:hAnsi="Times New Roman"/>
          <w:sz w:val="15"/>
          <w:szCs w:val="15"/>
          <w:color w:val="auto"/>
        </w:rPr>
        <w:t>§</w:t>
      </w:r>
      <w:r>
        <w:rPr>
          <w:rFonts w:ascii="Times New Roman" w:cs="Times New Roman" w:eastAsia="Times New Roman" w:hAnsi="Times New Roman"/>
          <w:sz w:val="14"/>
          <w:szCs w:val="14"/>
          <w:color w:val="auto"/>
        </w:rPr>
        <w:t xml:space="preserve"> 232.405 of this chapter) during the preceding 12 months (or for such shorter period that the registrant was required to submit such files). Yes </w:t>
      </w:r>
      <w:r>
        <w:rPr>
          <w:rFonts w:ascii="MS PGothic" w:cs="MS PGothic" w:eastAsia="MS PGothic" w:hAnsi="MS PGothic"/>
          <w:sz w:val="21"/>
          <w:szCs w:val="21"/>
          <w:color w:val="auto"/>
        </w:rPr>
        <w:t>☒</w:t>
      </w:r>
      <w:r>
        <w:rPr>
          <w:rFonts w:ascii="Times New Roman" w:cs="Times New Roman" w:eastAsia="Times New Roman" w:hAnsi="Times New Roman"/>
          <w:sz w:val="14"/>
          <w:szCs w:val="14"/>
          <w:color w:val="auto"/>
        </w:rPr>
        <w:t>or No</w:t>
      </w:r>
      <w:r>
        <w:rPr>
          <w:rFonts w:ascii="MS PGothic" w:cs="MS PGothic" w:eastAsia="MS PGothic" w:hAnsi="MS PGothic"/>
          <w:sz w:val="14"/>
          <w:szCs w:val="14"/>
          <w:color w:val="auto"/>
        </w:rPr>
        <w:t>☐</w:t>
      </w:r>
    </w:p>
    <w:p>
      <w:pPr>
        <w:spacing w:after="0" w:line="28" w:lineRule="exact"/>
        <w:rPr>
          <w:sz w:val="24"/>
          <w:szCs w:val="24"/>
          <w:color w:val="auto"/>
        </w:rPr>
      </w:pPr>
    </w:p>
    <w:p>
      <w:pPr>
        <w:ind w:left="47"/>
        <w:spacing w:after="0" w:line="290"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20955</wp:posOffset>
            </wp:positionH>
            <wp:positionV relativeFrom="paragraph">
              <wp:posOffset>596265</wp:posOffset>
            </wp:positionV>
            <wp:extent cx="716026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87"/>
          </w:cols>
          <w:pgMar w:left="273" w:top="227" w:right="339" w:bottom="1440" w:gutter="0" w:footer="0" w:header="0"/>
        </w:sectPr>
      </w:pPr>
    </w:p>
    <w:bookmarkStart w:id="1" w:name="page2"/>
    <w:bookmarkEnd w:id="1"/>
    <w:p>
      <w:pPr>
        <w:spacing w:after="0" w:line="1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Large Accelerated Filer</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r>
        <w:rPr>
          <w:rFonts w:ascii="MS PGothic" w:cs="MS PGothic" w:eastAsia="MS PGothic" w:hAnsi="MS PGothic"/>
          <w:sz w:val="21"/>
          <w:szCs w:val="21"/>
          <w:color w:val="auto"/>
        </w:rPr>
        <w:t>☒</w:t>
      </w:r>
    </w:p>
    <w:p>
      <w:pPr>
        <w:spacing w:after="0" w:line="161" w:lineRule="exact"/>
        <w:rPr>
          <w:sz w:val="20"/>
          <w:szCs w:val="20"/>
          <w:color w:val="auto"/>
        </w:rPr>
      </w:pPr>
    </w:p>
    <w:p>
      <w:pPr>
        <w:jc w:val="right"/>
        <w:spacing w:after="0" w:line="211" w:lineRule="exact"/>
        <w:rPr>
          <w:sz w:val="20"/>
          <w:szCs w:val="20"/>
          <w:color w:val="auto"/>
        </w:rPr>
      </w:pPr>
      <w:r>
        <w:rPr>
          <w:rFonts w:ascii="MS PGothic" w:cs="MS PGothic" w:eastAsia="MS PGothic" w:hAnsi="MS PGothic"/>
          <w:sz w:val="21"/>
          <w:szCs w:val="21"/>
          <w:color w:val="auto"/>
        </w:rPr>
        <w:t>☐</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Smaller reporting Company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191"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191"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30" w:lineRule="exact"/>
        <w:rPr>
          <w:sz w:val="20"/>
          <w:szCs w:val="20"/>
          <w:color w:val="auto"/>
        </w:rPr>
      </w:pPr>
    </w:p>
    <w:p>
      <w:pPr>
        <w:sectPr>
          <w:pgSz w:w="11900" w:h="16838" w:orient="portrait"/>
          <w:cols w:equalWidth="0" w:num="4">
            <w:col w:w="4000" w:space="720"/>
            <w:col w:w="240" w:space="680"/>
            <w:col w:w="3320" w:space="720"/>
            <w:col w:w="1360"/>
          </w:cols>
          <w:pgMar w:left="320" w:top="1257" w:right="539" w:bottom="1440" w:gutter="0" w:footer="0" w:header="0"/>
        </w:sectPr>
      </w:pPr>
    </w:p>
    <w:p>
      <w:pPr>
        <w:spacing w:after="0" w:line="244"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 w:lineRule="exact"/>
        <w:rPr>
          <w:sz w:val="20"/>
          <w:szCs w:val="20"/>
          <w:color w:val="auto"/>
        </w:rPr>
      </w:pPr>
    </w:p>
    <w:p>
      <w:pPr>
        <w:spacing w:after="0" w:line="242" w:lineRule="exact"/>
        <w:tabs>
          <w:tab w:leader="none" w:pos="726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21"/>
          <w:szCs w:val="21"/>
          <w:color w:val="auto"/>
        </w:rPr>
        <w:t>☐</w:t>
      </w:r>
      <w:r>
        <w:rPr>
          <w:rFonts w:ascii="Times New Roman" w:cs="Times New Roman" w:eastAsia="Times New Roman" w:hAnsi="Times New Roman"/>
          <w:sz w:val="14"/>
          <w:szCs w:val="14"/>
          <w:color w:val="auto"/>
        </w:rPr>
        <w:t xml:space="preserve"> or</w:t>
        <w:tab/>
        <w:t xml:space="preserve">No </w:t>
      </w:r>
      <w:r>
        <w:rPr>
          <w:rFonts w:ascii="MS PGothic" w:cs="MS PGothic" w:eastAsia="MS PGothic" w:hAnsi="MS PGothic"/>
          <w:sz w:val="21"/>
          <w:szCs w:val="21"/>
          <w:color w:val="auto"/>
        </w:rPr>
        <w:t>☒</w:t>
      </w:r>
    </w:p>
    <w:p>
      <w:pPr>
        <w:spacing w:after="0" w:line="1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registrant had 268,192,827 shares of common stock issued and outstanding as of October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793115</wp:posOffset>
            </wp:positionV>
            <wp:extent cx="716026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124460</wp:posOffset>
            </wp:positionV>
            <wp:extent cx="71348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90805</wp:posOffset>
            </wp:positionV>
            <wp:extent cx="71348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040"/>
          </w:cols>
          <w:pgMar w:left="320" w:top="1257" w:right="5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QUARTERLY REPORT</w:t>
      </w:r>
    </w:p>
    <w:p>
      <w:pPr>
        <w:spacing w:after="0" w:line="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Quarter Ended September 30, 2026</w:t>
      </w:r>
    </w:p>
    <w:p>
      <w:pPr>
        <w:spacing w:after="0" w:line="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71"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820" w:type="dxa"/>
            <w:vAlign w:val="bottom"/>
            <w:gridSpan w:val="3"/>
          </w:tcPr>
          <w:p>
            <w:pPr>
              <w:jc w:val="center"/>
              <w:ind w:left="1436"/>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220" w:type="dxa"/>
            <w:vAlign w:val="bottom"/>
            <w:gridSpan w:val="11"/>
          </w:tcPr>
          <w:p>
            <w:pPr>
              <w:jc w:val="center"/>
              <w:ind w:right="1680"/>
              <w:spacing w:after="0"/>
              <w:rPr>
                <w:sz w:val="20"/>
                <w:szCs w:val="20"/>
                <w:color w:val="auto"/>
              </w:rPr>
            </w:pPr>
            <w:r>
              <w:rPr>
                <w:rFonts w:ascii="Times New Roman" w:cs="Times New Roman" w:eastAsia="Times New Roman" w:hAnsi="Times New Roman"/>
                <w:sz w:val="18"/>
                <w:szCs w:val="18"/>
                <w:b w:val="1"/>
                <w:bCs w:val="1"/>
                <w:color w:val="auto"/>
                <w:w w:val="97"/>
              </w:rPr>
              <w:t>PART I. FINANCIAL INFORMATION</w:t>
            </w:r>
          </w:p>
        </w:tc>
        <w:tc>
          <w:tcPr>
            <w:tcW w:w="1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3880" w:type="dxa"/>
            <w:vAlign w:val="bottom"/>
            <w:tcBorders>
              <w:bottom w:val="single" w:sz="8" w:color="0000FF"/>
            </w:tcBorders>
            <w:gridSpan w:val="11"/>
          </w:tcPr>
          <w:p>
            <w:pPr>
              <w:spacing w:after="0" w:line="198" w:lineRule="exact"/>
              <w:rPr>
                <w:sz w:val="20"/>
                <w:szCs w:val="20"/>
                <w:color w:val="auto"/>
              </w:rPr>
            </w:pPr>
            <w:r>
              <w:rPr>
                <w:rFonts w:ascii="Times New Roman" w:cs="Times New Roman" w:eastAsia="Times New Roman" w:hAnsi="Times New Roman"/>
                <w:sz w:val="18"/>
                <w:szCs w:val="18"/>
                <w:color w:val="0000FF"/>
                <w:w w:val="97"/>
              </w:rPr>
              <w:t>Item 1. Condensed Consolidated Financial Statements:</w:t>
            </w:r>
          </w:p>
        </w:tc>
        <w:tc>
          <w:tcPr>
            <w:tcW w:w="5160" w:type="dxa"/>
            <w:vAlign w:val="bottom"/>
            <w:gridSpan w:val="9"/>
          </w:tcPr>
          <w:p>
            <w:pPr>
              <w:spacing w:after="0"/>
              <w:rPr>
                <w:sz w:val="17"/>
                <w:szCs w:val="17"/>
                <w:color w:val="auto"/>
              </w:rPr>
            </w:pPr>
          </w:p>
        </w:tc>
        <w:tc>
          <w:tcPr>
            <w:tcW w:w="1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Balance Sheets (unaudited)</w:t>
            </w:r>
          </w:p>
        </w:tc>
        <w:tc>
          <w:tcPr>
            <w:tcW w:w="1620" w:type="dxa"/>
            <w:vAlign w:val="bottom"/>
          </w:tcPr>
          <w:p>
            <w:pPr>
              <w:spacing w:after="0"/>
              <w:rPr>
                <w:sz w:val="19"/>
                <w:szCs w:val="19"/>
                <w:color w:val="auto"/>
              </w:rPr>
            </w:pPr>
          </w:p>
        </w:tc>
        <w:tc>
          <w:tcPr>
            <w:tcW w:w="140" w:type="dxa"/>
            <w:vAlign w:val="bottom"/>
            <w:tcBorders>
              <w:bottom w:val="single" w:sz="8" w:color="0000FF"/>
            </w:tcBorders>
          </w:tcPr>
          <w:p>
            <w:pPr>
              <w:jc w:val="center"/>
              <w:spacing w:after="0" w:line="199" w:lineRule="exact"/>
              <w:rPr>
                <w:sz w:val="20"/>
                <w:szCs w:val="20"/>
                <w:color w:val="auto"/>
              </w:rPr>
            </w:pPr>
            <w:r>
              <w:rPr>
                <w:rFonts w:ascii="Times New Roman" w:cs="Times New Roman" w:eastAsia="Times New Roman" w:hAnsi="Times New Roman"/>
                <w:sz w:val="18"/>
                <w:szCs w:val="18"/>
                <w:color w:val="0000FF"/>
                <w:w w:val="88"/>
              </w:rPr>
              <w:t>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0000FF"/>
            </w:tcBorders>
          </w:tcPr>
          <w:p>
            <w:pPr>
              <w:spacing w:after="0" w:line="20" w:lineRule="exact"/>
              <w:rPr>
                <w:sz w:val="1"/>
                <w:szCs w:val="1"/>
                <w:color w:val="auto"/>
              </w:rPr>
            </w:pPr>
          </w:p>
        </w:tc>
        <w:tc>
          <w:tcPr>
            <w:tcW w:w="400" w:type="dxa"/>
            <w:vAlign w:val="bottom"/>
            <w:tcBorders>
              <w:bottom w:val="single" w:sz="8" w:color="0000FF"/>
            </w:tcBorders>
          </w:tcPr>
          <w:p>
            <w:pPr>
              <w:spacing w:after="0" w:line="20" w:lineRule="exact"/>
              <w:rPr>
                <w:sz w:val="1"/>
                <w:szCs w:val="1"/>
                <w:color w:val="auto"/>
              </w:rPr>
            </w:pPr>
          </w:p>
        </w:tc>
        <w:tc>
          <w:tcPr>
            <w:tcW w:w="420" w:type="dxa"/>
            <w:vAlign w:val="bottom"/>
            <w:tcBorders>
              <w:bottom w:val="single" w:sz="8" w:color="0000FF"/>
            </w:tcBorders>
          </w:tcPr>
          <w:p>
            <w:pPr>
              <w:spacing w:after="0" w:line="20" w:lineRule="exact"/>
              <w:rPr>
                <w:sz w:val="1"/>
                <w:szCs w:val="1"/>
                <w:color w:val="auto"/>
              </w:rPr>
            </w:pPr>
          </w:p>
        </w:tc>
        <w:tc>
          <w:tcPr>
            <w:tcW w:w="2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20" w:type="dxa"/>
            <w:vAlign w:val="bottom"/>
            <w:tcBorders>
              <w:bottom w:val="single" w:sz="8" w:color="0000FF"/>
            </w:tcBorders>
          </w:tcPr>
          <w:p>
            <w:pPr>
              <w:spacing w:after="0" w:line="20" w:lineRule="exact"/>
              <w:rPr>
                <w:sz w:val="1"/>
                <w:szCs w:val="1"/>
                <w:color w:val="auto"/>
              </w:rPr>
            </w:pPr>
          </w:p>
        </w:tc>
        <w:tc>
          <w:tcPr>
            <w:tcW w:w="540" w:type="dxa"/>
            <w:vAlign w:val="bottom"/>
            <w:tcBorders>
              <w:bottom w:val="single" w:sz="8" w:color="0000FF"/>
            </w:tcBorders>
          </w:tcPr>
          <w:p>
            <w:pPr>
              <w:spacing w:after="0" w:line="20" w:lineRule="exact"/>
              <w:rPr>
                <w:sz w:val="1"/>
                <w:szCs w:val="1"/>
                <w:color w:val="auto"/>
              </w:rPr>
            </w:pPr>
          </w:p>
        </w:tc>
        <w:tc>
          <w:tcPr>
            <w:tcW w:w="1040" w:type="dxa"/>
            <w:vAlign w:val="bottom"/>
            <w:tcBorders>
              <w:bottom w:val="single" w:sz="8" w:color="0000FF"/>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88"/>
              </w:rPr>
              <w:t>3</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920" w:type="dxa"/>
            <w:vAlign w:val="bottom"/>
            <w:gridSpan w:val="18"/>
          </w:tcPr>
          <w:p>
            <w:pPr>
              <w:spacing w:after="0" w:line="205" w:lineRule="exact"/>
              <w:rPr>
                <w:sz w:val="20"/>
                <w:szCs w:val="20"/>
                <w:color w:val="auto"/>
              </w:rPr>
            </w:pPr>
            <w:r>
              <w:rPr>
                <w:rFonts w:ascii="Times New Roman" w:cs="Times New Roman" w:eastAsia="Times New Roman" w:hAnsi="Times New Roman"/>
                <w:sz w:val="18"/>
                <w:szCs w:val="18"/>
                <w:color w:val="0000FF"/>
              </w:rPr>
              <w:t>Condensed Consolidated Statements of Earnings (unaudited)</w:t>
            </w:r>
          </w:p>
        </w:tc>
        <w:tc>
          <w:tcPr>
            <w:tcW w:w="1620" w:type="dxa"/>
            <w:vAlign w:val="bottom"/>
          </w:tcPr>
          <w:p>
            <w:pPr>
              <w:spacing w:after="0"/>
              <w:rPr>
                <w:sz w:val="17"/>
                <w:szCs w:val="17"/>
                <w:color w:val="auto"/>
              </w:rPr>
            </w:pPr>
          </w:p>
        </w:tc>
        <w:tc>
          <w:tcPr>
            <w:tcW w:w="140" w:type="dxa"/>
            <w:vAlign w:val="bottom"/>
            <w:tcBorders>
              <w:bottom w:val="single" w:sz="8" w:color="0000FF"/>
            </w:tcBorders>
            <w:vMerge w:val="continue"/>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0000FF"/>
            </w:tcBorders>
          </w:tcPr>
          <w:p>
            <w:pPr>
              <w:spacing w:after="0" w:line="20" w:lineRule="exact"/>
              <w:rPr>
                <w:sz w:val="1"/>
                <w:szCs w:val="1"/>
                <w:color w:val="auto"/>
              </w:rPr>
            </w:pPr>
          </w:p>
        </w:tc>
        <w:tc>
          <w:tcPr>
            <w:tcW w:w="400" w:type="dxa"/>
            <w:vAlign w:val="bottom"/>
            <w:tcBorders>
              <w:bottom w:val="single" w:sz="8" w:color="0000FF"/>
            </w:tcBorders>
          </w:tcPr>
          <w:p>
            <w:pPr>
              <w:spacing w:after="0" w:line="20" w:lineRule="exact"/>
              <w:rPr>
                <w:sz w:val="1"/>
                <w:szCs w:val="1"/>
                <w:color w:val="auto"/>
              </w:rPr>
            </w:pPr>
          </w:p>
        </w:tc>
        <w:tc>
          <w:tcPr>
            <w:tcW w:w="420" w:type="dxa"/>
            <w:vAlign w:val="bottom"/>
            <w:tcBorders>
              <w:bottom w:val="single" w:sz="8" w:color="0000FF"/>
            </w:tcBorders>
          </w:tcPr>
          <w:p>
            <w:pPr>
              <w:spacing w:after="0" w:line="20" w:lineRule="exact"/>
              <w:rPr>
                <w:sz w:val="1"/>
                <w:szCs w:val="1"/>
                <w:color w:val="auto"/>
              </w:rPr>
            </w:pPr>
          </w:p>
        </w:tc>
        <w:tc>
          <w:tcPr>
            <w:tcW w:w="2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20" w:type="dxa"/>
            <w:vAlign w:val="bottom"/>
            <w:tcBorders>
              <w:bottom w:val="single" w:sz="8" w:color="0000FF"/>
            </w:tcBorders>
          </w:tcPr>
          <w:p>
            <w:pPr>
              <w:spacing w:after="0" w:line="20" w:lineRule="exact"/>
              <w:rPr>
                <w:sz w:val="1"/>
                <w:szCs w:val="1"/>
                <w:color w:val="auto"/>
              </w:rPr>
            </w:pPr>
          </w:p>
        </w:tc>
        <w:tc>
          <w:tcPr>
            <w:tcW w:w="540" w:type="dxa"/>
            <w:vAlign w:val="bottom"/>
            <w:tcBorders>
              <w:bottom w:val="single" w:sz="8" w:color="0000FF"/>
            </w:tcBorders>
          </w:tcPr>
          <w:p>
            <w:pPr>
              <w:spacing w:after="0" w:line="20" w:lineRule="exact"/>
              <w:rPr>
                <w:sz w:val="1"/>
                <w:szCs w:val="1"/>
                <w:color w:val="auto"/>
              </w:rPr>
            </w:pPr>
          </w:p>
        </w:tc>
        <w:tc>
          <w:tcPr>
            <w:tcW w:w="1440" w:type="dxa"/>
            <w:vAlign w:val="bottom"/>
            <w:tcBorders>
              <w:bottom w:val="single" w:sz="8" w:color="0000FF"/>
            </w:tcBorders>
            <w:gridSpan w:val="3"/>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920" w:type="dxa"/>
            <w:vAlign w:val="bottom"/>
            <w:gridSpan w:val="18"/>
          </w:tcPr>
          <w:p>
            <w:pPr>
              <w:spacing w:after="0" w:line="205" w:lineRule="exact"/>
              <w:rPr>
                <w:sz w:val="20"/>
                <w:szCs w:val="20"/>
                <w:color w:val="auto"/>
              </w:rPr>
            </w:pPr>
            <w:r>
              <w:rPr>
                <w:rFonts w:ascii="Times New Roman" w:cs="Times New Roman" w:eastAsia="Times New Roman" w:hAnsi="Times New Roman"/>
                <w:sz w:val="18"/>
                <w:szCs w:val="18"/>
                <w:color w:val="0000FF"/>
              </w:rPr>
              <w:t>Condensed Consolidated Statements of Comprehensive Earnings (unaudited)</w:t>
            </w:r>
          </w:p>
        </w:tc>
        <w:tc>
          <w:tcPr>
            <w:tcW w:w="1620" w:type="dxa"/>
            <w:vAlign w:val="bottom"/>
          </w:tcPr>
          <w:p>
            <w:pPr>
              <w:spacing w:after="0"/>
              <w:rPr>
                <w:sz w:val="17"/>
                <w:szCs w:val="17"/>
                <w:color w:val="auto"/>
              </w:rPr>
            </w:pPr>
          </w:p>
        </w:tc>
        <w:tc>
          <w:tcPr>
            <w:tcW w:w="140" w:type="dxa"/>
            <w:vAlign w:val="bottom"/>
            <w:tcBorders>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w w:val="88"/>
              </w:rPr>
              <w:t>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0000FF"/>
            </w:tcBorders>
          </w:tcPr>
          <w:p>
            <w:pPr>
              <w:spacing w:after="0" w:line="20" w:lineRule="exact"/>
              <w:rPr>
                <w:sz w:val="1"/>
                <w:szCs w:val="1"/>
                <w:color w:val="auto"/>
              </w:rPr>
            </w:pPr>
          </w:p>
        </w:tc>
        <w:tc>
          <w:tcPr>
            <w:tcW w:w="400" w:type="dxa"/>
            <w:vAlign w:val="bottom"/>
            <w:tcBorders>
              <w:bottom w:val="single" w:sz="8" w:color="0000FF"/>
            </w:tcBorders>
          </w:tcPr>
          <w:p>
            <w:pPr>
              <w:spacing w:after="0" w:line="20" w:lineRule="exact"/>
              <w:rPr>
                <w:sz w:val="1"/>
                <w:szCs w:val="1"/>
                <w:color w:val="auto"/>
              </w:rPr>
            </w:pPr>
          </w:p>
        </w:tc>
        <w:tc>
          <w:tcPr>
            <w:tcW w:w="420" w:type="dxa"/>
            <w:vAlign w:val="bottom"/>
            <w:tcBorders>
              <w:bottom w:val="single" w:sz="8" w:color="0000FF"/>
            </w:tcBorders>
          </w:tcPr>
          <w:p>
            <w:pPr>
              <w:spacing w:after="0" w:line="20" w:lineRule="exact"/>
              <w:rPr>
                <w:sz w:val="1"/>
                <w:szCs w:val="1"/>
                <w:color w:val="auto"/>
              </w:rPr>
            </w:pPr>
          </w:p>
        </w:tc>
        <w:tc>
          <w:tcPr>
            <w:tcW w:w="2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20" w:type="dxa"/>
            <w:vAlign w:val="bottom"/>
            <w:tcBorders>
              <w:bottom w:val="single" w:sz="8" w:color="0000FF"/>
            </w:tcBorders>
          </w:tcPr>
          <w:p>
            <w:pPr>
              <w:spacing w:after="0" w:line="20" w:lineRule="exact"/>
              <w:rPr>
                <w:sz w:val="1"/>
                <w:szCs w:val="1"/>
                <w:color w:val="auto"/>
              </w:rPr>
            </w:pPr>
          </w:p>
        </w:tc>
        <w:tc>
          <w:tcPr>
            <w:tcW w:w="540" w:type="dxa"/>
            <w:vAlign w:val="bottom"/>
            <w:tcBorders>
              <w:bottom w:val="single" w:sz="8" w:color="0000FF"/>
            </w:tcBorders>
          </w:tcPr>
          <w:p>
            <w:pPr>
              <w:spacing w:after="0" w:line="20" w:lineRule="exact"/>
              <w:rPr>
                <w:sz w:val="1"/>
                <w:szCs w:val="1"/>
                <w:color w:val="auto"/>
              </w:rPr>
            </w:pPr>
          </w:p>
        </w:tc>
        <w:tc>
          <w:tcPr>
            <w:tcW w:w="1440" w:type="dxa"/>
            <w:vAlign w:val="bottom"/>
            <w:tcBorders>
              <w:bottom w:val="single" w:sz="8" w:color="0000FF"/>
            </w:tcBorders>
            <w:gridSpan w:val="3"/>
          </w:tcPr>
          <w:p>
            <w:pPr>
              <w:spacing w:after="0" w:line="20" w:lineRule="exact"/>
              <w:rPr>
                <w:sz w:val="1"/>
                <w:szCs w:val="1"/>
                <w:color w:val="auto"/>
              </w:rPr>
            </w:pPr>
          </w:p>
        </w:tc>
        <w:tc>
          <w:tcPr>
            <w:tcW w:w="360" w:type="dxa"/>
            <w:vAlign w:val="bottom"/>
            <w:tcBorders>
              <w:bottom w:val="single" w:sz="8" w:color="0000FF"/>
            </w:tcBorders>
            <w:gridSpan w:val="2"/>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760" w:type="dxa"/>
            <w:vAlign w:val="bottom"/>
            <w:tcBorders>
              <w:bottom w:val="single" w:sz="8" w:color="0000FF"/>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920" w:type="dxa"/>
            <w:vAlign w:val="bottom"/>
            <w:gridSpan w:val="18"/>
          </w:tcPr>
          <w:p>
            <w:pPr>
              <w:spacing w:after="0" w:line="205" w:lineRule="exact"/>
              <w:rPr>
                <w:sz w:val="20"/>
                <w:szCs w:val="20"/>
                <w:color w:val="auto"/>
              </w:rPr>
            </w:pPr>
            <w:r>
              <w:rPr>
                <w:rFonts w:ascii="Times New Roman" w:cs="Times New Roman" w:eastAsia="Times New Roman" w:hAnsi="Times New Roman"/>
                <w:sz w:val="18"/>
                <w:szCs w:val="18"/>
                <w:color w:val="0000FF"/>
              </w:rPr>
              <w:t>Condensed Consolidated Statements of Equity (unaudited)</w:t>
            </w:r>
          </w:p>
        </w:tc>
        <w:tc>
          <w:tcPr>
            <w:tcW w:w="1620" w:type="dxa"/>
            <w:vAlign w:val="bottom"/>
          </w:tcPr>
          <w:p>
            <w:pPr>
              <w:spacing w:after="0"/>
              <w:rPr>
                <w:sz w:val="17"/>
                <w:szCs w:val="17"/>
                <w:color w:val="auto"/>
              </w:rPr>
            </w:pPr>
          </w:p>
        </w:tc>
        <w:tc>
          <w:tcPr>
            <w:tcW w:w="140" w:type="dxa"/>
            <w:vAlign w:val="bottom"/>
            <w:tcBorders>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w w:val="88"/>
              </w:rPr>
              <w:t>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0000FF"/>
            </w:tcBorders>
          </w:tcPr>
          <w:p>
            <w:pPr>
              <w:spacing w:after="0" w:line="20" w:lineRule="exact"/>
              <w:rPr>
                <w:sz w:val="1"/>
                <w:szCs w:val="1"/>
                <w:color w:val="auto"/>
              </w:rPr>
            </w:pPr>
          </w:p>
        </w:tc>
        <w:tc>
          <w:tcPr>
            <w:tcW w:w="400" w:type="dxa"/>
            <w:vAlign w:val="bottom"/>
            <w:tcBorders>
              <w:bottom w:val="single" w:sz="8" w:color="0000FF"/>
            </w:tcBorders>
          </w:tcPr>
          <w:p>
            <w:pPr>
              <w:spacing w:after="0" w:line="20" w:lineRule="exact"/>
              <w:rPr>
                <w:sz w:val="1"/>
                <w:szCs w:val="1"/>
                <w:color w:val="auto"/>
              </w:rPr>
            </w:pPr>
          </w:p>
        </w:tc>
        <w:tc>
          <w:tcPr>
            <w:tcW w:w="420" w:type="dxa"/>
            <w:vAlign w:val="bottom"/>
            <w:tcBorders>
              <w:bottom w:val="single" w:sz="8" w:color="0000FF"/>
            </w:tcBorders>
          </w:tcPr>
          <w:p>
            <w:pPr>
              <w:spacing w:after="0" w:line="20" w:lineRule="exact"/>
              <w:rPr>
                <w:sz w:val="1"/>
                <w:szCs w:val="1"/>
                <w:color w:val="auto"/>
              </w:rPr>
            </w:pPr>
          </w:p>
        </w:tc>
        <w:tc>
          <w:tcPr>
            <w:tcW w:w="2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20" w:type="dxa"/>
            <w:vAlign w:val="bottom"/>
            <w:tcBorders>
              <w:bottom w:val="single" w:sz="8" w:color="0000FF"/>
            </w:tcBorders>
          </w:tcPr>
          <w:p>
            <w:pPr>
              <w:spacing w:after="0" w:line="20" w:lineRule="exact"/>
              <w:rPr>
                <w:sz w:val="1"/>
                <w:szCs w:val="1"/>
                <w:color w:val="auto"/>
              </w:rPr>
            </w:pPr>
          </w:p>
        </w:tc>
        <w:tc>
          <w:tcPr>
            <w:tcW w:w="540" w:type="dxa"/>
            <w:vAlign w:val="bottom"/>
            <w:tcBorders>
              <w:bottom w:val="single" w:sz="8" w:color="0000FF"/>
            </w:tcBorders>
          </w:tcPr>
          <w:p>
            <w:pPr>
              <w:spacing w:after="0" w:line="20" w:lineRule="exact"/>
              <w:rPr>
                <w:sz w:val="1"/>
                <w:szCs w:val="1"/>
                <w:color w:val="auto"/>
              </w:rPr>
            </w:pPr>
          </w:p>
        </w:tc>
        <w:tc>
          <w:tcPr>
            <w:tcW w:w="1440" w:type="dxa"/>
            <w:vAlign w:val="bottom"/>
            <w:tcBorders>
              <w:bottom w:val="single" w:sz="8" w:color="0000FF"/>
            </w:tcBorders>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920" w:type="dxa"/>
            <w:vAlign w:val="bottom"/>
            <w:gridSpan w:val="18"/>
          </w:tcPr>
          <w:p>
            <w:pPr>
              <w:spacing w:after="0" w:line="205" w:lineRule="exact"/>
              <w:rPr>
                <w:sz w:val="20"/>
                <w:szCs w:val="20"/>
                <w:color w:val="auto"/>
              </w:rPr>
            </w:pPr>
            <w:r>
              <w:rPr>
                <w:rFonts w:ascii="Times New Roman" w:cs="Times New Roman" w:eastAsia="Times New Roman" w:hAnsi="Times New Roman"/>
                <w:sz w:val="18"/>
                <w:szCs w:val="18"/>
                <w:color w:val="0000FF"/>
              </w:rPr>
              <w:t>Condensed Consolidated Statements of Cash Flows (unaudited)</w:t>
            </w:r>
          </w:p>
        </w:tc>
        <w:tc>
          <w:tcPr>
            <w:tcW w:w="1620" w:type="dxa"/>
            <w:vAlign w:val="bottom"/>
          </w:tcPr>
          <w:p>
            <w:pPr>
              <w:spacing w:after="0"/>
              <w:rPr>
                <w:sz w:val="17"/>
                <w:szCs w:val="17"/>
                <w:color w:val="auto"/>
              </w:rPr>
            </w:pPr>
          </w:p>
        </w:tc>
        <w:tc>
          <w:tcPr>
            <w:tcW w:w="140" w:type="dxa"/>
            <w:vAlign w:val="bottom"/>
            <w:tcBorders>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w w:val="88"/>
              </w:rPr>
              <w:t>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0000FF"/>
            </w:tcBorders>
          </w:tcPr>
          <w:p>
            <w:pPr>
              <w:spacing w:after="0" w:line="20" w:lineRule="exact"/>
              <w:rPr>
                <w:sz w:val="1"/>
                <w:szCs w:val="1"/>
                <w:color w:val="auto"/>
              </w:rPr>
            </w:pPr>
          </w:p>
        </w:tc>
        <w:tc>
          <w:tcPr>
            <w:tcW w:w="400" w:type="dxa"/>
            <w:vAlign w:val="bottom"/>
            <w:tcBorders>
              <w:bottom w:val="single" w:sz="8" w:color="0000FF"/>
            </w:tcBorders>
          </w:tcPr>
          <w:p>
            <w:pPr>
              <w:spacing w:after="0" w:line="20" w:lineRule="exact"/>
              <w:rPr>
                <w:sz w:val="1"/>
                <w:szCs w:val="1"/>
                <w:color w:val="auto"/>
              </w:rPr>
            </w:pPr>
          </w:p>
        </w:tc>
        <w:tc>
          <w:tcPr>
            <w:tcW w:w="420" w:type="dxa"/>
            <w:vAlign w:val="bottom"/>
            <w:tcBorders>
              <w:bottom w:val="single" w:sz="8" w:color="0000FF"/>
            </w:tcBorders>
          </w:tcPr>
          <w:p>
            <w:pPr>
              <w:spacing w:after="0" w:line="20" w:lineRule="exact"/>
              <w:rPr>
                <w:sz w:val="1"/>
                <w:szCs w:val="1"/>
                <w:color w:val="auto"/>
              </w:rPr>
            </w:pPr>
          </w:p>
        </w:tc>
        <w:tc>
          <w:tcPr>
            <w:tcW w:w="2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20" w:type="dxa"/>
            <w:vAlign w:val="bottom"/>
            <w:tcBorders>
              <w:bottom w:val="single" w:sz="8" w:color="0000FF"/>
            </w:tcBorders>
          </w:tcPr>
          <w:p>
            <w:pPr>
              <w:spacing w:after="0" w:line="20" w:lineRule="exact"/>
              <w:rPr>
                <w:sz w:val="1"/>
                <w:szCs w:val="1"/>
                <w:color w:val="auto"/>
              </w:rPr>
            </w:pPr>
          </w:p>
        </w:tc>
        <w:tc>
          <w:tcPr>
            <w:tcW w:w="540" w:type="dxa"/>
            <w:vAlign w:val="bottom"/>
            <w:tcBorders>
              <w:bottom w:val="single" w:sz="8" w:color="0000FF"/>
            </w:tcBorders>
          </w:tcPr>
          <w:p>
            <w:pPr>
              <w:spacing w:after="0" w:line="20" w:lineRule="exact"/>
              <w:rPr>
                <w:sz w:val="1"/>
                <w:szCs w:val="1"/>
                <w:color w:val="auto"/>
              </w:rPr>
            </w:pPr>
          </w:p>
        </w:tc>
        <w:tc>
          <w:tcPr>
            <w:tcW w:w="1800" w:type="dxa"/>
            <w:vAlign w:val="bottom"/>
            <w:tcBorders>
              <w:bottom w:val="single" w:sz="8" w:color="0000FF"/>
            </w:tcBorders>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920" w:type="dxa"/>
            <w:vAlign w:val="bottom"/>
            <w:gridSpan w:val="18"/>
          </w:tcPr>
          <w:p>
            <w:pPr>
              <w:spacing w:after="0" w:line="205" w:lineRule="exact"/>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1620" w:type="dxa"/>
            <w:vAlign w:val="bottom"/>
          </w:tcPr>
          <w:p>
            <w:pPr>
              <w:spacing w:after="0"/>
              <w:rPr>
                <w:sz w:val="17"/>
                <w:szCs w:val="17"/>
                <w:color w:val="auto"/>
              </w:rPr>
            </w:pPr>
          </w:p>
        </w:tc>
        <w:tc>
          <w:tcPr>
            <w:tcW w:w="140" w:type="dxa"/>
            <w:vAlign w:val="bottom"/>
            <w:tcBorders>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w w:val="88"/>
              </w:rPr>
              <w:t>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0000FF"/>
            </w:tcBorders>
          </w:tcPr>
          <w:p>
            <w:pPr>
              <w:spacing w:after="0" w:line="20" w:lineRule="exact"/>
              <w:rPr>
                <w:sz w:val="1"/>
                <w:szCs w:val="1"/>
                <w:color w:val="auto"/>
              </w:rPr>
            </w:pPr>
          </w:p>
        </w:tc>
        <w:tc>
          <w:tcPr>
            <w:tcW w:w="400" w:type="dxa"/>
            <w:vAlign w:val="bottom"/>
            <w:tcBorders>
              <w:bottom w:val="single" w:sz="8" w:color="0000FF"/>
            </w:tcBorders>
          </w:tcPr>
          <w:p>
            <w:pPr>
              <w:spacing w:after="0" w:line="20" w:lineRule="exact"/>
              <w:rPr>
                <w:sz w:val="1"/>
                <w:szCs w:val="1"/>
                <w:color w:val="auto"/>
              </w:rPr>
            </w:pPr>
          </w:p>
        </w:tc>
        <w:tc>
          <w:tcPr>
            <w:tcW w:w="420" w:type="dxa"/>
            <w:vAlign w:val="bottom"/>
            <w:tcBorders>
              <w:bottom w:val="single" w:sz="8" w:color="0000FF"/>
            </w:tcBorders>
          </w:tcPr>
          <w:p>
            <w:pPr>
              <w:spacing w:after="0" w:line="20" w:lineRule="exact"/>
              <w:rPr>
                <w:sz w:val="1"/>
                <w:szCs w:val="1"/>
                <w:color w:val="auto"/>
              </w:rPr>
            </w:pPr>
          </w:p>
        </w:tc>
        <w:tc>
          <w:tcPr>
            <w:tcW w:w="2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20" w:type="dxa"/>
            <w:vAlign w:val="bottom"/>
            <w:tcBorders>
              <w:bottom w:val="single" w:sz="8" w:color="0000FF"/>
            </w:tcBorders>
          </w:tcPr>
          <w:p>
            <w:pPr>
              <w:spacing w:after="0" w:line="20" w:lineRule="exact"/>
              <w:rPr>
                <w:sz w:val="1"/>
                <w:szCs w:val="1"/>
                <w:color w:val="auto"/>
              </w:rPr>
            </w:pPr>
          </w:p>
        </w:tc>
        <w:tc>
          <w:tcPr>
            <w:tcW w:w="540" w:type="dxa"/>
            <w:vAlign w:val="bottom"/>
            <w:tcBorders>
              <w:bottom w:val="single" w:sz="8" w:color="0000FF"/>
            </w:tcBorders>
          </w:tcPr>
          <w:p>
            <w:pPr>
              <w:spacing w:after="0" w:line="20" w:lineRule="exact"/>
              <w:rPr>
                <w:sz w:val="1"/>
                <w:szCs w:val="1"/>
                <w:color w:val="auto"/>
              </w:rPr>
            </w:pPr>
          </w:p>
        </w:tc>
        <w:tc>
          <w:tcPr>
            <w:tcW w:w="1960" w:type="dxa"/>
            <w:vAlign w:val="bottom"/>
            <w:tcBorders>
              <w:bottom w:val="single" w:sz="8" w:color="0000FF"/>
            </w:tcBorders>
            <w:gridSpan w:val="6"/>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77"/>
              </w:rPr>
              <w:t>63</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40" w:type="dxa"/>
            <w:vAlign w:val="bottom"/>
            <w:gridSpan w:val="20"/>
          </w:tcPr>
          <w:p>
            <w:pPr>
              <w:spacing w:after="0" w:line="205" w:lineRule="exact"/>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1620" w:type="dxa"/>
            <w:vAlign w:val="bottom"/>
          </w:tcPr>
          <w:p>
            <w:pPr>
              <w:spacing w:after="0"/>
              <w:rPr>
                <w:sz w:val="17"/>
                <w:szCs w:val="17"/>
                <w:color w:val="auto"/>
              </w:rPr>
            </w:pPr>
          </w:p>
        </w:tc>
        <w:tc>
          <w:tcPr>
            <w:tcW w:w="140" w:type="dxa"/>
            <w:vAlign w:val="bottom"/>
            <w:tcBorders>
              <w:bottom w:val="single" w:sz="8" w:color="0000FF"/>
            </w:tcBorders>
            <w:vMerge w:val="continue"/>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0000FF"/>
            </w:tcBorders>
          </w:tcPr>
          <w:p>
            <w:pPr>
              <w:spacing w:after="0" w:line="20" w:lineRule="exact"/>
              <w:rPr>
                <w:sz w:val="1"/>
                <w:szCs w:val="1"/>
                <w:color w:val="auto"/>
              </w:rPr>
            </w:pPr>
          </w:p>
        </w:tc>
        <w:tc>
          <w:tcPr>
            <w:tcW w:w="720" w:type="dxa"/>
            <w:vAlign w:val="bottom"/>
            <w:tcBorders>
              <w:bottom w:val="single" w:sz="8" w:color="0000FF"/>
            </w:tcBorders>
            <w:gridSpan w:val="2"/>
          </w:tcPr>
          <w:p>
            <w:pPr>
              <w:spacing w:after="0" w:line="20" w:lineRule="exact"/>
              <w:rPr>
                <w:sz w:val="1"/>
                <w:szCs w:val="1"/>
                <w:color w:val="auto"/>
              </w:rPr>
            </w:pPr>
          </w:p>
        </w:tc>
        <w:tc>
          <w:tcPr>
            <w:tcW w:w="400" w:type="dxa"/>
            <w:vAlign w:val="bottom"/>
            <w:tcBorders>
              <w:bottom w:val="single" w:sz="8" w:color="0000FF"/>
            </w:tcBorders>
          </w:tcPr>
          <w:p>
            <w:pPr>
              <w:spacing w:after="0" w:line="20" w:lineRule="exact"/>
              <w:rPr>
                <w:sz w:val="1"/>
                <w:szCs w:val="1"/>
                <w:color w:val="auto"/>
              </w:rPr>
            </w:pPr>
          </w:p>
        </w:tc>
        <w:tc>
          <w:tcPr>
            <w:tcW w:w="420" w:type="dxa"/>
            <w:vAlign w:val="bottom"/>
            <w:tcBorders>
              <w:bottom w:val="single" w:sz="8" w:color="0000FF"/>
            </w:tcBorders>
          </w:tcPr>
          <w:p>
            <w:pPr>
              <w:spacing w:after="0" w:line="20" w:lineRule="exact"/>
              <w:rPr>
                <w:sz w:val="1"/>
                <w:szCs w:val="1"/>
                <w:color w:val="auto"/>
              </w:rPr>
            </w:pPr>
          </w:p>
        </w:tc>
        <w:tc>
          <w:tcPr>
            <w:tcW w:w="2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20" w:type="dxa"/>
            <w:vAlign w:val="bottom"/>
            <w:tcBorders>
              <w:bottom w:val="single" w:sz="8" w:color="0000FF"/>
            </w:tcBorders>
          </w:tcPr>
          <w:p>
            <w:pPr>
              <w:spacing w:after="0" w:line="20" w:lineRule="exact"/>
              <w:rPr>
                <w:sz w:val="1"/>
                <w:szCs w:val="1"/>
                <w:color w:val="auto"/>
              </w:rPr>
            </w:pPr>
          </w:p>
        </w:tc>
        <w:tc>
          <w:tcPr>
            <w:tcW w:w="540" w:type="dxa"/>
            <w:vAlign w:val="bottom"/>
            <w:tcBorders>
              <w:bottom w:val="single" w:sz="8" w:color="0000FF"/>
            </w:tcBorders>
          </w:tcPr>
          <w:p>
            <w:pPr>
              <w:spacing w:after="0" w:line="20" w:lineRule="exact"/>
              <w:rPr>
                <w:sz w:val="1"/>
                <w:szCs w:val="1"/>
                <w:color w:val="auto"/>
              </w:rPr>
            </w:pPr>
          </w:p>
        </w:tc>
        <w:tc>
          <w:tcPr>
            <w:tcW w:w="1960" w:type="dxa"/>
            <w:vAlign w:val="bottom"/>
            <w:tcBorders>
              <w:bottom w:val="single" w:sz="8" w:color="0000FF"/>
            </w:tcBorders>
            <w:gridSpan w:val="6"/>
          </w:tcPr>
          <w:p>
            <w:pPr>
              <w:spacing w:after="0" w:line="20" w:lineRule="exact"/>
              <w:rPr>
                <w:sz w:val="1"/>
                <w:szCs w:val="1"/>
                <w:color w:val="auto"/>
              </w:rPr>
            </w:pPr>
          </w:p>
        </w:tc>
        <w:tc>
          <w:tcPr>
            <w:tcW w:w="2080" w:type="dxa"/>
            <w:vAlign w:val="bottom"/>
            <w:tcBorders>
              <w:bottom w:val="single" w:sz="8" w:color="0000FF"/>
            </w:tcBorders>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9020" w:type="dxa"/>
            <w:vAlign w:val="bottom"/>
            <w:gridSpan w:val="19"/>
          </w:tcPr>
          <w:p>
            <w:pPr>
              <w:spacing w:after="0" w:line="205" w:lineRule="exact"/>
              <w:rPr>
                <w:sz w:val="20"/>
                <w:szCs w:val="20"/>
                <w:color w:val="auto"/>
              </w:rPr>
            </w:pPr>
            <w:r>
              <w:rPr>
                <w:rFonts w:ascii="Times New Roman" w:cs="Times New Roman" w:eastAsia="Times New Roman" w:hAnsi="Times New Roman"/>
                <w:sz w:val="18"/>
                <w:szCs w:val="18"/>
                <w:color w:val="0E32E1"/>
              </w:rPr>
              <w:t>Item 3. Quantitative and Qualitative Disclosures about Market Risk</w:t>
            </w:r>
          </w:p>
        </w:tc>
        <w:tc>
          <w:tcPr>
            <w:tcW w:w="1760" w:type="dxa"/>
            <w:vAlign w:val="bottom"/>
            <w:gridSpan w:val="2"/>
          </w:tcPr>
          <w:p>
            <w:pPr>
              <w:jc w:val="center"/>
              <w:ind w:left="1496"/>
              <w:spacing w:after="0" w:line="205" w:lineRule="exact"/>
              <w:rPr>
                <w:sz w:val="20"/>
                <w:szCs w:val="20"/>
                <w:color w:val="auto"/>
              </w:rPr>
            </w:pPr>
            <w:r>
              <w:rPr>
                <w:rFonts w:ascii="Times New Roman" w:cs="Times New Roman" w:eastAsia="Times New Roman" w:hAnsi="Times New Roman"/>
                <w:sz w:val="18"/>
                <w:szCs w:val="18"/>
                <w:color w:val="0000FF"/>
                <w:w w:val="99"/>
              </w:rPr>
              <w:t>88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620" w:type="dxa"/>
            <w:vAlign w:val="bottom"/>
            <w:shd w:val="clear" w:color="auto" w:fill="0E32E1"/>
          </w:tcPr>
          <w:p>
            <w:pPr>
              <w:spacing w:after="0" w:line="20" w:lineRule="exact"/>
              <w:rPr>
                <w:sz w:val="1"/>
                <w:szCs w:val="1"/>
                <w:color w:val="auto"/>
              </w:rPr>
            </w:pPr>
          </w:p>
        </w:tc>
        <w:tc>
          <w:tcPr>
            <w:tcW w:w="400" w:type="dxa"/>
            <w:vAlign w:val="bottom"/>
            <w:shd w:val="clear" w:color="auto" w:fill="0E32E1"/>
          </w:tcPr>
          <w:p>
            <w:pPr>
              <w:spacing w:after="0" w:line="20" w:lineRule="exact"/>
              <w:rPr>
                <w:sz w:val="1"/>
                <w:szCs w:val="1"/>
                <w:color w:val="auto"/>
              </w:rPr>
            </w:pPr>
          </w:p>
        </w:tc>
        <w:tc>
          <w:tcPr>
            <w:tcW w:w="420" w:type="dxa"/>
            <w:vAlign w:val="bottom"/>
            <w:shd w:val="clear" w:color="auto" w:fill="0E32E1"/>
          </w:tcPr>
          <w:p>
            <w:pPr>
              <w:spacing w:after="0" w:line="20" w:lineRule="exact"/>
              <w:rPr>
                <w:sz w:val="1"/>
                <w:szCs w:val="1"/>
                <w:color w:val="auto"/>
              </w:rPr>
            </w:pPr>
          </w:p>
        </w:tc>
        <w:tc>
          <w:tcPr>
            <w:tcW w:w="28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420" w:type="dxa"/>
            <w:vAlign w:val="bottom"/>
            <w:shd w:val="clear" w:color="auto" w:fill="0E32E1"/>
          </w:tcPr>
          <w:p>
            <w:pPr>
              <w:spacing w:after="0" w:line="20" w:lineRule="exact"/>
              <w:rPr>
                <w:sz w:val="1"/>
                <w:szCs w:val="1"/>
                <w:color w:val="auto"/>
              </w:rPr>
            </w:pPr>
          </w:p>
        </w:tc>
        <w:tc>
          <w:tcPr>
            <w:tcW w:w="540" w:type="dxa"/>
            <w:vAlign w:val="bottom"/>
            <w:shd w:val="clear" w:color="auto" w:fill="0E32E1"/>
          </w:tcPr>
          <w:p>
            <w:pPr>
              <w:spacing w:after="0" w:line="20" w:lineRule="exact"/>
              <w:rPr>
                <w:sz w:val="1"/>
                <w:szCs w:val="1"/>
                <w:color w:val="auto"/>
              </w:rPr>
            </w:pPr>
          </w:p>
        </w:tc>
        <w:tc>
          <w:tcPr>
            <w:tcW w:w="104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38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90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Item 4. Controls and Procedures</w:t>
            </w:r>
          </w:p>
        </w:tc>
        <w:tc>
          <w:tcPr>
            <w:tcW w:w="1760" w:type="dxa"/>
            <w:vAlign w:val="bottom"/>
            <w:gridSpan w:val="2"/>
          </w:tcPr>
          <w:p>
            <w:pPr>
              <w:jc w:val="center"/>
              <w:ind w:left="1496"/>
              <w:spacing w:after="0"/>
              <w:rPr>
                <w:sz w:val="20"/>
                <w:szCs w:val="20"/>
                <w:color w:val="auto"/>
              </w:rPr>
            </w:pPr>
            <w:r>
              <w:rPr>
                <w:rFonts w:ascii="Times New Roman" w:cs="Times New Roman" w:eastAsia="Times New Roman" w:hAnsi="Times New Roman"/>
                <w:sz w:val="18"/>
                <w:szCs w:val="18"/>
                <w:color w:val="0000FF"/>
                <w:w w:val="99"/>
              </w:rPr>
              <w:t>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1"/>
        </w:trPr>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6220" w:type="dxa"/>
            <w:vAlign w:val="bottom"/>
            <w:gridSpan w:val="11"/>
          </w:tcPr>
          <w:p>
            <w:pPr>
              <w:jc w:val="center"/>
              <w:ind w:right="1700"/>
              <w:spacing w:after="0"/>
              <w:rPr>
                <w:sz w:val="20"/>
                <w:szCs w:val="20"/>
                <w:color w:val="auto"/>
              </w:rPr>
            </w:pPr>
            <w:r>
              <w:rPr>
                <w:rFonts w:ascii="Times New Roman" w:cs="Times New Roman" w:eastAsia="Times New Roman" w:hAnsi="Times New Roman"/>
                <w:sz w:val="18"/>
                <w:szCs w:val="18"/>
                <w:b w:val="1"/>
                <w:bCs w:val="1"/>
                <w:color w:val="auto"/>
                <w:w w:val="97"/>
              </w:rPr>
              <w:t>PART II. OTHER INFORMATION</w:t>
            </w:r>
          </w:p>
        </w:tc>
        <w:tc>
          <w:tcPr>
            <w:tcW w:w="162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9040" w:type="dxa"/>
            <w:vAlign w:val="bottom"/>
            <w:gridSpan w:val="20"/>
          </w:tcPr>
          <w:p>
            <w:pPr>
              <w:spacing w:after="0" w:line="191" w:lineRule="exact"/>
              <w:rPr>
                <w:sz w:val="20"/>
                <w:szCs w:val="20"/>
                <w:color w:val="auto"/>
              </w:rPr>
            </w:pPr>
            <w:r>
              <w:rPr>
                <w:rFonts w:ascii="Times New Roman" w:cs="Times New Roman" w:eastAsia="Times New Roman" w:hAnsi="Times New Roman"/>
                <w:sz w:val="18"/>
                <w:szCs w:val="18"/>
                <w:color w:val="0000FF"/>
              </w:rPr>
              <w:t>Item 1. Legal Proceedings</w:t>
            </w:r>
          </w:p>
        </w:tc>
        <w:tc>
          <w:tcPr>
            <w:tcW w:w="1620" w:type="dxa"/>
            <w:vAlign w:val="bottom"/>
          </w:tcPr>
          <w:p>
            <w:pPr>
              <w:spacing w:after="0"/>
              <w:rPr>
                <w:sz w:val="17"/>
                <w:szCs w:val="17"/>
                <w:color w:val="auto"/>
              </w:rPr>
            </w:pPr>
          </w:p>
        </w:tc>
        <w:tc>
          <w:tcPr>
            <w:tcW w:w="140" w:type="dxa"/>
            <w:vAlign w:val="bottom"/>
            <w:tcBorders>
              <w:bottom w:val="single" w:sz="8" w:color="0000FF"/>
            </w:tcBorders>
          </w:tcPr>
          <w:p>
            <w:pPr>
              <w:jc w:val="center"/>
              <w:spacing w:after="0" w:line="178" w:lineRule="exact"/>
              <w:rPr>
                <w:sz w:val="20"/>
                <w:szCs w:val="20"/>
                <w:color w:val="auto"/>
              </w:rPr>
            </w:pPr>
            <w:r>
              <w:rPr>
                <w:rFonts w:ascii="Times New Roman" w:cs="Times New Roman" w:eastAsia="Times New Roman" w:hAnsi="Times New Roman"/>
                <w:sz w:val="18"/>
                <w:szCs w:val="18"/>
                <w:color w:val="0000FF"/>
                <w:w w:val="77"/>
              </w:rPr>
              <w:t>89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tcBorders>
              <w:bottom w:val="single" w:sz="8" w:color="0000FF"/>
            </w:tcBorders>
            <w:gridSpan w:val="3"/>
          </w:tcPr>
          <w:p>
            <w:pPr>
              <w:spacing w:after="0" w:line="20" w:lineRule="exact"/>
              <w:rPr>
                <w:sz w:val="1"/>
                <w:szCs w:val="1"/>
                <w:color w:val="auto"/>
              </w:rPr>
            </w:pPr>
          </w:p>
        </w:tc>
        <w:tc>
          <w:tcPr>
            <w:tcW w:w="400" w:type="dxa"/>
            <w:vAlign w:val="bottom"/>
            <w:tcBorders>
              <w:bottom w:val="single" w:sz="8" w:color="0000FF"/>
            </w:tcBorders>
          </w:tcPr>
          <w:p>
            <w:pPr>
              <w:spacing w:after="0" w:line="20" w:lineRule="exact"/>
              <w:rPr>
                <w:sz w:val="1"/>
                <w:szCs w:val="1"/>
                <w:color w:val="auto"/>
              </w:rPr>
            </w:pPr>
          </w:p>
        </w:tc>
        <w:tc>
          <w:tcPr>
            <w:tcW w:w="420" w:type="dxa"/>
            <w:vAlign w:val="bottom"/>
            <w:tcBorders>
              <w:bottom w:val="single" w:sz="8" w:color="0000FF"/>
            </w:tcBorders>
          </w:tcPr>
          <w:p>
            <w:pPr>
              <w:spacing w:after="0" w:line="20" w:lineRule="exact"/>
              <w:rPr>
                <w:sz w:val="1"/>
                <w:szCs w:val="1"/>
                <w:color w:val="auto"/>
              </w:rPr>
            </w:pPr>
          </w:p>
        </w:tc>
        <w:tc>
          <w:tcPr>
            <w:tcW w:w="2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700" w:type="dxa"/>
            <w:vAlign w:val="bottom"/>
            <w:gridSpan w:val="1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040" w:type="dxa"/>
            <w:vAlign w:val="bottom"/>
            <w:gridSpan w:val="20"/>
          </w:tcPr>
          <w:p>
            <w:pPr>
              <w:spacing w:after="0" w:line="205" w:lineRule="exact"/>
              <w:rPr>
                <w:sz w:val="20"/>
                <w:szCs w:val="20"/>
                <w:color w:val="auto"/>
              </w:rPr>
            </w:pPr>
            <w:r>
              <w:rPr>
                <w:rFonts w:ascii="Times New Roman" w:cs="Times New Roman" w:eastAsia="Times New Roman" w:hAnsi="Times New Roman"/>
                <w:sz w:val="18"/>
                <w:szCs w:val="18"/>
                <w:color w:val="0000FF"/>
              </w:rPr>
              <w:t>Item 1A. Risk Factors</w:t>
            </w:r>
          </w:p>
        </w:tc>
        <w:tc>
          <w:tcPr>
            <w:tcW w:w="1620" w:type="dxa"/>
            <w:vAlign w:val="bottom"/>
          </w:tcPr>
          <w:p>
            <w:pPr>
              <w:spacing w:after="0"/>
              <w:rPr>
                <w:sz w:val="17"/>
                <w:szCs w:val="17"/>
                <w:color w:val="auto"/>
              </w:rPr>
            </w:pPr>
          </w:p>
        </w:tc>
        <w:tc>
          <w:tcPr>
            <w:tcW w:w="140" w:type="dxa"/>
            <w:vAlign w:val="bottom"/>
            <w:tcBorders>
              <w:bottom w:val="single" w:sz="8" w:color="0E32E1"/>
            </w:tcBorders>
          </w:tcPr>
          <w:p>
            <w:pPr>
              <w:jc w:val="center"/>
              <w:spacing w:after="0" w:line="205" w:lineRule="exact"/>
              <w:rPr>
                <w:sz w:val="20"/>
                <w:szCs w:val="20"/>
                <w:color w:val="auto"/>
              </w:rPr>
            </w:pPr>
            <w:r>
              <w:rPr>
                <w:rFonts w:ascii="Times New Roman" w:cs="Times New Roman" w:eastAsia="Times New Roman" w:hAnsi="Times New Roman"/>
                <w:sz w:val="18"/>
                <w:szCs w:val="18"/>
                <w:color w:val="0E32E1"/>
                <w:w w:val="77"/>
              </w:rPr>
              <w:t>89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tcBorders>
              <w:bottom w:val="single" w:sz="8" w:color="0000FF"/>
            </w:tcBorders>
            <w:gridSpan w:val="3"/>
          </w:tcPr>
          <w:p>
            <w:pPr>
              <w:spacing w:after="0" w:line="20" w:lineRule="exact"/>
              <w:rPr>
                <w:sz w:val="1"/>
                <w:szCs w:val="1"/>
                <w:color w:val="auto"/>
              </w:rPr>
            </w:pPr>
          </w:p>
        </w:tc>
        <w:tc>
          <w:tcPr>
            <w:tcW w:w="400" w:type="dxa"/>
            <w:vAlign w:val="bottom"/>
            <w:tcBorders>
              <w:bottom w:val="single" w:sz="8" w:color="0000FF"/>
            </w:tcBorders>
          </w:tcPr>
          <w:p>
            <w:pPr>
              <w:spacing w:after="0" w:line="20" w:lineRule="exact"/>
              <w:rPr>
                <w:sz w:val="1"/>
                <w:szCs w:val="1"/>
                <w:color w:val="auto"/>
              </w:rPr>
            </w:pPr>
          </w:p>
        </w:tc>
        <w:tc>
          <w:tcPr>
            <w:tcW w:w="42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4700" w:type="dxa"/>
            <w:vAlign w:val="bottom"/>
            <w:gridSpan w:val="1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040" w:type="dxa"/>
            <w:vAlign w:val="bottom"/>
            <w:gridSpan w:val="20"/>
          </w:tcPr>
          <w:p>
            <w:pPr>
              <w:spacing w:after="0" w:line="205" w:lineRule="exact"/>
              <w:rPr>
                <w:sz w:val="20"/>
                <w:szCs w:val="20"/>
                <w:color w:val="auto"/>
              </w:rPr>
            </w:pPr>
            <w:r>
              <w:rPr>
                <w:rFonts w:ascii="Times New Roman" w:cs="Times New Roman" w:eastAsia="Times New Roman" w:hAnsi="Times New Roman"/>
                <w:sz w:val="18"/>
                <w:szCs w:val="18"/>
                <w:color w:val="0000FF"/>
              </w:rPr>
              <w:t>Item 2. Unregistered Sales of Equity Securities, Use of Proceeds and Issuer Purchases of Equity Securities</w:t>
            </w:r>
          </w:p>
        </w:tc>
        <w:tc>
          <w:tcPr>
            <w:tcW w:w="1620" w:type="dxa"/>
            <w:vAlign w:val="bottom"/>
          </w:tcPr>
          <w:p>
            <w:pPr>
              <w:spacing w:after="0"/>
              <w:rPr>
                <w:sz w:val="17"/>
                <w:szCs w:val="17"/>
                <w:color w:val="auto"/>
              </w:rPr>
            </w:pPr>
          </w:p>
        </w:tc>
        <w:tc>
          <w:tcPr>
            <w:tcW w:w="140" w:type="dxa"/>
            <w:vAlign w:val="bottom"/>
            <w:tcBorders>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w w:val="77"/>
              </w:rPr>
              <w:t>89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tcBorders>
              <w:bottom w:val="single" w:sz="8" w:color="0000FF"/>
            </w:tcBorders>
            <w:gridSpan w:val="3"/>
          </w:tcPr>
          <w:p>
            <w:pPr>
              <w:spacing w:after="0" w:line="20" w:lineRule="exact"/>
              <w:rPr>
                <w:sz w:val="1"/>
                <w:szCs w:val="1"/>
                <w:color w:val="auto"/>
              </w:rPr>
            </w:pPr>
          </w:p>
        </w:tc>
        <w:tc>
          <w:tcPr>
            <w:tcW w:w="400" w:type="dxa"/>
            <w:vAlign w:val="bottom"/>
            <w:tcBorders>
              <w:bottom w:val="single" w:sz="8" w:color="0000FF"/>
            </w:tcBorders>
          </w:tcPr>
          <w:p>
            <w:pPr>
              <w:spacing w:after="0" w:line="20" w:lineRule="exact"/>
              <w:rPr>
                <w:sz w:val="1"/>
                <w:szCs w:val="1"/>
                <w:color w:val="auto"/>
              </w:rPr>
            </w:pPr>
          </w:p>
        </w:tc>
        <w:tc>
          <w:tcPr>
            <w:tcW w:w="700" w:type="dxa"/>
            <w:vAlign w:val="bottom"/>
            <w:tcBorders>
              <w:bottom w:val="single" w:sz="8" w:color="0000FF"/>
            </w:tcBorders>
            <w:gridSpan w:val="2"/>
          </w:tcPr>
          <w:p>
            <w:pPr>
              <w:spacing w:after="0" w:line="20" w:lineRule="exact"/>
              <w:rPr>
                <w:sz w:val="1"/>
                <w:szCs w:val="1"/>
                <w:color w:val="auto"/>
              </w:rPr>
            </w:pPr>
          </w:p>
        </w:tc>
        <w:tc>
          <w:tcPr>
            <w:tcW w:w="980" w:type="dxa"/>
            <w:vAlign w:val="bottom"/>
            <w:tcBorders>
              <w:bottom w:val="single" w:sz="8" w:color="0000FF"/>
            </w:tcBorders>
            <w:gridSpan w:val="3"/>
          </w:tcPr>
          <w:p>
            <w:pPr>
              <w:spacing w:after="0" w:line="20" w:lineRule="exact"/>
              <w:rPr>
                <w:sz w:val="1"/>
                <w:szCs w:val="1"/>
                <w:color w:val="auto"/>
              </w:rPr>
            </w:pPr>
          </w:p>
        </w:tc>
        <w:tc>
          <w:tcPr>
            <w:tcW w:w="4700" w:type="dxa"/>
            <w:vAlign w:val="bottom"/>
            <w:tcBorders>
              <w:bottom w:val="single" w:sz="8" w:color="0000FF"/>
            </w:tcBorders>
            <w:gridSpan w:val="1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040" w:type="dxa"/>
            <w:vAlign w:val="bottom"/>
            <w:gridSpan w:val="20"/>
          </w:tcPr>
          <w:p>
            <w:pPr>
              <w:spacing w:after="0" w:line="205" w:lineRule="exact"/>
              <w:rPr>
                <w:sz w:val="20"/>
                <w:szCs w:val="20"/>
                <w:color w:val="auto"/>
              </w:rPr>
            </w:pPr>
            <w:r>
              <w:rPr>
                <w:rFonts w:ascii="Times New Roman" w:cs="Times New Roman" w:eastAsia="Times New Roman" w:hAnsi="Times New Roman"/>
                <w:sz w:val="18"/>
                <w:szCs w:val="18"/>
                <w:color w:val="0000FF"/>
              </w:rPr>
              <w:t>Item 3. Defaults Upon Senior Securities</w:t>
            </w:r>
          </w:p>
        </w:tc>
        <w:tc>
          <w:tcPr>
            <w:tcW w:w="1620" w:type="dxa"/>
            <w:vAlign w:val="bottom"/>
          </w:tcPr>
          <w:p>
            <w:pPr>
              <w:spacing w:after="0"/>
              <w:rPr>
                <w:sz w:val="17"/>
                <w:szCs w:val="17"/>
                <w:color w:val="auto"/>
              </w:rPr>
            </w:pPr>
          </w:p>
        </w:tc>
        <w:tc>
          <w:tcPr>
            <w:tcW w:w="140" w:type="dxa"/>
            <w:vAlign w:val="bottom"/>
            <w:tcBorders>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w w:val="77"/>
              </w:rPr>
              <w:t>89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tcBorders>
              <w:bottom w:val="single" w:sz="8" w:color="0000FF"/>
            </w:tcBorders>
            <w:gridSpan w:val="3"/>
          </w:tcPr>
          <w:p>
            <w:pPr>
              <w:spacing w:after="0" w:line="20" w:lineRule="exact"/>
              <w:rPr>
                <w:sz w:val="1"/>
                <w:szCs w:val="1"/>
                <w:color w:val="auto"/>
              </w:rPr>
            </w:pPr>
          </w:p>
        </w:tc>
        <w:tc>
          <w:tcPr>
            <w:tcW w:w="400" w:type="dxa"/>
            <w:vAlign w:val="bottom"/>
            <w:tcBorders>
              <w:bottom w:val="single" w:sz="8" w:color="0000FF"/>
            </w:tcBorders>
          </w:tcPr>
          <w:p>
            <w:pPr>
              <w:spacing w:after="0" w:line="20" w:lineRule="exact"/>
              <w:rPr>
                <w:sz w:val="1"/>
                <w:szCs w:val="1"/>
                <w:color w:val="auto"/>
              </w:rPr>
            </w:pPr>
          </w:p>
        </w:tc>
        <w:tc>
          <w:tcPr>
            <w:tcW w:w="700" w:type="dxa"/>
            <w:vAlign w:val="bottom"/>
            <w:tcBorders>
              <w:bottom w:val="single" w:sz="8" w:color="0000FF"/>
            </w:tcBorders>
            <w:gridSpan w:val="2"/>
          </w:tcPr>
          <w:p>
            <w:pPr>
              <w:spacing w:after="0" w:line="20" w:lineRule="exact"/>
              <w:rPr>
                <w:sz w:val="1"/>
                <w:szCs w:val="1"/>
                <w:color w:val="auto"/>
              </w:rPr>
            </w:pPr>
          </w:p>
        </w:tc>
        <w:tc>
          <w:tcPr>
            <w:tcW w:w="980" w:type="dxa"/>
            <w:vAlign w:val="bottom"/>
            <w:tcBorders>
              <w:bottom w:val="single" w:sz="8" w:color="0000FF"/>
            </w:tcBorders>
            <w:gridSpan w:val="3"/>
          </w:tcPr>
          <w:p>
            <w:pPr>
              <w:spacing w:after="0" w:line="20" w:lineRule="exact"/>
              <w:rPr>
                <w:sz w:val="1"/>
                <w:szCs w:val="1"/>
                <w:color w:val="auto"/>
              </w:rPr>
            </w:pPr>
          </w:p>
        </w:tc>
        <w:tc>
          <w:tcPr>
            <w:tcW w:w="6220" w:type="dxa"/>
            <w:vAlign w:val="bottom"/>
            <w:gridSpan w:val="11"/>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040" w:type="dxa"/>
            <w:vAlign w:val="bottom"/>
            <w:gridSpan w:val="20"/>
          </w:tcPr>
          <w:p>
            <w:pPr>
              <w:spacing w:after="0" w:line="205" w:lineRule="exact"/>
              <w:rPr>
                <w:sz w:val="20"/>
                <w:szCs w:val="20"/>
                <w:color w:val="auto"/>
              </w:rPr>
            </w:pPr>
            <w:r>
              <w:rPr>
                <w:rFonts w:ascii="Times New Roman" w:cs="Times New Roman" w:eastAsia="Times New Roman" w:hAnsi="Times New Roman"/>
                <w:sz w:val="18"/>
                <w:szCs w:val="18"/>
                <w:color w:val="0000FF"/>
              </w:rPr>
              <w:t>Item 4. Mine Safety Disclosures</w:t>
            </w:r>
          </w:p>
        </w:tc>
        <w:tc>
          <w:tcPr>
            <w:tcW w:w="1620" w:type="dxa"/>
            <w:vAlign w:val="bottom"/>
          </w:tcPr>
          <w:p>
            <w:pPr>
              <w:spacing w:after="0"/>
              <w:rPr>
                <w:sz w:val="17"/>
                <w:szCs w:val="17"/>
                <w:color w:val="auto"/>
              </w:rPr>
            </w:pPr>
          </w:p>
        </w:tc>
        <w:tc>
          <w:tcPr>
            <w:tcW w:w="140" w:type="dxa"/>
            <w:vAlign w:val="bottom"/>
            <w:tcBorders>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w w:val="77"/>
              </w:rPr>
              <w:t>89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tcBorders>
              <w:bottom w:val="single" w:sz="8" w:color="0000FF"/>
            </w:tcBorders>
            <w:gridSpan w:val="3"/>
          </w:tcPr>
          <w:p>
            <w:pPr>
              <w:spacing w:after="0" w:line="20" w:lineRule="exact"/>
              <w:rPr>
                <w:sz w:val="1"/>
                <w:szCs w:val="1"/>
                <w:color w:val="auto"/>
              </w:rPr>
            </w:pPr>
          </w:p>
        </w:tc>
        <w:tc>
          <w:tcPr>
            <w:tcW w:w="400" w:type="dxa"/>
            <w:vAlign w:val="bottom"/>
            <w:tcBorders>
              <w:bottom w:val="single" w:sz="8" w:color="0000FF"/>
            </w:tcBorders>
          </w:tcPr>
          <w:p>
            <w:pPr>
              <w:spacing w:after="0" w:line="20" w:lineRule="exact"/>
              <w:rPr>
                <w:sz w:val="1"/>
                <w:szCs w:val="1"/>
                <w:color w:val="auto"/>
              </w:rPr>
            </w:pPr>
          </w:p>
        </w:tc>
        <w:tc>
          <w:tcPr>
            <w:tcW w:w="700" w:type="dxa"/>
            <w:vAlign w:val="bottom"/>
            <w:tcBorders>
              <w:bottom w:val="single" w:sz="8" w:color="0000FF"/>
            </w:tcBorders>
            <w:gridSpan w:val="2"/>
          </w:tcPr>
          <w:p>
            <w:pPr>
              <w:spacing w:after="0" w:line="20" w:lineRule="exact"/>
              <w:rPr>
                <w:sz w:val="1"/>
                <w:szCs w:val="1"/>
                <w:color w:val="auto"/>
              </w:rPr>
            </w:pPr>
          </w:p>
        </w:tc>
        <w:tc>
          <w:tcPr>
            <w:tcW w:w="440" w:type="dxa"/>
            <w:vAlign w:val="bottom"/>
            <w:tcBorders>
              <w:bottom w:val="single" w:sz="8" w:color="0000FF"/>
            </w:tcBorders>
            <w:gridSpan w:val="2"/>
          </w:tcPr>
          <w:p>
            <w:pPr>
              <w:spacing w:after="0" w:line="20" w:lineRule="exact"/>
              <w:rPr>
                <w:sz w:val="1"/>
                <w:szCs w:val="1"/>
                <w:color w:val="auto"/>
              </w:rPr>
            </w:pPr>
          </w:p>
        </w:tc>
        <w:tc>
          <w:tcPr>
            <w:tcW w:w="6760" w:type="dxa"/>
            <w:vAlign w:val="bottom"/>
            <w:gridSpan w:val="12"/>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840" w:type="dxa"/>
            <w:vAlign w:val="bottom"/>
            <w:gridSpan w:val="6"/>
          </w:tcPr>
          <w:p>
            <w:pPr>
              <w:spacing w:after="0" w:line="205" w:lineRule="exact"/>
              <w:rPr>
                <w:sz w:val="20"/>
                <w:szCs w:val="20"/>
                <w:color w:val="auto"/>
              </w:rPr>
            </w:pPr>
            <w:r>
              <w:rPr>
                <w:rFonts w:ascii="Times New Roman" w:cs="Times New Roman" w:eastAsia="Times New Roman" w:hAnsi="Times New Roman"/>
                <w:sz w:val="18"/>
                <w:szCs w:val="18"/>
                <w:color w:val="0000FF"/>
                <w:w w:val="97"/>
              </w:rPr>
              <w:t>Item 5. Other Information</w:t>
            </w:r>
          </w:p>
        </w:tc>
        <w:tc>
          <w:tcPr>
            <w:tcW w:w="7200" w:type="dxa"/>
            <w:vAlign w:val="bottom"/>
            <w:gridSpan w:val="14"/>
          </w:tcPr>
          <w:p>
            <w:pPr>
              <w:spacing w:after="0"/>
              <w:rPr>
                <w:sz w:val="17"/>
                <w:szCs w:val="17"/>
                <w:color w:val="auto"/>
              </w:rPr>
            </w:pPr>
          </w:p>
        </w:tc>
        <w:tc>
          <w:tcPr>
            <w:tcW w:w="1760" w:type="dxa"/>
            <w:vAlign w:val="bottom"/>
            <w:gridSpan w:val="2"/>
          </w:tcPr>
          <w:p>
            <w:pPr>
              <w:jc w:val="center"/>
              <w:ind w:left="1496"/>
              <w:spacing w:after="0" w:line="205" w:lineRule="exact"/>
              <w:rPr>
                <w:sz w:val="20"/>
                <w:szCs w:val="20"/>
                <w:color w:val="auto"/>
              </w:rPr>
            </w:pPr>
            <w:r>
              <w:rPr>
                <w:rFonts w:ascii="Times New Roman" w:cs="Times New Roman" w:eastAsia="Times New Roman" w:hAnsi="Times New Roman"/>
                <w:sz w:val="18"/>
                <w:szCs w:val="18"/>
                <w:color w:val="0000FF"/>
                <w:w w:val="99"/>
              </w:rPr>
              <w:t>89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84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Item 6. Exhibits</w:t>
            </w:r>
          </w:p>
        </w:tc>
        <w:tc>
          <w:tcPr>
            <w:tcW w:w="7200" w:type="dxa"/>
            <w:vAlign w:val="bottom"/>
            <w:gridSpan w:val="14"/>
          </w:tcPr>
          <w:p>
            <w:pPr>
              <w:spacing w:after="0"/>
              <w:rPr>
                <w:sz w:val="19"/>
                <w:szCs w:val="19"/>
                <w:color w:val="auto"/>
              </w:rPr>
            </w:pPr>
          </w:p>
        </w:tc>
        <w:tc>
          <w:tcPr>
            <w:tcW w:w="1620" w:type="dxa"/>
            <w:vAlign w:val="bottom"/>
          </w:tcPr>
          <w:p>
            <w:pPr>
              <w:spacing w:after="0"/>
              <w:rPr>
                <w:sz w:val="19"/>
                <w:szCs w:val="19"/>
                <w:color w:val="auto"/>
              </w:rPr>
            </w:pPr>
          </w:p>
        </w:tc>
        <w:tc>
          <w:tcPr>
            <w:tcW w:w="140" w:type="dxa"/>
            <w:vAlign w:val="bottom"/>
            <w:tcBorders>
              <w:top w:val="single" w:sz="8" w:color="0000FF"/>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w w:val="77"/>
              </w:rPr>
              <w:t>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0" w:type="dxa"/>
            <w:vAlign w:val="bottom"/>
            <w:tcBorders>
              <w:bottom w:val="single" w:sz="8" w:color="0000FF"/>
            </w:tcBorders>
            <w:gridSpan w:val="3"/>
          </w:tcPr>
          <w:p>
            <w:pPr>
              <w:spacing w:after="0" w:line="20" w:lineRule="exact"/>
              <w:rPr>
                <w:sz w:val="1"/>
                <w:szCs w:val="1"/>
                <w:color w:val="auto"/>
              </w:rPr>
            </w:pPr>
          </w:p>
        </w:tc>
        <w:tc>
          <w:tcPr>
            <w:tcW w:w="400" w:type="dxa"/>
            <w:vAlign w:val="bottom"/>
            <w:tcBorders>
              <w:bottom w:val="single" w:sz="8" w:color="0000FF"/>
            </w:tcBorders>
          </w:tcPr>
          <w:p>
            <w:pPr>
              <w:spacing w:after="0" w:line="20" w:lineRule="exact"/>
              <w:rPr>
                <w:sz w:val="1"/>
                <w:szCs w:val="1"/>
                <w:color w:val="auto"/>
              </w:rPr>
            </w:pPr>
          </w:p>
        </w:tc>
        <w:tc>
          <w:tcPr>
            <w:tcW w:w="7900" w:type="dxa"/>
            <w:vAlign w:val="bottom"/>
            <w:gridSpan w:val="16"/>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040" w:type="dxa"/>
            <w:vAlign w:val="bottom"/>
            <w:gridSpan w:val="20"/>
          </w:tcPr>
          <w:p>
            <w:pPr>
              <w:spacing w:after="0" w:line="205" w:lineRule="exact"/>
              <w:rPr>
                <w:sz w:val="20"/>
                <w:szCs w:val="20"/>
                <w:color w:val="auto"/>
              </w:rPr>
            </w:pPr>
            <w:r>
              <w:rPr>
                <w:rFonts w:ascii="Times New Roman" w:cs="Times New Roman" w:eastAsia="Times New Roman" w:hAnsi="Times New Roman"/>
                <w:sz w:val="18"/>
                <w:szCs w:val="18"/>
                <w:color w:val="0000FF"/>
              </w:rPr>
              <w:t>Signatures</w:t>
            </w:r>
          </w:p>
        </w:tc>
        <w:tc>
          <w:tcPr>
            <w:tcW w:w="1620" w:type="dxa"/>
            <w:vAlign w:val="bottom"/>
          </w:tcPr>
          <w:p>
            <w:pPr>
              <w:spacing w:after="0"/>
              <w:rPr>
                <w:sz w:val="17"/>
                <w:szCs w:val="17"/>
                <w:color w:val="auto"/>
              </w:rPr>
            </w:pPr>
          </w:p>
        </w:tc>
        <w:tc>
          <w:tcPr>
            <w:tcW w:w="140" w:type="dxa"/>
            <w:vAlign w:val="bottom"/>
            <w:tcBorders>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w w:val="77"/>
              </w:rPr>
              <w:t>91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620" w:type="dxa"/>
            <w:vAlign w:val="bottom"/>
            <w:tcBorders>
              <w:bottom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880"/>
          </w:cols>
          <w:pgMar w:left="320" w:top="121" w:right="6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millions, except par values)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3"/>
                <w:szCs w:val="13"/>
                <w:color w:val="auto"/>
              </w:rPr>
            </w:pPr>
          </w:p>
        </w:tc>
        <w:tc>
          <w:tcPr>
            <w:tcW w:w="980" w:type="dxa"/>
            <w:vAlign w:val="bottom"/>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1"/>
        </w:trPr>
        <w:tc>
          <w:tcPr>
            <w:tcW w:w="89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76"/>
        </w:trPr>
        <w:tc>
          <w:tcPr>
            <w:tcW w:w="8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20" w:type="dxa"/>
            <w:vAlign w:val="bottom"/>
            <w:gridSpan w:val="4"/>
          </w:tcPr>
          <w:p>
            <w:pPr>
              <w:jc w:val="right"/>
              <w:ind w:right="761"/>
              <w:spacing w:after="0"/>
              <w:rPr>
                <w:sz w:val="20"/>
                <w:szCs w:val="20"/>
                <w:color w:val="auto"/>
              </w:rPr>
            </w:pPr>
            <w:r>
              <w:rPr>
                <w:rFonts w:ascii="Times New Roman" w:cs="Times New Roman" w:eastAsia="Times New Roman" w:hAnsi="Times New Roman"/>
                <w:sz w:val="12"/>
                <w:szCs w:val="12"/>
                <w:b w:val="1"/>
                <w:bCs w:val="1"/>
                <w:color w:val="auto"/>
              </w:rPr>
              <w:t>(Unaudited)</w:t>
            </w:r>
          </w:p>
        </w:tc>
        <w:tc>
          <w:tcPr>
            <w:tcW w:w="0" w:type="dxa"/>
            <w:vAlign w:val="bottom"/>
          </w:tcPr>
          <w:p>
            <w:pPr>
              <w:spacing w:after="0"/>
              <w:rPr>
                <w:sz w:val="1"/>
                <w:szCs w:val="1"/>
                <w:color w:val="auto"/>
              </w:rPr>
            </w:pPr>
          </w:p>
        </w:tc>
      </w:tr>
      <w:tr>
        <w:trPr>
          <w:trHeight w:val="201"/>
        </w:trPr>
        <w:tc>
          <w:tcPr>
            <w:tcW w:w="8900" w:type="dxa"/>
            <w:vAlign w:val="bottom"/>
            <w:tcBorders>
              <w:bottom w:val="single" w:sz="8" w:color="CCEEFF"/>
            </w:tcBorders>
            <w:shd w:val="clear" w:color="auto" w:fill="CCEEFF"/>
          </w:tcPr>
          <w:p>
            <w:pPr>
              <w:ind w:left="536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Investments:</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900" w:type="dxa"/>
            <w:vAlign w:val="bottom"/>
            <w:shd w:val="clear" w:color="auto" w:fill="CCEEFF"/>
          </w:tcPr>
          <w:p>
            <w:pPr>
              <w:ind w:left="220"/>
              <w:spacing w:after="0" w:line="175" w:lineRule="exact"/>
              <w:rPr>
                <w:sz w:val="20"/>
                <w:szCs w:val="20"/>
                <w:color w:val="auto"/>
              </w:rPr>
            </w:pPr>
            <w:r>
              <w:rPr>
                <w:rFonts w:ascii="Times New Roman" w:cs="Times New Roman" w:eastAsia="Times New Roman" w:hAnsi="Times New Roman"/>
                <w:sz w:val="16"/>
                <w:szCs w:val="16"/>
                <w:color w:val="auto"/>
              </w:rPr>
              <w:t>Fixed maturity securities available for sale, at fair value, as of September 30, 2026 and December 31, 2025, at an amortized cost of</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8900" w:type="dxa"/>
            <w:vAlign w:val="bottom"/>
            <w:shd w:val="clear" w:color="auto" w:fill="CCEEFF"/>
          </w:tcPr>
          <w:p>
            <w:pPr>
              <w:ind w:left="220"/>
              <w:spacing w:after="0" w:line="159" w:lineRule="exact"/>
              <w:rPr>
                <w:sz w:val="20"/>
                <w:szCs w:val="20"/>
                <w:color w:val="auto"/>
              </w:rPr>
            </w:pPr>
            <w:r>
              <w:rPr>
                <w:rFonts w:ascii="Times New Roman" w:cs="Times New Roman" w:eastAsia="Times New Roman" w:hAnsi="Times New Roman"/>
                <w:sz w:val="16"/>
                <w:szCs w:val="16"/>
                <w:color w:val="auto"/>
                <w:w w:val="99"/>
              </w:rPr>
              <w:t>$57,654 and $57,161, respectively, net of allowance for credit losses of $72 and $112, respectively, and includes pledged fixed maturity</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52,781</w:t>
            </w:r>
          </w:p>
        </w:tc>
        <w:tc>
          <w:tcPr>
            <w:tcW w:w="8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54,561</w:t>
            </w:r>
          </w:p>
        </w:tc>
        <w:tc>
          <w:tcPr>
            <w:tcW w:w="0" w:type="dxa"/>
            <w:vAlign w:val="bottom"/>
          </w:tcPr>
          <w:p>
            <w:pPr>
              <w:spacing w:after="0"/>
              <w:rPr>
                <w:sz w:val="1"/>
                <w:szCs w:val="1"/>
                <w:color w:val="auto"/>
              </w:rPr>
            </w:pPr>
          </w:p>
        </w:tc>
      </w:tr>
      <w:tr>
        <w:trPr>
          <w:trHeight w:val="212"/>
        </w:trPr>
        <w:tc>
          <w:tcPr>
            <w:tcW w:w="8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securities of $467 and $446, respectively, related to secured trust deposits</w:t>
            </w:r>
          </w:p>
        </w:tc>
        <w:tc>
          <w:tcPr>
            <w:tcW w:w="120" w:type="dxa"/>
            <w:vAlign w:val="bottom"/>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9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Fixed maturity securities, at fair value under the fair value option</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8"/>
        </w:trPr>
        <w:tc>
          <w:tcPr>
            <w:tcW w:w="8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Preferred securities, at fair value</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w:t>
            </w:r>
          </w:p>
        </w:tc>
        <w:tc>
          <w:tcPr>
            <w:tcW w:w="0" w:type="dxa"/>
            <w:vAlign w:val="bottom"/>
          </w:tcPr>
          <w:p>
            <w:pPr>
              <w:spacing w:after="0"/>
              <w:rPr>
                <w:sz w:val="1"/>
                <w:szCs w:val="1"/>
                <w:color w:val="auto"/>
              </w:rPr>
            </w:pPr>
          </w:p>
        </w:tc>
      </w:tr>
      <w:tr>
        <w:trPr>
          <w:trHeight w:val="223"/>
        </w:trPr>
        <w:tc>
          <w:tcPr>
            <w:tcW w:w="89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Equity securities, at fair value</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0" w:type="dxa"/>
            <w:vAlign w:val="bottom"/>
          </w:tcPr>
          <w:p>
            <w:pPr>
              <w:spacing w:after="0"/>
              <w:rPr>
                <w:sz w:val="1"/>
                <w:szCs w:val="1"/>
                <w:color w:val="auto"/>
              </w:rPr>
            </w:pPr>
          </w:p>
        </w:tc>
      </w:tr>
      <w:tr>
        <w:trPr>
          <w:trHeight w:val="228"/>
        </w:trPr>
        <w:tc>
          <w:tcPr>
            <w:tcW w:w="8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Derivative investments</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1,156</w:t>
            </w:r>
          </w:p>
        </w:tc>
        <w:tc>
          <w:tcPr>
            <w:tcW w:w="0" w:type="dxa"/>
            <w:vAlign w:val="bottom"/>
          </w:tcPr>
          <w:p>
            <w:pPr>
              <w:spacing w:after="0"/>
              <w:rPr>
                <w:sz w:val="1"/>
                <w:szCs w:val="1"/>
                <w:color w:val="auto"/>
              </w:rPr>
            </w:pPr>
          </w:p>
        </w:tc>
      </w:tr>
      <w:tr>
        <w:trPr>
          <w:trHeight w:val="223"/>
        </w:trPr>
        <w:tc>
          <w:tcPr>
            <w:tcW w:w="89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Mortgage loans, net of allowance of $120 and $86 as of September 30, 2026 and December 31, 2025, respectively</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10,246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7,891</w:t>
            </w:r>
          </w:p>
        </w:tc>
        <w:tc>
          <w:tcPr>
            <w:tcW w:w="0" w:type="dxa"/>
            <w:vAlign w:val="bottom"/>
          </w:tcPr>
          <w:p>
            <w:pPr>
              <w:spacing w:after="0"/>
              <w:rPr>
                <w:sz w:val="1"/>
                <w:szCs w:val="1"/>
                <w:color w:val="auto"/>
              </w:rPr>
            </w:pPr>
          </w:p>
        </w:tc>
      </w:tr>
      <w:tr>
        <w:trPr>
          <w:trHeight w:val="175"/>
        </w:trPr>
        <w:tc>
          <w:tcPr>
            <w:tcW w:w="8900" w:type="dxa"/>
            <w:vAlign w:val="bottom"/>
            <w:shd w:val="clear" w:color="auto" w:fill="CCEEFF"/>
          </w:tcPr>
          <w:p>
            <w:pPr>
              <w:ind w:left="220"/>
              <w:spacing w:after="0" w:line="175" w:lineRule="exact"/>
              <w:rPr>
                <w:sz w:val="20"/>
                <w:szCs w:val="20"/>
                <w:color w:val="auto"/>
              </w:rPr>
            </w:pPr>
            <w:r>
              <w:rPr>
                <w:rFonts w:ascii="Times New Roman" w:cs="Times New Roman" w:eastAsia="Times New Roman" w:hAnsi="Times New Roman"/>
                <w:sz w:val="16"/>
                <w:szCs w:val="16"/>
                <w:color w:val="auto"/>
              </w:rPr>
              <w:t>Investments in unconsolidated affiliates (2026 and 2025 includes $284 and $262 related to investments held by consolidated variable</w:t>
            </w:r>
          </w:p>
        </w:tc>
        <w:tc>
          <w:tcPr>
            <w:tcW w:w="1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5,342</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5,166</w:t>
            </w:r>
          </w:p>
        </w:tc>
        <w:tc>
          <w:tcPr>
            <w:tcW w:w="0" w:type="dxa"/>
            <w:vAlign w:val="bottom"/>
          </w:tcPr>
          <w:p>
            <w:pPr>
              <w:spacing w:after="0"/>
              <w:rPr>
                <w:sz w:val="1"/>
                <w:szCs w:val="1"/>
                <w:color w:val="auto"/>
              </w:rPr>
            </w:pPr>
          </w:p>
        </w:tc>
      </w:tr>
      <w:tr>
        <w:trPr>
          <w:trHeight w:val="212"/>
        </w:trPr>
        <w:tc>
          <w:tcPr>
            <w:tcW w:w="8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entities ("VIEs") and 2026 and 2025 include certain investments at fair value of $256 and $270, respectively)</w:t>
            </w:r>
          </w:p>
        </w:tc>
        <w:tc>
          <w:tcPr>
            <w:tcW w:w="12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9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long-term investments (2026 and 2025 include $296 and $248 related to investments held by consolidated VIEs)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1,572</w:t>
            </w:r>
          </w:p>
        </w:tc>
        <w:tc>
          <w:tcPr>
            <w:tcW w:w="0" w:type="dxa"/>
            <w:vAlign w:val="bottom"/>
          </w:tcPr>
          <w:p>
            <w:pPr>
              <w:spacing w:after="0"/>
              <w:rPr>
                <w:sz w:val="1"/>
                <w:szCs w:val="1"/>
                <w:color w:val="auto"/>
              </w:rPr>
            </w:pPr>
          </w:p>
        </w:tc>
      </w:tr>
      <w:tr>
        <w:trPr>
          <w:trHeight w:val="225"/>
        </w:trPr>
        <w:tc>
          <w:tcPr>
            <w:tcW w:w="8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Short-term investments (2026 and 2025 include $43 and $116 related to investments held by consolidated VIEs)</w:t>
            </w: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1,252</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1,920</w:t>
            </w:r>
          </w:p>
        </w:tc>
        <w:tc>
          <w:tcPr>
            <w:tcW w:w="0" w:type="dxa"/>
            <w:vAlign w:val="bottom"/>
          </w:tcPr>
          <w:p>
            <w:pPr>
              <w:spacing w:after="0"/>
              <w:rPr>
                <w:sz w:val="1"/>
                <w:szCs w:val="1"/>
                <w:color w:val="auto"/>
              </w:rPr>
            </w:pPr>
          </w:p>
        </w:tc>
      </w:tr>
      <w:tr>
        <w:trPr>
          <w:trHeight w:val="219"/>
        </w:trPr>
        <w:tc>
          <w:tcPr>
            <w:tcW w:w="89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Total investments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73,594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73,195</w:t>
            </w:r>
          </w:p>
        </w:tc>
        <w:tc>
          <w:tcPr>
            <w:tcW w:w="0" w:type="dxa"/>
            <w:vAlign w:val="bottom"/>
          </w:tcPr>
          <w:p>
            <w:pPr>
              <w:spacing w:after="0"/>
              <w:rPr>
                <w:sz w:val="1"/>
                <w:szCs w:val="1"/>
                <w:color w:val="auto"/>
              </w:rPr>
            </w:pPr>
          </w:p>
        </w:tc>
      </w:tr>
      <w:tr>
        <w:trPr>
          <w:trHeight w:val="175"/>
        </w:trPr>
        <w:tc>
          <w:tcPr>
            <w:tcW w:w="890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Cash and cash equivalents, as of September 30, 2026 and December 31, 2025 includes $293 and $261, respectively, of pledged cash</w:t>
            </w:r>
          </w:p>
        </w:tc>
        <w:tc>
          <w:tcPr>
            <w:tcW w:w="1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2,858</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2,636</w:t>
            </w:r>
          </w:p>
        </w:tc>
        <w:tc>
          <w:tcPr>
            <w:tcW w:w="0" w:type="dxa"/>
            <w:vAlign w:val="bottom"/>
          </w:tcPr>
          <w:p>
            <w:pPr>
              <w:spacing w:after="0"/>
              <w:rPr>
                <w:sz w:val="1"/>
                <w:szCs w:val="1"/>
                <w:color w:val="auto"/>
              </w:rPr>
            </w:pPr>
          </w:p>
        </w:tc>
      </w:tr>
      <w:tr>
        <w:trPr>
          <w:trHeight w:val="212"/>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related to secured trust deposits</w:t>
            </w:r>
          </w:p>
        </w:tc>
        <w:tc>
          <w:tcPr>
            <w:tcW w:w="12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Trade and notes receivables, net of allowance of $25 and $31 as of September 30, 2026 and December 31, 2025, respectively</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w:t>
            </w:r>
          </w:p>
        </w:tc>
        <w:tc>
          <w:tcPr>
            <w:tcW w:w="0" w:type="dxa"/>
            <w:vAlign w:val="bottom"/>
          </w:tcPr>
          <w:p>
            <w:pPr>
              <w:spacing w:after="0"/>
              <w:rPr>
                <w:sz w:val="1"/>
                <w:szCs w:val="1"/>
                <w:color w:val="auto"/>
              </w:rPr>
            </w:pPr>
          </w:p>
        </w:tc>
      </w:tr>
      <w:tr>
        <w:trPr>
          <w:trHeight w:val="228"/>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Reinsurance recoverable, net of allowance of $20 and $18 as of September 30, 2026 and December 31, 2025, respectively</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21,939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17,551</w:t>
            </w:r>
          </w:p>
        </w:tc>
        <w:tc>
          <w:tcPr>
            <w:tcW w:w="0" w:type="dxa"/>
            <w:vAlign w:val="bottom"/>
          </w:tcPr>
          <w:p>
            <w:pPr>
              <w:spacing w:after="0"/>
              <w:rPr>
                <w:sz w:val="1"/>
                <w:szCs w:val="1"/>
                <w:color w:val="auto"/>
              </w:rPr>
            </w:pPr>
          </w:p>
        </w:tc>
      </w:tr>
      <w:tr>
        <w:trPr>
          <w:trHeight w:val="223"/>
        </w:trPr>
        <w:tc>
          <w:tcPr>
            <w:tcW w:w="8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5,272</w:t>
            </w:r>
          </w:p>
        </w:tc>
        <w:tc>
          <w:tcPr>
            <w:tcW w:w="0" w:type="dxa"/>
            <w:vAlign w:val="bottom"/>
          </w:tcPr>
          <w:p>
            <w:pPr>
              <w:spacing w:after="0"/>
              <w:rPr>
                <w:sz w:val="1"/>
                <w:szCs w:val="1"/>
                <w:color w:val="auto"/>
              </w:rPr>
            </w:pPr>
          </w:p>
        </w:tc>
      </w:tr>
      <w:tr>
        <w:trPr>
          <w:trHeight w:val="228"/>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2,012</w:t>
            </w:r>
          </w:p>
        </w:tc>
        <w:tc>
          <w:tcPr>
            <w:tcW w:w="0" w:type="dxa"/>
            <w:vAlign w:val="bottom"/>
          </w:tcPr>
          <w:p>
            <w:pPr>
              <w:spacing w:after="0"/>
              <w:rPr>
                <w:sz w:val="1"/>
                <w:szCs w:val="1"/>
                <w:color w:val="auto"/>
              </w:rPr>
            </w:pPr>
          </w:p>
        </w:tc>
      </w:tr>
      <w:tr>
        <w:trPr>
          <w:trHeight w:val="223"/>
        </w:trPr>
        <w:tc>
          <w:tcPr>
            <w:tcW w:w="8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Market risk benefits asset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0" w:type="dxa"/>
            <w:vAlign w:val="bottom"/>
          </w:tcPr>
          <w:p>
            <w:pPr>
              <w:spacing w:after="0"/>
              <w:rPr>
                <w:sz w:val="1"/>
                <w:szCs w:val="1"/>
                <w:color w:val="auto"/>
              </w:rPr>
            </w:pPr>
          </w:p>
        </w:tc>
      </w:tr>
      <w:tr>
        <w:trPr>
          <w:trHeight w:val="228"/>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 assets</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0" w:type="dxa"/>
            <w:vAlign w:val="bottom"/>
          </w:tcPr>
          <w:p>
            <w:pPr>
              <w:spacing w:after="0"/>
              <w:rPr>
                <w:sz w:val="1"/>
                <w:szCs w:val="1"/>
                <w:color w:val="auto"/>
              </w:rPr>
            </w:pPr>
          </w:p>
        </w:tc>
      </w:tr>
      <w:tr>
        <w:trPr>
          <w:trHeight w:val="223"/>
        </w:trPr>
        <w:tc>
          <w:tcPr>
            <w:tcW w:w="8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7,070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6,641</w:t>
            </w:r>
          </w:p>
        </w:tc>
        <w:tc>
          <w:tcPr>
            <w:tcW w:w="0" w:type="dxa"/>
            <w:vAlign w:val="bottom"/>
          </w:tcPr>
          <w:p>
            <w:pPr>
              <w:spacing w:after="0"/>
              <w:rPr>
                <w:sz w:val="1"/>
                <w:szCs w:val="1"/>
                <w:color w:val="auto"/>
              </w:rPr>
            </w:pPr>
          </w:p>
        </w:tc>
      </w:tr>
      <w:tr>
        <w:trPr>
          <w:trHeight w:val="228"/>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Title plants</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w:t>
            </w:r>
          </w:p>
        </w:tc>
        <w:tc>
          <w:tcPr>
            <w:tcW w:w="0" w:type="dxa"/>
            <w:vAlign w:val="bottom"/>
          </w:tcPr>
          <w:p>
            <w:pPr>
              <w:spacing w:after="0"/>
              <w:rPr>
                <w:sz w:val="1"/>
                <w:szCs w:val="1"/>
                <w:color w:val="auto"/>
              </w:rPr>
            </w:pPr>
          </w:p>
        </w:tc>
      </w:tr>
      <w:tr>
        <w:trPr>
          <w:trHeight w:val="223"/>
        </w:trPr>
        <w:tc>
          <w:tcPr>
            <w:tcW w:w="8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0" w:type="dxa"/>
            <w:vAlign w:val="bottom"/>
          </w:tcPr>
          <w:p>
            <w:pPr>
              <w:spacing w:after="0"/>
              <w:rPr>
                <w:sz w:val="1"/>
                <w:szCs w:val="1"/>
                <w:color w:val="auto"/>
              </w:rPr>
            </w:pPr>
          </w:p>
        </w:tc>
      </w:tr>
      <w:tr>
        <w:trPr>
          <w:trHeight w:val="246"/>
        </w:trPr>
        <w:tc>
          <w:tcPr>
            <w:tcW w:w="89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114,692</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109,014</w:t>
            </w:r>
          </w:p>
        </w:tc>
        <w:tc>
          <w:tcPr>
            <w:tcW w:w="0" w:type="dxa"/>
            <w:vAlign w:val="bottom"/>
          </w:tcPr>
          <w:p>
            <w:pPr>
              <w:spacing w:after="0"/>
              <w:rPr>
                <w:sz w:val="1"/>
                <w:szCs w:val="1"/>
                <w:color w:val="auto"/>
              </w:rPr>
            </w:pPr>
          </w:p>
        </w:tc>
      </w:tr>
      <w:tr>
        <w:trPr>
          <w:trHeight w:val="20"/>
        </w:trPr>
        <w:tc>
          <w:tcPr>
            <w:tcW w:w="8900" w:type="dxa"/>
            <w:vAlign w:val="bottom"/>
            <w:tcBorders>
              <w:top w:val="single" w:sz="8" w:color="CCEEFF"/>
              <w:bottom w:val="single" w:sz="8" w:color="CCEEFF"/>
            </w:tcBorders>
            <w:vMerge w:val="restart"/>
          </w:tcPr>
          <w:p>
            <w:pPr>
              <w:ind w:left="4720"/>
              <w:spacing w:after="0"/>
              <w:rPr>
                <w:sz w:val="20"/>
                <w:szCs w:val="20"/>
                <w:color w:val="auto"/>
              </w:rPr>
            </w:pPr>
            <w:r>
              <w:rPr>
                <w:rFonts w:ascii="Times New Roman" w:cs="Times New Roman" w:eastAsia="Times New Roman" w:hAnsi="Times New Roman"/>
                <w:sz w:val="14"/>
                <w:szCs w:val="14"/>
                <w:b w:val="1"/>
                <w:bCs w:val="1"/>
                <w:color w:val="auto"/>
              </w:rPr>
              <w:t>LIABILITIES AND EQUITY</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89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
        </w:trPr>
        <w:tc>
          <w:tcPr>
            <w:tcW w:w="8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Contractholder funds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65,069</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62,726</w:t>
            </w:r>
          </w:p>
        </w:tc>
        <w:tc>
          <w:tcPr>
            <w:tcW w:w="0" w:type="dxa"/>
            <w:vAlign w:val="bottom"/>
          </w:tcPr>
          <w:p>
            <w:pPr>
              <w:spacing w:after="0"/>
              <w:rPr>
                <w:sz w:val="1"/>
                <w:szCs w:val="1"/>
                <w:color w:val="auto"/>
              </w:rPr>
            </w:pPr>
          </w:p>
        </w:tc>
      </w:tr>
      <w:tr>
        <w:trPr>
          <w:trHeight w:val="228"/>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Future policy benefits</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10,241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10,755</w:t>
            </w:r>
          </w:p>
        </w:tc>
        <w:tc>
          <w:tcPr>
            <w:tcW w:w="0" w:type="dxa"/>
            <w:vAlign w:val="bottom"/>
          </w:tcPr>
          <w:p>
            <w:pPr>
              <w:spacing w:after="0"/>
              <w:rPr>
                <w:sz w:val="1"/>
                <w:szCs w:val="1"/>
                <w:color w:val="auto"/>
              </w:rPr>
            </w:pPr>
          </w:p>
        </w:tc>
      </w:tr>
      <w:tr>
        <w:trPr>
          <w:trHeight w:val="223"/>
        </w:trPr>
        <w:tc>
          <w:tcPr>
            <w:tcW w:w="8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3,828</w:t>
            </w:r>
          </w:p>
        </w:tc>
        <w:tc>
          <w:tcPr>
            <w:tcW w:w="0" w:type="dxa"/>
            <w:vAlign w:val="bottom"/>
          </w:tcPr>
          <w:p>
            <w:pPr>
              <w:spacing w:after="0"/>
              <w:rPr>
                <w:sz w:val="1"/>
                <w:szCs w:val="1"/>
                <w:color w:val="auto"/>
              </w:rPr>
            </w:pPr>
          </w:p>
        </w:tc>
      </w:tr>
      <w:tr>
        <w:trPr>
          <w:trHeight w:val="228"/>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 risk benefits liability</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903</w:t>
            </w:r>
          </w:p>
        </w:tc>
        <w:tc>
          <w:tcPr>
            <w:tcW w:w="0" w:type="dxa"/>
            <w:vAlign w:val="bottom"/>
          </w:tcPr>
          <w:p>
            <w:pPr>
              <w:spacing w:after="0"/>
              <w:rPr>
                <w:sz w:val="1"/>
                <w:szCs w:val="1"/>
                <w:color w:val="auto"/>
              </w:rPr>
            </w:pPr>
          </w:p>
        </w:tc>
      </w:tr>
      <w:tr>
        <w:trPr>
          <w:trHeight w:val="223"/>
        </w:trPr>
        <w:tc>
          <w:tcPr>
            <w:tcW w:w="8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Notes payable</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4,400</w:t>
            </w:r>
          </w:p>
        </w:tc>
        <w:tc>
          <w:tcPr>
            <w:tcW w:w="0" w:type="dxa"/>
            <w:vAlign w:val="bottom"/>
          </w:tcPr>
          <w:p>
            <w:pPr>
              <w:spacing w:after="0"/>
              <w:rPr>
                <w:sz w:val="1"/>
                <w:szCs w:val="1"/>
                <w:color w:val="auto"/>
              </w:rPr>
            </w:pPr>
          </w:p>
        </w:tc>
      </w:tr>
      <w:tr>
        <w:trPr>
          <w:trHeight w:val="228"/>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Reserve for title claim losses</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1,700</w:t>
            </w:r>
          </w:p>
        </w:tc>
        <w:tc>
          <w:tcPr>
            <w:tcW w:w="0" w:type="dxa"/>
            <w:vAlign w:val="bottom"/>
          </w:tcPr>
          <w:p>
            <w:pPr>
              <w:spacing w:after="0"/>
              <w:rPr>
                <w:sz w:val="1"/>
                <w:szCs w:val="1"/>
                <w:color w:val="auto"/>
              </w:rPr>
            </w:pPr>
          </w:p>
        </w:tc>
      </w:tr>
      <w:tr>
        <w:trPr>
          <w:trHeight w:val="223"/>
        </w:trPr>
        <w:tc>
          <w:tcPr>
            <w:tcW w:w="8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Funds withheld for reinsurance liabilities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17,837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14,191</w:t>
            </w:r>
          </w:p>
        </w:tc>
        <w:tc>
          <w:tcPr>
            <w:tcW w:w="0" w:type="dxa"/>
            <w:vAlign w:val="bottom"/>
          </w:tcPr>
          <w:p>
            <w:pPr>
              <w:spacing w:after="0"/>
              <w:rPr>
                <w:sz w:val="1"/>
                <w:szCs w:val="1"/>
                <w:color w:val="auto"/>
              </w:rPr>
            </w:pPr>
          </w:p>
        </w:tc>
      </w:tr>
      <w:tr>
        <w:trPr>
          <w:trHeight w:val="228"/>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Secured trust deposits</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w:t>
            </w:r>
          </w:p>
        </w:tc>
        <w:tc>
          <w:tcPr>
            <w:tcW w:w="0" w:type="dxa"/>
            <w:vAlign w:val="bottom"/>
          </w:tcPr>
          <w:p>
            <w:pPr>
              <w:spacing w:after="0"/>
              <w:rPr>
                <w:sz w:val="1"/>
                <w:szCs w:val="1"/>
                <w:color w:val="auto"/>
              </w:rPr>
            </w:pPr>
          </w:p>
        </w:tc>
      </w:tr>
      <w:tr>
        <w:trPr>
          <w:trHeight w:val="223"/>
        </w:trPr>
        <w:tc>
          <w:tcPr>
            <w:tcW w:w="8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 liabilities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0" w:type="dxa"/>
            <w:vAlign w:val="bottom"/>
          </w:tcPr>
          <w:p>
            <w:pPr>
              <w:spacing w:after="0"/>
              <w:rPr>
                <w:sz w:val="1"/>
                <w:szCs w:val="1"/>
                <w:color w:val="auto"/>
              </w:rPr>
            </w:pPr>
          </w:p>
        </w:tc>
      </w:tr>
      <w:tr>
        <w:trPr>
          <w:trHeight w:val="228"/>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taxes payable</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23"/>
        </w:trPr>
        <w:tc>
          <w:tcPr>
            <w:tcW w:w="8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Deferred tax liability</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473</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439</w:t>
            </w:r>
          </w:p>
        </w:tc>
        <w:tc>
          <w:tcPr>
            <w:tcW w:w="0" w:type="dxa"/>
            <w:vAlign w:val="bottom"/>
          </w:tcPr>
          <w:p>
            <w:pPr>
              <w:spacing w:after="0"/>
              <w:rPr>
                <w:sz w:val="1"/>
                <w:szCs w:val="1"/>
                <w:color w:val="auto"/>
              </w:rPr>
            </w:pPr>
          </w:p>
        </w:tc>
      </w:tr>
      <w:tr>
        <w:trPr>
          <w:trHeight w:val="221"/>
        </w:trPr>
        <w:tc>
          <w:tcPr>
            <w:tcW w:w="89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Total liabilities</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106,031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100,042</w:t>
            </w:r>
          </w:p>
        </w:tc>
        <w:tc>
          <w:tcPr>
            <w:tcW w:w="0" w:type="dxa"/>
            <w:vAlign w:val="bottom"/>
          </w:tcPr>
          <w:p>
            <w:pPr>
              <w:spacing w:after="0"/>
              <w:rPr>
                <w:sz w:val="1"/>
                <w:szCs w:val="1"/>
                <w:color w:val="auto"/>
              </w:rPr>
            </w:pPr>
          </w:p>
        </w:tc>
      </w:tr>
      <w:tr>
        <w:trPr>
          <w:trHeight w:val="223"/>
        </w:trPr>
        <w:tc>
          <w:tcPr>
            <w:tcW w:w="8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900" w:type="dxa"/>
            <w:vAlign w:val="bottom"/>
            <w:shd w:val="clear" w:color="auto" w:fill="CCEEFF"/>
          </w:tcPr>
          <w:p>
            <w:pPr>
              <w:ind w:left="220"/>
              <w:spacing w:after="0" w:line="175" w:lineRule="exact"/>
              <w:rPr>
                <w:sz w:val="20"/>
                <w:szCs w:val="20"/>
                <w:color w:val="auto"/>
              </w:rPr>
            </w:pPr>
            <w:r>
              <w:rPr>
                <w:rFonts w:ascii="Times New Roman" w:cs="Times New Roman" w:eastAsia="Times New Roman" w:hAnsi="Times New Roman"/>
                <w:sz w:val="16"/>
                <w:szCs w:val="16"/>
                <w:color w:val="auto"/>
              </w:rPr>
              <w:t>FNF common stock, $0.0001 par value; authorized 600 shares as of September 30, 2026 and December 31, 2025; outstanding of 268</w:t>
            </w:r>
          </w:p>
        </w:tc>
        <w:tc>
          <w:tcPr>
            <w:tcW w:w="12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8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and 271 as of September 30, 2026 and December 31, 2025, respectively</w:t>
            </w:r>
          </w:p>
        </w:tc>
        <w:tc>
          <w:tcPr>
            <w:tcW w:w="12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9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Preferred stock, $0.0001 par value; authorized 50 shares; issued and outstanding, none</w:t>
            </w:r>
          </w:p>
        </w:tc>
        <w:tc>
          <w:tcPr>
            <w:tcW w:w="12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8"/>
        </w:trPr>
        <w:tc>
          <w:tcPr>
            <w:tcW w:w="8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6,042</w:t>
            </w:r>
          </w:p>
        </w:tc>
        <w:tc>
          <w:tcPr>
            <w:tcW w:w="0" w:type="dxa"/>
            <w:vAlign w:val="bottom"/>
          </w:tcPr>
          <w:p>
            <w:pPr>
              <w:spacing w:after="0"/>
              <w:rPr>
                <w:sz w:val="1"/>
                <w:szCs w:val="1"/>
                <w:color w:val="auto"/>
              </w:rPr>
            </w:pPr>
          </w:p>
        </w:tc>
      </w:tr>
      <w:tr>
        <w:trPr>
          <w:trHeight w:val="223"/>
        </w:trPr>
        <w:tc>
          <w:tcPr>
            <w:tcW w:w="89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Retained earnings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5,484</w:t>
            </w:r>
          </w:p>
        </w:tc>
        <w:tc>
          <w:tcPr>
            <w:tcW w:w="0" w:type="dxa"/>
            <w:vAlign w:val="bottom"/>
          </w:tcPr>
          <w:p>
            <w:pPr>
              <w:spacing w:after="0"/>
              <w:rPr>
                <w:sz w:val="1"/>
                <w:szCs w:val="1"/>
                <w:color w:val="auto"/>
              </w:rPr>
            </w:pPr>
          </w:p>
        </w:tc>
      </w:tr>
      <w:tr>
        <w:trPr>
          <w:trHeight w:val="228"/>
        </w:trPr>
        <w:tc>
          <w:tcPr>
            <w:tcW w:w="8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Accumulated other comprehensive loss ("AOCL")</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(1,678)</w:t>
            </w:r>
          </w:p>
        </w:tc>
        <w:tc>
          <w:tcPr>
            <w:tcW w:w="0" w:type="dxa"/>
            <w:vAlign w:val="bottom"/>
          </w:tcPr>
          <w:p>
            <w:pPr>
              <w:spacing w:after="0"/>
              <w:rPr>
                <w:sz w:val="1"/>
                <w:szCs w:val="1"/>
                <w:color w:val="auto"/>
              </w:rPr>
            </w:pPr>
          </w:p>
        </w:tc>
      </w:tr>
      <w:tr>
        <w:trPr>
          <w:trHeight w:val="223"/>
        </w:trPr>
        <w:tc>
          <w:tcPr>
            <w:tcW w:w="89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Treasury stock, 64 and 61 shares as of September 30, 2026 and December 31, 2025, respectively, at cost</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(2,567)</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(2,424)</w:t>
            </w:r>
          </w:p>
        </w:tc>
        <w:tc>
          <w:tcPr>
            <w:tcW w:w="0" w:type="dxa"/>
            <w:vAlign w:val="bottom"/>
          </w:tcPr>
          <w:p>
            <w:pPr>
              <w:spacing w:after="0"/>
              <w:rPr>
                <w:sz w:val="1"/>
                <w:szCs w:val="1"/>
                <w:color w:val="auto"/>
              </w:rPr>
            </w:pPr>
          </w:p>
        </w:tc>
      </w:tr>
      <w:tr>
        <w:trPr>
          <w:trHeight w:val="221"/>
        </w:trPr>
        <w:tc>
          <w:tcPr>
            <w:tcW w:w="89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Total Fidelity National Financial, Inc. shareholders’ equity</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7,424</w:t>
            </w:r>
          </w:p>
        </w:tc>
        <w:tc>
          <w:tcPr>
            <w:tcW w:w="0" w:type="dxa"/>
            <w:vAlign w:val="bottom"/>
          </w:tcPr>
          <w:p>
            <w:pPr>
              <w:spacing w:after="0"/>
              <w:rPr>
                <w:sz w:val="1"/>
                <w:szCs w:val="1"/>
                <w:color w:val="auto"/>
              </w:rPr>
            </w:pPr>
          </w:p>
        </w:tc>
      </w:tr>
      <w:tr>
        <w:trPr>
          <w:trHeight w:val="223"/>
        </w:trPr>
        <w:tc>
          <w:tcPr>
            <w:tcW w:w="89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1,290</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1,548</w:t>
            </w:r>
          </w:p>
        </w:tc>
        <w:tc>
          <w:tcPr>
            <w:tcW w:w="0" w:type="dxa"/>
            <w:vAlign w:val="bottom"/>
          </w:tcPr>
          <w:p>
            <w:pPr>
              <w:spacing w:after="0"/>
              <w:rPr>
                <w:sz w:val="1"/>
                <w:szCs w:val="1"/>
                <w:color w:val="auto"/>
              </w:rPr>
            </w:pPr>
          </w:p>
        </w:tc>
      </w:tr>
      <w:tr>
        <w:trPr>
          <w:trHeight w:val="218"/>
        </w:trPr>
        <w:tc>
          <w:tcPr>
            <w:tcW w:w="89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Total equity</w:t>
            </w: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8,661</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8,972</w:t>
            </w:r>
          </w:p>
        </w:tc>
        <w:tc>
          <w:tcPr>
            <w:tcW w:w="0" w:type="dxa"/>
            <w:vAlign w:val="bottom"/>
          </w:tcPr>
          <w:p>
            <w:pPr>
              <w:spacing w:after="0"/>
              <w:rPr>
                <w:sz w:val="1"/>
                <w:szCs w:val="1"/>
                <w:color w:val="auto"/>
              </w:rPr>
            </w:pPr>
          </w:p>
        </w:tc>
      </w:tr>
      <w:tr>
        <w:trPr>
          <w:trHeight w:val="221"/>
        </w:trPr>
        <w:tc>
          <w:tcPr>
            <w:tcW w:w="89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114,692</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109,014</w:t>
            </w:r>
          </w:p>
        </w:tc>
        <w:tc>
          <w:tcPr>
            <w:tcW w:w="0" w:type="dxa"/>
            <w:vAlign w:val="bottom"/>
          </w:tcPr>
          <w:p>
            <w:pPr>
              <w:spacing w:after="0"/>
              <w:rPr>
                <w:sz w:val="1"/>
                <w:szCs w:val="1"/>
                <w:color w:val="auto"/>
              </w:rPr>
            </w:pPr>
          </w:p>
        </w:tc>
      </w:tr>
      <w:tr>
        <w:trPr>
          <w:trHeight w:val="20"/>
        </w:trPr>
        <w:tc>
          <w:tcPr>
            <w:tcW w:w="8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 w:lineRule="exact"/>
        <w:rPr>
          <w:sz w:val="20"/>
          <w:szCs w:val="20"/>
          <w:color w:val="auto"/>
        </w:rPr>
      </w:pPr>
    </w:p>
    <w:p>
      <w:pPr>
        <w:sectPr>
          <w:pgSz w:w="11900" w:h="16838" w:orient="portrait"/>
          <w:cols w:equalWidth="0" w:num="1">
            <w:col w:w="11240"/>
          </w:cols>
          <w:pgMar w:left="320" w:top="121" w:right="339" w:bottom="1440" w:gutter="0" w:footer="0" w:header="0"/>
        </w:sectPr>
      </w:pPr>
    </w:p>
    <w:p>
      <w:pPr>
        <w:jc w:val="center"/>
        <w:spacing w:after="0"/>
        <w:rPr>
          <w:sz w:val="20"/>
          <w:szCs w:val="20"/>
          <w:color w:val="auto"/>
        </w:rPr>
      </w:pPr>
      <w:r>
        <w:rPr>
          <w:rFonts w:ascii="Times New Roman" w:cs="Times New Roman" w:eastAsia="Times New Roman" w:hAnsi="Times New Roman"/>
          <w:sz w:val="15"/>
          <w:szCs w:val="15"/>
          <w:color w:val="auto"/>
        </w:rPr>
        <w:t>See Notes to Condensed Consolidated Financial Statements</w:t>
      </w: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-10160</wp:posOffset>
            </wp:positionV>
            <wp:extent cx="716026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2"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7"/>
          <w:szCs w:val="17"/>
          <w:b w:val="1"/>
          <w:bCs w:val="1"/>
          <w:color w:val="auto"/>
        </w:rPr>
        <w:t>FIDELITY NATIONAL FINANCIAL, INC. AND SUBSIDIARIES</w:t>
      </w:r>
    </w:p>
    <w:p>
      <w:pPr>
        <w:spacing w:after="0" w:line="35" w:lineRule="exact"/>
        <w:rPr>
          <w:sz w:val="20"/>
          <w:szCs w:val="20"/>
          <w:color w:val="auto"/>
        </w:rPr>
      </w:pPr>
    </w:p>
    <w:p>
      <w:pPr>
        <w:jc w:val="right"/>
        <w:ind w:right="30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EARNINGS</w:t>
      </w:r>
    </w:p>
    <w:p>
      <w:pPr>
        <w:jc w:val="center"/>
        <w:ind w:right="-19"/>
        <w:spacing w:after="0"/>
        <w:rPr>
          <w:sz w:val="20"/>
          <w:szCs w:val="20"/>
          <w:color w:val="auto"/>
        </w:rPr>
      </w:pPr>
      <w:r>
        <w:rPr>
          <w:rFonts w:ascii="Times New Roman" w:cs="Times New Roman" w:eastAsia="Times New Roman" w:hAnsi="Times New Roman"/>
          <w:sz w:val="14"/>
          <w:szCs w:val="14"/>
          <w:color w:val="auto"/>
        </w:rPr>
        <w:t>(In millions, except per share data)</w:t>
      </w:r>
    </w:p>
    <w:p>
      <w:pPr>
        <w:sectPr>
          <w:pgSz w:w="11900" w:h="16838" w:orient="portrait"/>
          <w:cols w:equalWidth="0" w:num="1">
            <w:col w:w="11240"/>
          </w:cols>
          <w:pgMar w:left="320" w:top="121" w:right="339" w:bottom="1440" w:gutter="0" w:footer="0" w:header="0"/>
        </w:sectPr>
      </w:pPr>
    </w:p>
    <w:p>
      <w:pPr>
        <w:spacing w:after="0" w:line="274" w:lineRule="exact"/>
        <w:rPr>
          <w:sz w:val="20"/>
          <w:szCs w:val="20"/>
          <w:color w:val="auto"/>
        </w:rPr>
      </w:pPr>
    </w:p>
    <w:p>
      <w:pPr>
        <w:jc w:val="center"/>
        <w:ind w:left="81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14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5052060</wp:posOffset>
            </wp:positionH>
            <wp:positionV relativeFrom="paragraph">
              <wp:posOffset>19685</wp:posOffset>
            </wp:positionV>
            <wp:extent cx="1026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26160" cy="8255"/>
                    </a:xfrm>
                    <a:prstGeom prst="rect">
                      <a:avLst/>
                    </a:prstGeom>
                    <a:noFill/>
                  </pic:spPr>
                </pic:pic>
              </a:graphicData>
            </a:graphic>
          </wp:anchor>
        </w:drawing>
      </w:r>
    </w:p>
    <w:p>
      <w:pPr>
        <w:spacing w:after="0" w:line="26" w:lineRule="exact"/>
        <w:rPr>
          <w:sz w:val="20"/>
          <w:szCs w:val="20"/>
          <w:color w:val="auto"/>
        </w:rPr>
      </w:pPr>
    </w:p>
    <w:p>
      <w:pPr>
        <w:ind w:left="8200"/>
        <w:spacing w:after="0"/>
        <w:tabs>
          <w:tab w:leader="none" w:pos="9040" w:val="left"/>
        </w:tabs>
        <w:rPr>
          <w:sz w:val="20"/>
          <w:szCs w:val="20"/>
          <w:color w:val="auto"/>
        </w:rPr>
      </w:pPr>
      <w:r>
        <w:rPr>
          <w:rFonts w:ascii="Times New Roman" w:cs="Times New Roman" w:eastAsia="Times New Roman" w:hAnsi="Times New Roman"/>
          <w:sz w:val="14"/>
          <w:szCs w:val="14"/>
          <w:b w:val="1"/>
          <w:bCs w:val="1"/>
          <w:color w:val="auto"/>
        </w:rPr>
        <w:t>2026</w:t>
      </w:r>
      <w:r>
        <w:rPr>
          <w:sz w:val="20"/>
          <w:szCs w:val="20"/>
          <w:color w:val="auto"/>
        </w:rPr>
        <w:tab/>
      </w:r>
      <w:r>
        <w:rPr>
          <w:rFonts w:ascii="Times New Roman" w:cs="Times New Roman" w:eastAsia="Times New Roman" w:hAnsi="Times New Roman"/>
          <w:sz w:val="14"/>
          <w:szCs w:val="14"/>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5052060</wp:posOffset>
            </wp:positionH>
            <wp:positionV relativeFrom="paragraph">
              <wp:posOffset>31115</wp:posOffset>
            </wp:positionV>
            <wp:extent cx="1026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26160" cy="8255"/>
                    </a:xfrm>
                    <a:prstGeom prst="rect">
                      <a:avLst/>
                    </a:prstGeom>
                    <a:noFill/>
                  </pic:spPr>
                </pic:pic>
              </a:graphicData>
            </a:graphic>
          </wp:anchor>
        </w:drawing>
      </w:r>
    </w:p>
    <w:p>
      <w:pPr>
        <w:spacing w:after="0" w:line="44" w:lineRule="exact"/>
        <w:rPr>
          <w:sz w:val="20"/>
          <w:szCs w:val="20"/>
          <w:color w:val="auto"/>
        </w:rPr>
      </w:pPr>
    </w:p>
    <w:p>
      <w:pPr>
        <w:ind w:left="840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 w:lineRule="exact"/>
        <w:rPr>
          <w:sz w:val="20"/>
          <w:szCs w:val="20"/>
          <w:color w:val="auto"/>
        </w:rPr>
      </w:pPr>
      <w:r>
        <w:rPr>
          <w:sz w:val="20"/>
          <w:szCs w:val="20"/>
          <w:color w:val="auto"/>
        </w:rPr>
        <w:br w:type="column"/>
      </w:r>
    </w:p>
    <w:p>
      <w:pPr>
        <w:spacing w:after="0" w:line="254"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19685</wp:posOffset>
            </wp:positionV>
            <wp:extent cx="100965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09650" cy="8255"/>
                    </a:xfrm>
                    <a:prstGeom prst="rect">
                      <a:avLst/>
                    </a:prstGeom>
                    <a:noFill/>
                  </pic:spPr>
                </pic:pic>
              </a:graphicData>
            </a:graphic>
          </wp:anchor>
        </w:drawing>
      </w:r>
    </w:p>
    <w:p>
      <w:pPr>
        <w:spacing w:after="0" w:line="26" w:lineRule="exact"/>
        <w:rPr>
          <w:sz w:val="20"/>
          <w:szCs w:val="20"/>
          <w:color w:val="auto"/>
        </w:rPr>
      </w:pPr>
    </w:p>
    <w:p>
      <w:pPr>
        <w:ind w:left="20"/>
        <w:spacing w:after="0"/>
        <w:tabs>
          <w:tab w:leader="none" w:pos="840" w:val="left"/>
        </w:tabs>
        <w:rPr>
          <w:sz w:val="20"/>
          <w:szCs w:val="20"/>
          <w:color w:val="auto"/>
        </w:rPr>
      </w:pPr>
      <w:r>
        <w:rPr>
          <w:rFonts w:ascii="Times New Roman" w:cs="Times New Roman" w:eastAsia="Times New Roman" w:hAnsi="Times New Roman"/>
          <w:sz w:val="14"/>
          <w:szCs w:val="14"/>
          <w:b w:val="1"/>
          <w:bCs w:val="1"/>
          <w:color w:val="auto"/>
        </w:rPr>
        <w:t>2026</w:t>
      </w:r>
      <w:r>
        <w:rPr>
          <w:sz w:val="20"/>
          <w:szCs w:val="20"/>
          <w:color w:val="auto"/>
        </w:rPr>
        <w:tab/>
      </w:r>
      <w:r>
        <w:rPr>
          <w:rFonts w:ascii="Times New Roman" w:cs="Times New Roman" w:eastAsia="Times New Roman" w:hAnsi="Times New Roman"/>
          <w:sz w:val="14"/>
          <w:szCs w:val="14"/>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31115</wp:posOffset>
            </wp:positionV>
            <wp:extent cx="100965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09650" cy="8255"/>
                    </a:xfrm>
                    <a:prstGeom prst="rect">
                      <a:avLst/>
                    </a:prstGeom>
                    <a:noFill/>
                  </pic:spPr>
                </pic:pic>
              </a:graphicData>
            </a:graphic>
          </wp:anchor>
        </w:drawing>
      </w:r>
    </w:p>
    <w:p>
      <w:pPr>
        <w:spacing w:after="0" w:line="4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49" w:lineRule="exact"/>
        <w:rPr>
          <w:sz w:val="20"/>
          <w:szCs w:val="20"/>
          <w:color w:val="auto"/>
        </w:rPr>
      </w:pPr>
    </w:p>
    <w:p>
      <w:pPr>
        <w:sectPr>
          <w:pgSz w:w="11900" w:h="16838" w:orient="portrait"/>
          <w:cols w:equalWidth="0" w:num="2">
            <w:col w:w="9380" w:space="480"/>
            <w:col w:w="138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25"/>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1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r>
      <w:tr>
        <w:trPr>
          <w:trHeight w:val="223"/>
        </w:trPr>
        <w:tc>
          <w:tcPr>
            <w:tcW w:w="6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Direct title insurance premiums</w:t>
            </w:r>
          </w:p>
        </w:tc>
        <w:tc>
          <w:tcPr>
            <w:tcW w:w="2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755</w:t>
            </w:r>
          </w:p>
        </w:tc>
        <w:tc>
          <w:tcPr>
            <w:tcW w:w="100" w:type="dxa"/>
            <w:vAlign w:val="bottom"/>
          </w:tcPr>
          <w:p>
            <w:pPr>
              <w:spacing w:after="0"/>
              <w:rPr>
                <w:sz w:val="19"/>
                <w:szCs w:val="19"/>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678</w:t>
            </w:r>
          </w:p>
        </w:tc>
        <w:tc>
          <w:tcPr>
            <w:tcW w:w="80" w:type="dxa"/>
            <w:vAlign w:val="bottom"/>
          </w:tcPr>
          <w:p>
            <w:pPr>
              <w:spacing w:after="0"/>
              <w:rPr>
                <w:sz w:val="19"/>
                <w:szCs w:val="19"/>
                <w:color w:val="auto"/>
              </w:rPr>
            </w:pPr>
          </w:p>
        </w:tc>
        <w:tc>
          <w:tcPr>
            <w:tcW w:w="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2,105</w:t>
            </w:r>
          </w:p>
        </w:tc>
        <w:tc>
          <w:tcPr>
            <w:tcW w:w="80" w:type="dxa"/>
            <w:vAlign w:val="bottom"/>
          </w:tcPr>
          <w:p>
            <w:pPr>
              <w:spacing w:after="0"/>
              <w:rPr>
                <w:sz w:val="19"/>
                <w:szCs w:val="19"/>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1,820</w:t>
            </w:r>
          </w:p>
        </w:tc>
      </w:tr>
      <w:tr>
        <w:trPr>
          <w:trHeight w:val="228"/>
        </w:trPr>
        <w:tc>
          <w:tcPr>
            <w:tcW w:w="6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Agency title insurance premiums</w:t>
            </w:r>
          </w:p>
        </w:tc>
        <w:tc>
          <w:tcPr>
            <w:tcW w:w="1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890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2,410</w:t>
            </w:r>
          </w:p>
        </w:tc>
      </w:tr>
      <w:tr>
        <w:trPr>
          <w:trHeight w:val="223"/>
        </w:trPr>
        <w:tc>
          <w:tcPr>
            <w:tcW w:w="6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Escrow, title-related and other fees</w:t>
            </w:r>
          </w:p>
        </w:tc>
        <w:tc>
          <w:tcPr>
            <w:tcW w:w="1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1,083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1,429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3,783</w:t>
            </w:r>
          </w:p>
        </w:tc>
      </w:tr>
      <w:tr>
        <w:trPr>
          <w:trHeight w:val="228"/>
        </w:trPr>
        <w:tc>
          <w:tcPr>
            <w:tcW w:w="6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and investment income</w:t>
            </w:r>
          </w:p>
        </w:tc>
        <w:tc>
          <w:tcPr>
            <w:tcW w:w="1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796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857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2,394</w:t>
            </w:r>
          </w:p>
        </w:tc>
      </w:tr>
      <w:tr>
        <w:trPr>
          <w:trHeight w:val="223"/>
        </w:trPr>
        <w:tc>
          <w:tcPr>
            <w:tcW w:w="6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Recognized gains and losses, net</w:t>
            </w:r>
          </w:p>
        </w:tc>
        <w:tc>
          <w:tcPr>
            <w:tcW w:w="17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176</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21"/>
        </w:trPr>
        <w:tc>
          <w:tcPr>
            <w:tcW w:w="61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Total revenues</w:t>
            </w:r>
          </w:p>
        </w:tc>
        <w:tc>
          <w:tcPr>
            <w:tcW w:w="1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3,578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4,030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10,855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10,394</w:t>
            </w:r>
          </w:p>
        </w:tc>
      </w:tr>
      <w:tr>
        <w:trPr>
          <w:trHeight w:val="223"/>
        </w:trPr>
        <w:tc>
          <w:tcPr>
            <w:tcW w:w="6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Expenses:</w:t>
            </w:r>
          </w:p>
        </w:tc>
        <w:tc>
          <w:tcPr>
            <w:tcW w:w="1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28"/>
        </w:trPr>
        <w:tc>
          <w:tcPr>
            <w:tcW w:w="6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Personnel costs</w:t>
            </w:r>
          </w:p>
        </w:tc>
        <w:tc>
          <w:tcPr>
            <w:tcW w:w="1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899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2,536</w:t>
            </w:r>
          </w:p>
        </w:tc>
      </w:tr>
      <w:tr>
        <w:trPr>
          <w:trHeight w:val="223"/>
        </w:trPr>
        <w:tc>
          <w:tcPr>
            <w:tcW w:w="6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Agent commissions</w:t>
            </w:r>
          </w:p>
        </w:tc>
        <w:tc>
          <w:tcPr>
            <w:tcW w:w="1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690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1,872</w:t>
            </w:r>
          </w:p>
        </w:tc>
      </w:tr>
      <w:tr>
        <w:trPr>
          <w:trHeight w:val="228"/>
        </w:trPr>
        <w:tc>
          <w:tcPr>
            <w:tcW w:w="6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operating expenses</w:t>
            </w:r>
          </w:p>
        </w:tc>
        <w:tc>
          <w:tcPr>
            <w:tcW w:w="1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407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w:t>
            </w:r>
          </w:p>
        </w:tc>
      </w:tr>
      <w:tr>
        <w:trPr>
          <w:trHeight w:val="223"/>
        </w:trPr>
        <w:tc>
          <w:tcPr>
            <w:tcW w:w="6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Benefits and other changes in policy reserves</w:t>
            </w:r>
          </w:p>
        </w:tc>
        <w:tc>
          <w:tcPr>
            <w:tcW w:w="1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1,181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2,698</w:t>
            </w:r>
          </w:p>
        </w:tc>
      </w:tr>
      <w:tr>
        <w:trPr>
          <w:trHeight w:val="228"/>
        </w:trPr>
        <w:tc>
          <w:tcPr>
            <w:tcW w:w="6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Market risk benefit (gains) losses</w:t>
            </w:r>
          </w:p>
        </w:tc>
        <w:tc>
          <w:tcPr>
            <w:tcW w:w="1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r>
      <w:tr>
        <w:trPr>
          <w:trHeight w:val="223"/>
        </w:trPr>
        <w:tc>
          <w:tcPr>
            <w:tcW w:w="6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238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227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w:t>
            </w:r>
          </w:p>
        </w:tc>
      </w:tr>
      <w:tr>
        <w:trPr>
          <w:trHeight w:val="228"/>
        </w:trPr>
        <w:tc>
          <w:tcPr>
            <w:tcW w:w="6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Provision for title claim losses</w:t>
            </w:r>
          </w:p>
        </w:tc>
        <w:tc>
          <w:tcPr>
            <w:tcW w:w="1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r>
      <w:tr>
        <w:trPr>
          <w:trHeight w:val="223"/>
        </w:trPr>
        <w:tc>
          <w:tcPr>
            <w:tcW w:w="6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Interest expense</w:t>
            </w:r>
          </w:p>
        </w:tc>
        <w:tc>
          <w:tcPr>
            <w:tcW w:w="17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60</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w:t>
            </w:r>
          </w:p>
        </w:tc>
      </w:tr>
      <w:tr>
        <w:trPr>
          <w:trHeight w:val="218"/>
        </w:trPr>
        <w:tc>
          <w:tcPr>
            <w:tcW w:w="61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Total expenses</w:t>
            </w:r>
          </w:p>
        </w:tc>
        <w:tc>
          <w:tcPr>
            <w:tcW w:w="17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2,333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3,577</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8,774</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9,448</w:t>
            </w:r>
          </w:p>
        </w:tc>
      </w:tr>
      <w:tr>
        <w:trPr>
          <w:trHeight w:val="218"/>
        </w:trPr>
        <w:tc>
          <w:tcPr>
            <w:tcW w:w="6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Earnings before income taxes and equity in earnings of unconsolidated affiliates</w:t>
            </w:r>
          </w:p>
        </w:tc>
        <w:tc>
          <w:tcPr>
            <w:tcW w:w="1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1,245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453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946</w:t>
            </w:r>
          </w:p>
        </w:tc>
      </w:tr>
      <w:tr>
        <w:trPr>
          <w:trHeight w:val="225"/>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7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397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w:t>
            </w:r>
          </w:p>
        </w:tc>
      </w:tr>
      <w:tr>
        <w:trPr>
          <w:trHeight w:val="219"/>
        </w:trPr>
        <w:tc>
          <w:tcPr>
            <w:tcW w:w="6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Earnings before equity in earnings of unconsolidated affiliates</w:t>
            </w:r>
          </w:p>
        </w:tc>
        <w:tc>
          <w:tcPr>
            <w:tcW w:w="1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848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363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729</w:t>
            </w:r>
          </w:p>
        </w:tc>
      </w:tr>
      <w:tr>
        <w:trPr>
          <w:trHeight w:val="225"/>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in earnings (losses) of unconsolidated affiliates</w:t>
            </w:r>
          </w:p>
        </w:tc>
        <w:tc>
          <w:tcPr>
            <w:tcW w:w="1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18"/>
        </w:trPr>
        <w:tc>
          <w:tcPr>
            <w:tcW w:w="6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17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848</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389</w:t>
            </w: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1,445</w:t>
            </w: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765</w:t>
            </w:r>
          </w:p>
        </w:tc>
      </w:tr>
      <w:tr>
        <w:trPr>
          <w:trHeight w:val="225"/>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Net earnings attributable to non-controlling interests</w:t>
            </w:r>
          </w:p>
        </w:tc>
        <w:tc>
          <w:tcPr>
            <w:tcW w:w="17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31</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195"/>
        </w:trPr>
        <w:tc>
          <w:tcPr>
            <w:tcW w:w="6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earnings attributable to Fidelity National Financial, Inc. common shareholders</w:t>
            </w:r>
          </w:p>
        </w:tc>
        <w:tc>
          <w:tcPr>
            <w:tcW w:w="2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633</w:t>
            </w:r>
          </w:p>
        </w:tc>
        <w:tc>
          <w:tcPr>
            <w:tcW w:w="100" w:type="dxa"/>
            <w:vAlign w:val="bottom"/>
          </w:tcPr>
          <w:p>
            <w:pPr>
              <w:spacing w:after="0"/>
              <w:rPr>
                <w:sz w:val="16"/>
                <w:szCs w:val="16"/>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358</w:t>
            </w:r>
          </w:p>
        </w:tc>
        <w:tc>
          <w:tcPr>
            <w:tcW w:w="80" w:type="dxa"/>
            <w:vAlign w:val="bottom"/>
          </w:tcPr>
          <w:p>
            <w:pPr>
              <w:spacing w:after="0"/>
              <w:rPr>
                <w:sz w:val="16"/>
                <w:szCs w:val="16"/>
                <w:color w:val="auto"/>
              </w:rPr>
            </w:pPr>
          </w:p>
        </w:tc>
        <w:tc>
          <w:tcPr>
            <w:tcW w:w="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1,164</w:t>
            </w:r>
          </w:p>
        </w:tc>
        <w:tc>
          <w:tcPr>
            <w:tcW w:w="80" w:type="dxa"/>
            <w:vAlign w:val="bottom"/>
          </w:tcPr>
          <w:p>
            <w:pPr>
              <w:spacing w:after="0"/>
              <w:rPr>
                <w:sz w:val="16"/>
                <w:szCs w:val="16"/>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719</w:t>
            </w:r>
          </w:p>
        </w:tc>
      </w:tr>
      <w:tr>
        <w:trPr>
          <w:trHeight w:val="20"/>
        </w:trPr>
        <w:tc>
          <w:tcPr>
            <w:tcW w:w="618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r>
        <w:trPr>
          <w:trHeight w:val="192"/>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per share</w:t>
            </w:r>
          </w:p>
        </w:tc>
        <w:tc>
          <w:tcPr>
            <w:tcW w:w="1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r>
      <w:tr>
        <w:trPr>
          <w:trHeight w:val="199"/>
        </w:trPr>
        <w:tc>
          <w:tcPr>
            <w:tcW w:w="6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earnings per share attributable to common shareholders, basic</w:t>
            </w:r>
          </w:p>
        </w:tc>
        <w:tc>
          <w:tcPr>
            <w:tcW w:w="2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2.38</w:t>
            </w:r>
          </w:p>
        </w:tc>
        <w:tc>
          <w:tcPr>
            <w:tcW w:w="100" w:type="dxa"/>
            <w:vAlign w:val="bottom"/>
          </w:tcPr>
          <w:p>
            <w:pPr>
              <w:spacing w:after="0"/>
              <w:rPr>
                <w:sz w:val="17"/>
                <w:szCs w:val="17"/>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1.33</w:t>
            </w:r>
          </w:p>
        </w:tc>
        <w:tc>
          <w:tcPr>
            <w:tcW w:w="80" w:type="dxa"/>
            <w:vAlign w:val="bottom"/>
          </w:tcPr>
          <w:p>
            <w:pPr>
              <w:spacing w:after="0"/>
              <w:rPr>
                <w:sz w:val="17"/>
                <w:szCs w:val="17"/>
                <w:color w:val="auto"/>
              </w:rPr>
            </w:pPr>
          </w:p>
        </w:tc>
        <w:tc>
          <w:tcPr>
            <w:tcW w:w="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w:t>
            </w:r>
          </w:p>
        </w:tc>
        <w:tc>
          <w:tcPr>
            <w:tcW w:w="80" w:type="dxa"/>
            <w:vAlign w:val="bottom"/>
          </w:tcPr>
          <w:p>
            <w:pPr>
              <w:spacing w:after="0"/>
              <w:rPr>
                <w:sz w:val="17"/>
                <w:szCs w:val="17"/>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w:t>
            </w:r>
          </w:p>
        </w:tc>
      </w:tr>
      <w:tr>
        <w:trPr>
          <w:trHeight w:val="20"/>
        </w:trPr>
        <w:tc>
          <w:tcPr>
            <w:tcW w:w="618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r>
        <w:trPr>
          <w:trHeight w:val="212"/>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earnings per share attributable to common shareholders, diluted</w:t>
            </w:r>
          </w:p>
        </w:tc>
        <w:tc>
          <w:tcPr>
            <w:tcW w:w="2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2.37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r>
        <w:trPr>
          <w:trHeight w:val="53"/>
        </w:trPr>
        <w:tc>
          <w:tcPr>
            <w:tcW w:w="6180" w:type="dxa"/>
            <w:vAlign w:val="bottom"/>
          </w:tcPr>
          <w:p>
            <w:pPr>
              <w:spacing w:after="0"/>
              <w:rPr>
                <w:sz w:val="4"/>
                <w:szCs w:val="4"/>
                <w:color w:val="auto"/>
              </w:rPr>
            </w:pPr>
          </w:p>
        </w:tc>
        <w:tc>
          <w:tcPr>
            <w:tcW w:w="1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r>
      <w:tr>
        <w:trPr>
          <w:trHeight w:val="250"/>
        </w:trPr>
        <w:tc>
          <w:tcPr>
            <w:tcW w:w="6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 - basic</w:t>
            </w:r>
          </w:p>
        </w:tc>
        <w:tc>
          <w:tcPr>
            <w:tcW w:w="17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269</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6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 - diluted</w:t>
            </w:r>
          </w:p>
        </w:tc>
        <w:tc>
          <w:tcPr>
            <w:tcW w:w="17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267</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270</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w:t>
            </w:r>
          </w:p>
        </w:tc>
      </w:tr>
      <w:tr>
        <w:trPr>
          <w:trHeight w:val="20"/>
        </w:trPr>
        <w:tc>
          <w:tcPr>
            <w:tcW w:w="618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218"/>
        </w:trPr>
        <w:tc>
          <w:tcPr>
            <w:tcW w:w="61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79"/>
        </w:trPr>
        <w:tc>
          <w:tcPr>
            <w:tcW w:w="6180" w:type="dxa"/>
            <w:vAlign w:val="bottom"/>
          </w:tcPr>
          <w:p>
            <w:pPr>
              <w:ind w:left="3720"/>
              <w:spacing w:after="0"/>
              <w:rPr>
                <w:sz w:val="20"/>
                <w:szCs w:val="20"/>
                <w:color w:val="auto"/>
              </w:rPr>
            </w:pPr>
            <w:r>
              <w:rPr>
                <w:rFonts w:ascii="Times New Roman" w:cs="Times New Roman" w:eastAsia="Times New Roman" w:hAnsi="Times New Roman"/>
                <w:sz w:val="16"/>
                <w:szCs w:val="16"/>
                <w:color w:val="auto"/>
                <w:w w:val="96"/>
              </w:rPr>
              <w:t>See Notes to Condensed Consolidated</w:t>
            </w:r>
            <w:r>
              <w:rPr>
                <w:rFonts w:ascii="Times New Roman" w:cs="Times New Roman" w:eastAsia="Times New Roman" w:hAnsi="Times New Roman"/>
                <w:sz w:val="17"/>
                <w:szCs w:val="17"/>
                <w:color w:val="auto"/>
                <w:w w:val="96"/>
              </w:rPr>
              <w:t>3</w:t>
            </w:r>
          </w:p>
        </w:tc>
        <w:tc>
          <w:tcPr>
            <w:tcW w:w="2000" w:type="dxa"/>
            <w:vAlign w:val="bottom"/>
            <w:gridSpan w:val="2"/>
          </w:tcPr>
          <w:p>
            <w:pPr>
              <w:jc w:val="right"/>
              <w:ind w:right="660"/>
              <w:spacing w:after="0"/>
              <w:rPr>
                <w:sz w:val="20"/>
                <w:szCs w:val="20"/>
                <w:color w:val="auto"/>
              </w:rPr>
            </w:pPr>
            <w:r>
              <w:rPr>
                <w:rFonts w:ascii="Times New Roman" w:cs="Times New Roman" w:eastAsia="Times New Roman" w:hAnsi="Times New Roman"/>
                <w:sz w:val="16"/>
                <w:szCs w:val="16"/>
                <w:color w:val="auto"/>
                <w:w w:val="98"/>
              </w:rPr>
              <w:t>Financial Statements</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2"/>
        </w:trPr>
        <w:tc>
          <w:tcPr>
            <w:tcW w:w="6180" w:type="dxa"/>
            <w:vAlign w:val="bottom"/>
            <w:tcBorders>
              <w:bottom w:val="single" w:sz="8" w:color="9A9A9A"/>
            </w:tcBorders>
          </w:tcPr>
          <w:p>
            <w:pPr>
              <w:spacing w:after="0"/>
              <w:rPr>
                <w:sz w:val="9"/>
                <w:szCs w:val="9"/>
                <w:color w:val="auto"/>
              </w:rPr>
            </w:pPr>
          </w:p>
        </w:tc>
        <w:tc>
          <w:tcPr>
            <w:tcW w:w="17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left="26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FIDELITY NATIONAL FINANCIAL, INC. AND SUBSIDIARIES CONDENSED CONSOLIDATED STATEMENTS OF COMPREHENSIVE EARNINGS </w:t>
      </w:r>
      <w:r>
        <w:rPr>
          <w:rFonts w:ascii="Times New Roman" w:cs="Times New Roman" w:eastAsia="Times New Roman" w:hAnsi="Times New Roman"/>
          <w:sz w:val="18"/>
          <w:szCs w:val="18"/>
          <w:color w:val="auto"/>
        </w:rPr>
        <w:t>(In millions)</w:t>
      </w:r>
    </w:p>
    <w:p>
      <w:pPr>
        <w:sectPr>
          <w:pgSz w:w="11900" w:h="16838" w:orient="portrait"/>
          <w:cols w:equalWidth="0" w:num="1">
            <w:col w:w="11240"/>
          </w:cols>
          <w:pgMar w:left="320" w:top="121" w:right="339" w:bottom="1440" w:gutter="0" w:footer="0" w:header="0"/>
        </w:sectPr>
      </w:pPr>
    </w:p>
    <w:p>
      <w:pPr>
        <w:spacing w:after="0" w:line="236" w:lineRule="exact"/>
        <w:rPr>
          <w:sz w:val="20"/>
          <w:szCs w:val="20"/>
          <w:color w:val="auto"/>
        </w:rPr>
      </w:pPr>
    </w:p>
    <w:p>
      <w:pPr>
        <w:jc w:val="center"/>
        <w:ind w:left="79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3" w:lineRule="exact"/>
        <w:rPr>
          <w:sz w:val="20"/>
          <w:szCs w:val="20"/>
          <w:color w:val="auto"/>
        </w:rPr>
      </w:pPr>
    </w:p>
    <w:p>
      <w:pPr>
        <w:jc w:val="center"/>
        <w:ind w:left="790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4850130</wp:posOffset>
            </wp:positionH>
            <wp:positionV relativeFrom="paragraph">
              <wp:posOffset>11430</wp:posOffset>
            </wp:positionV>
            <wp:extent cx="11106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10615" cy="8255"/>
                    </a:xfrm>
                    <a:prstGeom prst="rect">
                      <a:avLst/>
                    </a:prstGeom>
                    <a:noFill/>
                  </pic:spPr>
                </pic:pic>
              </a:graphicData>
            </a:graphic>
          </wp:anchor>
        </w:drawing>
      </w:r>
    </w:p>
    <w:p>
      <w:pPr>
        <w:spacing w:after="0" w:line="13" w:lineRule="exact"/>
        <w:rPr>
          <w:sz w:val="20"/>
          <w:szCs w:val="20"/>
          <w:color w:val="auto"/>
        </w:rPr>
      </w:pPr>
    </w:p>
    <w:p>
      <w:pPr>
        <w:ind w:left="7900"/>
        <w:spacing w:after="0"/>
        <w:tabs>
          <w:tab w:leader="none" w:pos="8820" w:val="left"/>
        </w:tabs>
        <w:rPr>
          <w:sz w:val="20"/>
          <w:szCs w:val="20"/>
          <w:color w:val="auto"/>
        </w:rPr>
      </w:pPr>
      <w:r>
        <w:rPr>
          <w:rFonts w:ascii="Times New Roman" w:cs="Times New Roman" w:eastAsia="Times New Roman" w:hAnsi="Times New Roman"/>
          <w:sz w:val="14"/>
          <w:szCs w:val="14"/>
          <w:b w:val="1"/>
          <w:bCs w:val="1"/>
          <w:color w:val="auto"/>
        </w:rPr>
        <w:t>2026</w:t>
      </w:r>
      <w:r>
        <w:rPr>
          <w:sz w:val="20"/>
          <w:szCs w:val="20"/>
          <w:color w:val="auto"/>
        </w:rPr>
        <w:tab/>
      </w:r>
      <w:r>
        <w:rPr>
          <w:rFonts w:ascii="Times New Roman" w:cs="Times New Roman" w:eastAsia="Times New Roman" w:hAnsi="Times New Roman"/>
          <w:sz w:val="14"/>
          <w:szCs w:val="14"/>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4850130</wp:posOffset>
            </wp:positionH>
            <wp:positionV relativeFrom="paragraph">
              <wp:posOffset>31115</wp:posOffset>
            </wp:positionV>
            <wp:extent cx="11106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10615" cy="8255"/>
                    </a:xfrm>
                    <a:prstGeom prst="rect">
                      <a:avLst/>
                    </a:prstGeom>
                    <a:noFill/>
                  </pic:spPr>
                </pic:pic>
              </a:graphicData>
            </a:graphic>
          </wp:anchor>
        </w:drawing>
      </w:r>
    </w:p>
    <w:p>
      <w:pPr>
        <w:spacing w:after="0" w:line="44"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3"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11430</wp:posOffset>
            </wp:positionV>
            <wp:extent cx="11106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10615" cy="8255"/>
                    </a:xfrm>
                    <a:prstGeom prst="rect">
                      <a:avLst/>
                    </a:prstGeom>
                    <a:noFill/>
                  </pic:spPr>
                </pic:pic>
              </a:graphicData>
            </a:graphic>
          </wp:anchor>
        </w:drawing>
      </w:r>
    </w:p>
    <w:p>
      <w:pPr>
        <w:spacing w:after="0" w:line="13"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4"/>
          <w:szCs w:val="14"/>
          <w:b w:val="1"/>
          <w:bCs w:val="1"/>
          <w:color w:val="auto"/>
        </w:rPr>
        <w:t>2026</w:t>
      </w:r>
      <w:r>
        <w:rPr>
          <w:sz w:val="20"/>
          <w:szCs w:val="20"/>
          <w:color w:val="auto"/>
        </w:rPr>
        <w:tab/>
      </w:r>
      <w:r>
        <w:rPr>
          <w:rFonts w:ascii="Times New Roman" w:cs="Times New Roman" w:eastAsia="Times New Roman" w:hAnsi="Times New Roman"/>
          <w:sz w:val="14"/>
          <w:szCs w:val="14"/>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31115</wp:posOffset>
            </wp:positionV>
            <wp:extent cx="11106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10615" cy="8255"/>
                    </a:xfrm>
                    <a:prstGeom prst="rect">
                      <a:avLst/>
                    </a:prstGeom>
                    <a:noFill/>
                  </pic:spPr>
                </pic:pic>
              </a:graphicData>
            </a:graphic>
          </wp:anchor>
        </w:drawing>
      </w:r>
    </w:p>
    <w:p>
      <w:pPr>
        <w:spacing w:after="0" w:line="4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49" w:lineRule="exact"/>
        <w:rPr>
          <w:sz w:val="20"/>
          <w:szCs w:val="20"/>
          <w:color w:val="auto"/>
        </w:rPr>
      </w:pPr>
    </w:p>
    <w:p>
      <w:pPr>
        <w:sectPr>
          <w:pgSz w:w="11900" w:h="16838" w:orient="portrait"/>
          <w:cols w:equalWidth="0" w:num="2">
            <w:col w:w="9140" w:space="620"/>
            <w:col w:w="148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38"/>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r>
      <w:tr>
        <w:trPr>
          <w:trHeight w:val="238"/>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earnings (loss):</w:t>
            </w: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186"/>
        </w:trPr>
        <w:tc>
          <w:tcPr>
            <w:tcW w:w="7640" w:type="dxa"/>
            <w:vAlign w:val="bottom"/>
            <w:shd w:val="clear" w:color="auto" w:fill="CCEEFF"/>
          </w:tcPr>
          <w:p>
            <w:pPr>
              <w:ind w:left="220"/>
              <w:spacing w:after="0" w:line="186" w:lineRule="exact"/>
              <w:rPr>
                <w:sz w:val="20"/>
                <w:szCs w:val="20"/>
                <w:color w:val="auto"/>
              </w:rPr>
            </w:pPr>
            <w:r>
              <w:rPr>
                <w:rFonts w:ascii="Times New Roman" w:cs="Times New Roman" w:eastAsia="Times New Roman" w:hAnsi="Times New Roman"/>
                <w:sz w:val="18"/>
                <w:szCs w:val="18"/>
                <w:color w:val="auto"/>
              </w:rPr>
              <w:t>Unrealized (loss) gain on investments and other financial instruments (excluding investments in</w:t>
            </w: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r>
      <w:tr>
        <w:trPr>
          <w:trHeight w:val="238"/>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unconsolidated affiliates) (1)</w:t>
            </w:r>
          </w:p>
        </w:tc>
        <w:tc>
          <w:tcPr>
            <w:tcW w:w="2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w:t>
            </w:r>
          </w:p>
        </w:tc>
      </w:tr>
      <w:tr>
        <w:trPr>
          <w:trHeight w:val="238"/>
        </w:trPr>
        <w:tc>
          <w:tcPr>
            <w:tcW w:w="7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Unrealized gain on investments in unconsolidated affiliates (2)</w:t>
            </w:r>
          </w:p>
        </w:tc>
        <w:tc>
          <w:tcPr>
            <w:tcW w:w="200" w:type="dxa"/>
            <w:vAlign w:val="bottom"/>
          </w:tcPr>
          <w:p>
            <w:pPr>
              <w:spacing w:after="0"/>
              <w:rPr>
                <w:sz w:val="20"/>
                <w:szCs w:val="20"/>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8"/>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Unrealized (loss) gain on foreign currency translation (3)</w:t>
            </w:r>
          </w:p>
        </w:tc>
        <w:tc>
          <w:tcPr>
            <w:tcW w:w="2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8"/>
        </w:trPr>
        <w:tc>
          <w:tcPr>
            <w:tcW w:w="7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Reclassification adjustments for change in unrealized gains and losses included in net earnings (4)</w:t>
            </w: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3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Changes in current discount rate - future policy benefits (5)</w:t>
            </w:r>
          </w:p>
        </w:tc>
        <w:tc>
          <w:tcPr>
            <w:tcW w:w="2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r>
      <w:tr>
        <w:trPr>
          <w:trHeight w:val="238"/>
        </w:trPr>
        <w:tc>
          <w:tcPr>
            <w:tcW w:w="7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Changes in instrument-specific credit risk - market risk benefits (6)</w:t>
            </w: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8"/>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comprehensive gain (loss) attributable to non-controlling interest (7)</w:t>
            </w:r>
          </w:p>
        </w:tc>
        <w:tc>
          <w:tcPr>
            <w:tcW w:w="2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38"/>
        </w:trPr>
        <w:tc>
          <w:tcPr>
            <w:tcW w:w="7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 in F&amp;G outside tax basis</w:t>
            </w: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2"/>
        </w:trPr>
        <w:tc>
          <w:tcPr>
            <w:tcW w:w="7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earnings</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0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r>
      <w:tr>
        <w:trPr>
          <w:trHeight w:val="232"/>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earnings</w:t>
            </w: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w:t>
            </w:r>
          </w:p>
        </w:tc>
      </w:tr>
      <w:tr>
        <w:trPr>
          <w:trHeight w:val="238"/>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Comprehensive earnings attributable to non-controlling interests</w:t>
            </w:r>
          </w:p>
        </w:tc>
        <w:tc>
          <w:tcPr>
            <w:tcW w:w="20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32"/>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earnings attributable to Fidelity National Financial, Inc. common shareholders</w:t>
            </w: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1,165</w:t>
            </w:r>
          </w:p>
        </w:tc>
      </w:tr>
      <w:tr>
        <w:trPr>
          <w:trHeight w:val="20"/>
        </w:trPr>
        <w:tc>
          <w:tcPr>
            <w:tcW w:w="7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326" w:lineRule="exact"/>
        <w:rPr>
          <w:sz w:val="20"/>
          <w:szCs w:val="20"/>
          <w:color w:val="auto"/>
        </w:rPr>
      </w:pPr>
    </w:p>
    <w:p>
      <w:pPr>
        <w:ind w:left="960" w:hanging="954"/>
        <w:spacing w:after="0" w:line="274" w:lineRule="auto"/>
        <w:tabs>
          <w:tab w:leader="none" w:pos="95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income tax (benefit) expense of $(366) million and $109 million for the three months ended September 30, 2026 and 2025, respectively, and $(484) million and $205 million for the nine months ended September 30, 2026 and 2025, respectively.</w:t>
      </w:r>
    </w:p>
    <w:p>
      <w:pPr>
        <w:spacing w:after="0" w:line="110" w:lineRule="exact"/>
        <w:rPr>
          <w:rFonts w:ascii="Times New Roman" w:cs="Times New Roman" w:eastAsia="Times New Roman" w:hAnsi="Times New Roman"/>
          <w:sz w:val="18"/>
          <w:szCs w:val="18"/>
          <w:color w:val="auto"/>
        </w:rPr>
      </w:pPr>
    </w:p>
    <w:p>
      <w:pPr>
        <w:ind w:left="960" w:hanging="95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income tax expense of $2 million for the nine months ended September 30, 2025.</w:t>
      </w:r>
    </w:p>
    <w:p>
      <w:pPr>
        <w:spacing w:after="0" w:line="164" w:lineRule="exact"/>
        <w:rPr>
          <w:rFonts w:ascii="Times New Roman" w:cs="Times New Roman" w:eastAsia="Times New Roman" w:hAnsi="Times New Roman"/>
          <w:sz w:val="18"/>
          <w:szCs w:val="18"/>
          <w:color w:val="auto"/>
        </w:rPr>
      </w:pPr>
    </w:p>
    <w:p>
      <w:pPr>
        <w:ind w:left="960" w:hanging="954"/>
        <w:spacing w:after="0" w:line="274" w:lineRule="auto"/>
        <w:tabs>
          <w:tab w:leader="none" w:pos="95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income tax (benefit) expense of $(1) million and $(2) million for the three months ended September 30, 2026 and 2025, respectively, and $(9) million and $5 million for the nine months ended September 30, 2026 and 2025, respectively.</w:t>
      </w:r>
    </w:p>
    <w:p>
      <w:pPr>
        <w:spacing w:after="0" w:line="110" w:lineRule="exact"/>
        <w:rPr>
          <w:rFonts w:ascii="Times New Roman" w:cs="Times New Roman" w:eastAsia="Times New Roman" w:hAnsi="Times New Roman"/>
          <w:sz w:val="18"/>
          <w:szCs w:val="18"/>
          <w:color w:val="auto"/>
        </w:rPr>
      </w:pPr>
    </w:p>
    <w:p>
      <w:pPr>
        <w:ind w:left="960" w:right="20" w:hanging="954"/>
        <w:spacing w:after="0" w:line="274" w:lineRule="auto"/>
        <w:tabs>
          <w:tab w:leader="none" w:pos="95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income tax expense (benefit) of $9 million and $3 million for the three months ended September 30, 2026 and 2025, respectively, and $43 million and $(13) million for the nine months ended September 30, 2026 and 2025, respectively.</w:t>
      </w:r>
    </w:p>
    <w:p>
      <w:pPr>
        <w:spacing w:after="0" w:line="110" w:lineRule="exact"/>
        <w:rPr>
          <w:rFonts w:ascii="Times New Roman" w:cs="Times New Roman" w:eastAsia="Times New Roman" w:hAnsi="Times New Roman"/>
          <w:sz w:val="18"/>
          <w:szCs w:val="18"/>
          <w:color w:val="auto"/>
        </w:rPr>
      </w:pPr>
    </w:p>
    <w:p>
      <w:pPr>
        <w:ind w:left="960" w:hanging="954"/>
        <w:spacing w:after="0" w:line="274" w:lineRule="auto"/>
        <w:tabs>
          <w:tab w:leader="none" w:pos="95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income tax expense (benefit) of $128 million and $(34) million for the three months ended September 30, 2026 and 2025, respectively, and $169 million and $(69) million for the nine months ended September 30, 2026 and 2025, respectively.</w:t>
      </w:r>
    </w:p>
    <w:p>
      <w:pPr>
        <w:spacing w:after="0" w:line="110" w:lineRule="exact"/>
        <w:rPr>
          <w:rFonts w:ascii="Times New Roman" w:cs="Times New Roman" w:eastAsia="Times New Roman" w:hAnsi="Times New Roman"/>
          <w:sz w:val="18"/>
          <w:szCs w:val="18"/>
          <w:color w:val="auto"/>
        </w:rPr>
      </w:pPr>
    </w:p>
    <w:p>
      <w:pPr>
        <w:ind w:left="960" w:hanging="954"/>
        <w:spacing w:after="0" w:line="274" w:lineRule="auto"/>
        <w:tabs>
          <w:tab w:leader="none" w:pos="95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income tax expense (benefit) of $4 million and $(6) million for the three months ended September 30, 2026 and 2025, respectively, and $7 million and $(8) million for the nine months ended September 30, 2026 and 2025, respectively.</w:t>
      </w:r>
    </w:p>
    <w:p>
      <w:pPr>
        <w:spacing w:after="0" w:line="110" w:lineRule="exact"/>
        <w:rPr>
          <w:rFonts w:ascii="Times New Roman" w:cs="Times New Roman" w:eastAsia="Times New Roman" w:hAnsi="Times New Roman"/>
          <w:sz w:val="18"/>
          <w:szCs w:val="18"/>
          <w:color w:val="auto"/>
        </w:rPr>
      </w:pPr>
    </w:p>
    <w:p>
      <w:pPr>
        <w:ind w:left="960" w:hanging="954"/>
        <w:spacing w:after="0" w:line="274" w:lineRule="auto"/>
        <w:tabs>
          <w:tab w:leader="none" w:pos="95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income tax expense (benefit) of $63 million and $(13) million for the three months ended September 30, 2026 and 2025, respectively, and $76 million and $(24) million for the nine months ended September 30, 2026 and 2025, respectively.</w:t>
      </w:r>
    </w:p>
    <w:p>
      <w:pPr>
        <w:spacing w:after="0" w:line="200" w:lineRule="exact"/>
        <w:rPr>
          <w:sz w:val="20"/>
          <w:szCs w:val="20"/>
          <w:color w:val="auto"/>
        </w:rPr>
      </w:pPr>
    </w:p>
    <w:p>
      <w:pPr>
        <w:spacing w:after="0" w:line="308"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(Unaudited)</w:t>
      </w:r>
    </w:p>
    <w:p>
      <w:pPr>
        <w:spacing w:after="0" w:line="315" w:lineRule="exact"/>
        <w:rPr>
          <w:sz w:val="20"/>
          <w:szCs w:val="20"/>
          <w:color w:val="auto"/>
        </w:rPr>
      </w:pPr>
    </w:p>
    <w:tbl>
      <w:tblPr>
        <w:tblLayout w:type="fixed"/>
        <w:tblInd w:w="120" w:type="dxa"/>
        <w:tblCellMar>
          <w:top w:w="0" w:type="dxa"/>
          <w:left w:w="0" w:type="dxa"/>
          <w:bottom w:w="0" w:type="dxa"/>
          <w:right w:w="0" w:type="dxa"/>
        </w:tblCellMar>
      </w:tblPr>
      <w:tr>
        <w:trPr>
          <w:trHeight w:val="172"/>
        </w:trPr>
        <w:tc>
          <w:tcPr>
            <w:tcW w:w="3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12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2"/>
                <w:szCs w:val="12"/>
                <w:b w:val="1"/>
                <w:bCs w:val="1"/>
                <w:color w:val="auto"/>
              </w:rPr>
              <w:t>Fidelity National Financial, Inc. Common Shareholders</w:t>
            </w: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3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3"/>
          </w:tcPr>
          <w:p>
            <w:pPr>
              <w:jc w:val="center"/>
              <w:ind w:left="298"/>
              <w:spacing w:after="0"/>
              <w:rPr>
                <w:sz w:val="20"/>
                <w:szCs w:val="20"/>
                <w:color w:val="auto"/>
              </w:rPr>
            </w:pPr>
            <w:r>
              <w:rPr>
                <w:rFonts w:ascii="Times New Roman" w:cs="Times New Roman" w:eastAsia="Times New Roman" w:hAnsi="Times New Roman"/>
                <w:sz w:val="12"/>
                <w:szCs w:val="12"/>
                <w:b w:val="1"/>
                <w:bCs w:val="1"/>
                <w:color w:val="auto"/>
              </w:rPr>
              <w:t>FNF</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85"/>
        </w:trPr>
        <w:tc>
          <w:tcPr>
            <w:tcW w:w="3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3"/>
          </w:tcPr>
          <w:p>
            <w:pPr>
              <w:jc w:val="center"/>
              <w:ind w:left="298"/>
              <w:spacing w:after="0"/>
              <w:rPr>
                <w:sz w:val="20"/>
                <w:szCs w:val="20"/>
                <w:color w:val="auto"/>
              </w:rPr>
            </w:pPr>
            <w:r>
              <w:rPr>
                <w:rFonts w:ascii="Times New Roman" w:cs="Times New Roman" w:eastAsia="Times New Roman" w:hAnsi="Times New Roman"/>
                <w:sz w:val="12"/>
                <w:szCs w:val="12"/>
                <w:b w:val="1"/>
                <w:bCs w:val="1"/>
                <w:color w:val="auto"/>
              </w:rPr>
              <w:t>Common</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Other</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Treasury</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Non-</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96"/>
        </w:trPr>
        <w:tc>
          <w:tcPr>
            <w:tcW w:w="3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Borders>
              <w:bottom w:val="single" w:sz="8" w:color="auto"/>
            </w:tcBorders>
            <w:gridSpan w:val="3"/>
          </w:tcPr>
          <w:p>
            <w:pPr>
              <w:jc w:val="center"/>
              <w:ind w:left="278"/>
              <w:spacing w:after="0"/>
              <w:rPr>
                <w:sz w:val="20"/>
                <w:szCs w:val="20"/>
                <w:color w:val="auto"/>
              </w:rPr>
            </w:pPr>
            <w:r>
              <w:rPr>
                <w:rFonts w:ascii="Times New Roman" w:cs="Times New Roman" w:eastAsia="Times New Roman" w:hAnsi="Times New Roman"/>
                <w:sz w:val="12"/>
                <w:szCs w:val="12"/>
                <w:b w:val="1"/>
                <w:bCs w:val="1"/>
                <w:color w:val="auto"/>
              </w:rPr>
              <w:t>Stock</w:t>
            </w:r>
          </w:p>
        </w:tc>
        <w:tc>
          <w:tcPr>
            <w:tcW w:w="3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Paid-in</w:t>
            </w:r>
          </w:p>
        </w:tc>
        <w:tc>
          <w:tcPr>
            <w:tcW w:w="120" w:type="dxa"/>
            <w:vAlign w:val="bottom"/>
          </w:tcPr>
          <w:p>
            <w:pPr>
              <w:spacing w:after="0"/>
              <w:rPr>
                <w:sz w:val="17"/>
                <w:szCs w:val="17"/>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Retained</w:t>
            </w:r>
          </w:p>
        </w:tc>
        <w:tc>
          <w:tcPr>
            <w:tcW w:w="12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Comprehensive</w:t>
            </w:r>
          </w:p>
        </w:tc>
        <w:tc>
          <w:tcPr>
            <w:tcW w:w="920" w:type="dxa"/>
            <w:vAlign w:val="bottom"/>
            <w:tcBorders>
              <w:bottom w:val="single" w:sz="8" w:color="auto"/>
            </w:tcBorders>
            <w:gridSpan w:val="3"/>
          </w:tcPr>
          <w:p>
            <w:pPr>
              <w:jc w:val="right"/>
              <w:ind w:right="38"/>
              <w:spacing w:after="0"/>
              <w:rPr>
                <w:sz w:val="20"/>
                <w:szCs w:val="20"/>
                <w:color w:val="auto"/>
              </w:rPr>
            </w:pPr>
            <w:r>
              <w:rPr>
                <w:rFonts w:ascii="Times New Roman" w:cs="Times New Roman" w:eastAsia="Times New Roman" w:hAnsi="Times New Roman"/>
                <w:sz w:val="12"/>
                <w:szCs w:val="12"/>
                <w:b w:val="1"/>
                <w:bCs w:val="1"/>
                <w:color w:val="auto"/>
              </w:rPr>
              <w:t>Stock</w:t>
            </w:r>
          </w:p>
        </w:tc>
        <w:tc>
          <w:tcPr>
            <w:tcW w:w="4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controlling</w:t>
            </w:r>
          </w:p>
        </w:tc>
        <w:tc>
          <w:tcPr>
            <w:tcW w:w="100" w:type="dxa"/>
            <w:vAlign w:val="bottom"/>
          </w:tcPr>
          <w:p>
            <w:pPr>
              <w:spacing w:after="0"/>
              <w:rPr>
                <w:sz w:val="17"/>
                <w:szCs w:val="17"/>
                <w:color w:val="auto"/>
              </w:rPr>
            </w:pPr>
          </w:p>
        </w:tc>
        <w:tc>
          <w:tcPr>
            <w:tcW w:w="560" w:type="dxa"/>
            <w:vAlign w:val="bottom"/>
          </w:tcPr>
          <w:p>
            <w:pPr>
              <w:jc w:val="right"/>
              <w:ind w:right="138"/>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79"/>
        </w:trPr>
        <w:tc>
          <w:tcPr>
            <w:tcW w:w="3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Earnings</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2"/>
                <w:szCs w:val="12"/>
                <w:b w:val="1"/>
                <w:bCs w:val="1"/>
                <w:color w:val="auto"/>
              </w:rPr>
              <w:t>Loss</w:t>
            </w:r>
          </w:p>
        </w:tc>
        <w:tc>
          <w:tcPr>
            <w:tcW w:w="120" w:type="dxa"/>
            <w:vAlign w:val="bottom"/>
          </w:tcPr>
          <w:p>
            <w:pPr>
              <w:spacing w:after="0"/>
              <w:rPr>
                <w:sz w:val="15"/>
                <w:szCs w:val="15"/>
                <w:color w:val="auto"/>
              </w:rPr>
            </w:pPr>
          </w:p>
        </w:tc>
        <w:tc>
          <w:tcPr>
            <w:tcW w:w="66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2"/>
                <w:szCs w:val="12"/>
                <w:b w:val="1"/>
                <w:bCs w:val="1"/>
                <w:color w:val="auto"/>
              </w:rPr>
              <w:t>Interests</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b w:val="1"/>
                <w:bCs w:val="1"/>
                <w:color w:val="auto"/>
              </w:rPr>
              <w:t>Equity</w:t>
            </w:r>
          </w:p>
        </w:tc>
      </w:tr>
      <w:tr>
        <w:trPr>
          <w:trHeight w:val="177"/>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Balance, July 1, 2025</w:t>
            </w:r>
          </w:p>
        </w:tc>
        <w:tc>
          <w:tcPr>
            <w:tcW w:w="660" w:type="dxa"/>
            <w:vAlign w:val="bottom"/>
          </w:tcPr>
          <w:p>
            <w:pPr>
              <w:jc w:val="right"/>
              <w:ind w:right="18"/>
              <w:spacing w:after="0"/>
              <w:rPr>
                <w:sz w:val="20"/>
                <w:szCs w:val="20"/>
                <w:color w:val="auto"/>
              </w:rPr>
            </w:pPr>
            <w:r>
              <w:rPr>
                <w:rFonts w:ascii="Times New Roman" w:cs="Times New Roman" w:eastAsia="Times New Roman" w:hAnsi="Times New Roman"/>
                <w:sz w:val="12"/>
                <w:szCs w:val="12"/>
                <w:color w:val="auto"/>
              </w:rPr>
              <w:t>331</w:t>
            </w:r>
          </w:p>
        </w:tc>
        <w:tc>
          <w:tcPr>
            <w:tcW w:w="100" w:type="dxa"/>
            <w:vAlign w:val="bottom"/>
          </w:tcPr>
          <w:p>
            <w:pPr>
              <w:spacing w:after="0"/>
              <w:rPr>
                <w:sz w:val="15"/>
                <w:szCs w:val="15"/>
                <w:color w:val="auto"/>
              </w:rPr>
            </w:pP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6,022</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Pr>
          <w:p>
            <w:pPr>
              <w:jc w:val="right"/>
              <w:ind w:right="18"/>
              <w:spacing w:after="0"/>
              <w:rPr>
                <w:sz w:val="20"/>
                <w:szCs w:val="20"/>
                <w:color w:val="auto"/>
              </w:rPr>
            </w:pPr>
            <w:r>
              <w:rPr>
                <w:rFonts w:ascii="Times New Roman" w:cs="Times New Roman" w:eastAsia="Times New Roman" w:hAnsi="Times New Roman"/>
                <w:sz w:val="12"/>
                <w:szCs w:val="12"/>
                <w:color w:val="auto"/>
              </w:rPr>
              <w:t>6,071</w:t>
            </w:r>
          </w:p>
        </w:tc>
        <w:tc>
          <w:tcPr>
            <w:tcW w:w="100" w:type="dxa"/>
            <w:vAlign w:val="bottom"/>
          </w:tcPr>
          <w:p>
            <w:pPr>
              <w:spacing w:after="0"/>
              <w:rPr>
                <w:sz w:val="15"/>
                <w:szCs w:val="15"/>
                <w:color w:val="auto"/>
              </w:rPr>
            </w:pP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(1,849)</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w:t>
            </w:r>
          </w:p>
        </w:tc>
        <w:tc>
          <w:tcPr>
            <w:tcW w:w="100" w:type="dxa"/>
            <w:vAlign w:val="bottom"/>
          </w:tcPr>
          <w:p>
            <w:pPr>
              <w:spacing w:after="0"/>
              <w:rPr>
                <w:sz w:val="15"/>
                <w:szCs w:val="15"/>
                <w:color w:val="auto"/>
              </w:rPr>
            </w:pPr>
          </w:p>
        </w:tc>
        <w:tc>
          <w:tcPr>
            <w:tcW w:w="160" w:type="dxa"/>
            <w:vAlign w:val="bottom"/>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(2,338)</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913</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8,819</w:t>
            </w:r>
          </w:p>
        </w:tc>
      </w:tr>
      <w:tr>
        <w:trPr>
          <w:trHeight w:val="141"/>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Other comprehensive earnings - unrealized gain on</w:t>
            </w: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r>
      <w:tr>
        <w:trPr>
          <w:trHeight w:val="186"/>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investments and other financial instruments</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442</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6"/>
                <w:szCs w:val="16"/>
                <w:color w:val="auto"/>
              </w:rPr>
            </w:pP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442</w:t>
            </w:r>
          </w:p>
        </w:tc>
      </w:tr>
      <w:tr>
        <w:trPr>
          <w:trHeight w:val="133"/>
        </w:trPr>
        <w:tc>
          <w:tcPr>
            <w:tcW w:w="3300" w:type="dxa"/>
            <w:vAlign w:val="bottom"/>
            <w:gridSpan w:val="2"/>
          </w:tcPr>
          <w:p>
            <w:pPr>
              <w:ind w:left="20"/>
              <w:spacing w:after="0" w:line="133" w:lineRule="exact"/>
              <w:rPr>
                <w:sz w:val="20"/>
                <w:szCs w:val="20"/>
                <w:color w:val="auto"/>
              </w:rPr>
            </w:pPr>
            <w:r>
              <w:rPr>
                <w:rFonts w:ascii="Times New Roman" w:cs="Times New Roman" w:eastAsia="Times New Roman" w:hAnsi="Times New Roman"/>
                <w:sz w:val="12"/>
                <w:szCs w:val="12"/>
                <w:color w:val="auto"/>
              </w:rPr>
              <w:t>Other comprehensive loss - unrealized loss on foreign currency</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77"/>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translation</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5"/>
                <w:szCs w:val="15"/>
                <w:color w:val="auto"/>
              </w:rPr>
            </w:pP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12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5"/>
                <w:szCs w:val="15"/>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w:t>
            </w:r>
          </w:p>
        </w:tc>
      </w:tr>
      <w:tr>
        <w:trPr>
          <w:trHeight w:val="141"/>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Reclassification adjustments for change in unrealized gains and</w:t>
            </w: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r>
      <w:tr>
        <w:trPr>
          <w:trHeight w:val="186"/>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losses included in net earnings</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6"/>
                <w:szCs w:val="16"/>
                <w:color w:val="auto"/>
              </w:rPr>
            </w:pP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w:t>
            </w:r>
          </w:p>
        </w:tc>
      </w:tr>
      <w:tr>
        <w:trPr>
          <w:trHeight w:val="177"/>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Change in instrument-specific credit risk - market risk benefits</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5"/>
                <w:szCs w:val="15"/>
                <w:color w:val="auto"/>
              </w:rPr>
            </w:pP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w:t>
            </w:r>
          </w:p>
        </w:tc>
        <w:tc>
          <w:tcPr>
            <w:tcW w:w="12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5"/>
                <w:szCs w:val="15"/>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w:t>
            </w:r>
          </w:p>
        </w:tc>
      </w:tr>
      <w:tr>
        <w:trPr>
          <w:trHeight w:val="141"/>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Change in current discount rate - liability for future policy</w:t>
            </w: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r>
      <w:tr>
        <w:trPr>
          <w:trHeight w:val="185"/>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benefits</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(128)</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6"/>
                <w:szCs w:val="16"/>
                <w:color w:val="auto"/>
              </w:rPr>
            </w:pP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(128)</w:t>
            </w:r>
          </w:p>
        </w:tc>
      </w:tr>
      <w:tr>
        <w:trPr>
          <w:trHeight w:val="177"/>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Stock-based compensation</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5"/>
                <w:szCs w:val="15"/>
                <w:color w:val="auto"/>
              </w:rPr>
            </w:pP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5"/>
                <w:szCs w:val="15"/>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w:t>
            </w:r>
          </w:p>
        </w:tc>
      </w:tr>
      <w:tr>
        <w:trPr>
          <w:trHeight w:val="194"/>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Dilution from share issuance by consolidated sub</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6"/>
                <w:szCs w:val="16"/>
                <w:color w:val="auto"/>
              </w:rPr>
            </w:pP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r>
      <w:tr>
        <w:trPr>
          <w:trHeight w:val="177"/>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Repurchases of treasury stock</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5"/>
                <w:szCs w:val="15"/>
                <w:color w:val="auto"/>
              </w:rPr>
            </w:pP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w:t>
            </w:r>
          </w:p>
        </w:tc>
      </w:tr>
      <w:tr>
        <w:trPr>
          <w:trHeight w:val="194"/>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Dividends declared, $0.50 per common share</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6"/>
                <w:szCs w:val="16"/>
                <w:color w:val="auto"/>
              </w:rPr>
            </w:pP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(136)</w:t>
            </w:r>
          </w:p>
        </w:tc>
      </w:tr>
      <w:tr>
        <w:trPr>
          <w:trHeight w:val="133"/>
        </w:trPr>
        <w:tc>
          <w:tcPr>
            <w:tcW w:w="3300" w:type="dxa"/>
            <w:vAlign w:val="bottom"/>
            <w:gridSpan w:val="2"/>
          </w:tcPr>
          <w:p>
            <w:pPr>
              <w:ind w:left="20"/>
              <w:spacing w:after="0" w:line="133" w:lineRule="exact"/>
              <w:rPr>
                <w:sz w:val="20"/>
                <w:szCs w:val="20"/>
                <w:color w:val="auto"/>
              </w:rPr>
            </w:pPr>
            <w:r>
              <w:rPr>
                <w:rFonts w:ascii="Times New Roman" w:cs="Times New Roman" w:eastAsia="Times New Roman" w:hAnsi="Times New Roman"/>
                <w:sz w:val="12"/>
                <w:szCs w:val="12"/>
                <w:color w:val="auto"/>
              </w:rPr>
              <w:t>Other comprehensive loss associated with noncontrolling</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77"/>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interests</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5"/>
                <w:szCs w:val="15"/>
                <w:color w:val="auto"/>
              </w:rPr>
            </w:pP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w:t>
            </w:r>
          </w:p>
        </w:tc>
        <w:tc>
          <w:tcPr>
            <w:tcW w:w="12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5"/>
                <w:szCs w:val="15"/>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94"/>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Subsidiary dividends declared to non-controlling interests</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6"/>
                <w:szCs w:val="16"/>
                <w:color w:val="auto"/>
              </w:rPr>
            </w:pP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w:t>
            </w:r>
          </w:p>
        </w:tc>
      </w:tr>
      <w:tr>
        <w:trPr>
          <w:trHeight w:val="179"/>
        </w:trPr>
        <w:tc>
          <w:tcPr>
            <w:tcW w:w="33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2"/>
                <w:szCs w:val="12"/>
                <w:color w:val="auto"/>
              </w:rPr>
              <w:t>Net earnings</w:t>
            </w:r>
          </w:p>
        </w:tc>
        <w:tc>
          <w:tcPr>
            <w:tcW w:w="6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2"/>
                <w:szCs w:val="12"/>
                <w:color w:val="auto"/>
              </w:rPr>
              <w:t>358</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389</w:t>
            </w:r>
          </w:p>
        </w:tc>
      </w:tr>
      <w:tr>
        <w:trPr>
          <w:trHeight w:val="205"/>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 September 30, 2025</w:t>
            </w:r>
          </w:p>
        </w:tc>
        <w:tc>
          <w:tcPr>
            <w:tcW w:w="6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rPr>
              <w:t>331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6,044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rPr>
              <w:t>6,293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(1,606)</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(2,376)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9,334</w:t>
            </w: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r>
        <w:trPr>
          <w:trHeight w:val="52"/>
        </w:trPr>
        <w:tc>
          <w:tcPr>
            <w:tcW w:w="3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r>
      <w:tr>
        <w:trPr>
          <w:trHeight w:val="186"/>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 July 1, 2026</w:t>
            </w:r>
          </w:p>
        </w:tc>
        <w:tc>
          <w:tcPr>
            <w:tcW w:w="6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rPr>
              <w:t>332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6,088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rPr>
              <w:t>5,734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(1,807)</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(2,562)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1,356</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8,809</w:t>
            </w:r>
          </w:p>
        </w:tc>
      </w:tr>
      <w:tr>
        <w:trPr>
          <w:trHeight w:val="133"/>
        </w:trPr>
        <w:tc>
          <w:tcPr>
            <w:tcW w:w="3300" w:type="dxa"/>
            <w:vAlign w:val="bottom"/>
            <w:gridSpan w:val="2"/>
          </w:tcPr>
          <w:p>
            <w:pPr>
              <w:ind w:left="20"/>
              <w:spacing w:after="0" w:line="133" w:lineRule="exact"/>
              <w:rPr>
                <w:sz w:val="20"/>
                <w:szCs w:val="20"/>
                <w:color w:val="auto"/>
              </w:rPr>
            </w:pPr>
            <w:r>
              <w:rPr>
                <w:rFonts w:ascii="Times New Roman" w:cs="Times New Roman" w:eastAsia="Times New Roman" w:hAnsi="Times New Roman"/>
                <w:sz w:val="12"/>
                <w:szCs w:val="12"/>
                <w:color w:val="auto"/>
              </w:rPr>
              <w:t>Other comprehensive loss - unrealized loss on investments and</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77"/>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other financial instruments</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5"/>
                <w:szCs w:val="15"/>
                <w:color w:val="auto"/>
              </w:rPr>
            </w:pP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(1,526)</w:t>
            </w:r>
          </w:p>
        </w:tc>
        <w:tc>
          <w:tcPr>
            <w:tcW w:w="12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5"/>
                <w:szCs w:val="15"/>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(1,526)</w:t>
            </w:r>
          </w:p>
        </w:tc>
      </w:tr>
      <w:tr>
        <w:trPr>
          <w:trHeight w:val="141"/>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Other comprehensive loss - unrealized loss on foreign currency</w:t>
            </w: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r>
      <w:tr>
        <w:trPr>
          <w:trHeight w:val="185"/>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translation</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6"/>
                <w:szCs w:val="16"/>
                <w:color w:val="auto"/>
              </w:rPr>
            </w:pP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w:t>
            </w:r>
          </w:p>
        </w:tc>
      </w:tr>
      <w:tr>
        <w:trPr>
          <w:trHeight w:val="133"/>
        </w:trPr>
        <w:tc>
          <w:tcPr>
            <w:tcW w:w="3300" w:type="dxa"/>
            <w:vAlign w:val="bottom"/>
            <w:gridSpan w:val="2"/>
          </w:tcPr>
          <w:p>
            <w:pPr>
              <w:ind w:left="20"/>
              <w:spacing w:after="0" w:line="133" w:lineRule="exact"/>
              <w:rPr>
                <w:sz w:val="20"/>
                <w:szCs w:val="20"/>
                <w:color w:val="auto"/>
              </w:rPr>
            </w:pPr>
            <w:r>
              <w:rPr>
                <w:rFonts w:ascii="Times New Roman" w:cs="Times New Roman" w:eastAsia="Times New Roman" w:hAnsi="Times New Roman"/>
                <w:sz w:val="12"/>
                <w:szCs w:val="12"/>
                <w:color w:val="auto"/>
              </w:rPr>
              <w:t>Reclassification adjustments for change in unrealized gains and</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77"/>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losses included in net earnings</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5"/>
                <w:szCs w:val="15"/>
                <w:color w:val="auto"/>
              </w:rPr>
            </w:pP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12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5"/>
                <w:szCs w:val="15"/>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w:t>
            </w:r>
          </w:p>
        </w:tc>
      </w:tr>
      <w:tr>
        <w:trPr>
          <w:trHeight w:val="141"/>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Change in current discount rate — liability for future policy</w:t>
            </w: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r>
      <w:tr>
        <w:trPr>
          <w:trHeight w:val="185"/>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benefits</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484</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6"/>
                <w:szCs w:val="16"/>
                <w:color w:val="auto"/>
              </w:rPr>
            </w:pP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484</w:t>
            </w:r>
          </w:p>
        </w:tc>
      </w:tr>
      <w:tr>
        <w:trPr>
          <w:trHeight w:val="177"/>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Change in instrument-specific credit risk - market risk benefits</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5"/>
                <w:szCs w:val="15"/>
                <w:color w:val="auto"/>
              </w:rPr>
            </w:pP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12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5"/>
                <w:szCs w:val="15"/>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w:t>
            </w:r>
          </w:p>
        </w:tc>
      </w:tr>
      <w:tr>
        <w:trPr>
          <w:trHeight w:val="141"/>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Other comprehensive earnings associated with noncontrolling</w:t>
            </w: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r>
      <w:tr>
        <w:trPr>
          <w:trHeight w:val="186"/>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interests</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262</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6"/>
                <w:szCs w:val="16"/>
                <w:color w:val="auto"/>
              </w:rPr>
            </w:pP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77"/>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Stock-based compensation</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5"/>
                <w:szCs w:val="15"/>
                <w:color w:val="auto"/>
              </w:rPr>
            </w:pP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5"/>
                <w:szCs w:val="15"/>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w:t>
            </w:r>
          </w:p>
        </w:tc>
      </w:tr>
      <w:tr>
        <w:trPr>
          <w:trHeight w:val="194"/>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Repurchases of treasury stock</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w:t>
            </w:r>
          </w:p>
        </w:tc>
      </w:tr>
      <w:tr>
        <w:trPr>
          <w:trHeight w:val="133"/>
        </w:trPr>
        <w:tc>
          <w:tcPr>
            <w:tcW w:w="3300" w:type="dxa"/>
            <w:vAlign w:val="bottom"/>
            <w:gridSpan w:val="2"/>
          </w:tcPr>
          <w:p>
            <w:pPr>
              <w:ind w:left="20"/>
              <w:spacing w:after="0" w:line="133" w:lineRule="exact"/>
              <w:rPr>
                <w:sz w:val="20"/>
                <w:szCs w:val="20"/>
                <w:color w:val="auto"/>
              </w:rPr>
            </w:pPr>
            <w:r>
              <w:rPr>
                <w:rFonts w:ascii="Times New Roman" w:cs="Times New Roman" w:eastAsia="Times New Roman" w:hAnsi="Times New Roman"/>
                <w:sz w:val="12"/>
                <w:szCs w:val="12"/>
                <w:color w:val="auto"/>
              </w:rPr>
              <w:t>Noncontrolling interest associated with current period</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77"/>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acquisitions</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5"/>
                <w:szCs w:val="15"/>
                <w:color w:val="auto"/>
              </w:rPr>
            </w:pP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5"/>
                <w:szCs w:val="15"/>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r>
      <w:tr>
        <w:trPr>
          <w:trHeight w:val="194"/>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Dividends declared, $0.52 per common share</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6"/>
                <w:szCs w:val="16"/>
                <w:color w:val="auto"/>
              </w:rPr>
            </w:pP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(139)</w:t>
            </w:r>
          </w:p>
        </w:tc>
      </w:tr>
      <w:tr>
        <w:trPr>
          <w:trHeight w:val="177"/>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Additional investment in consolidated subsidiary</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5"/>
                <w:szCs w:val="15"/>
                <w:color w:val="auto"/>
              </w:rPr>
            </w:pP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5"/>
                <w:szCs w:val="15"/>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r>
      <w:tr>
        <w:trPr>
          <w:trHeight w:val="194"/>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Noncontrolling interest return of capital</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6"/>
                <w:szCs w:val="16"/>
                <w:color w:val="auto"/>
              </w:rPr>
            </w:pP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r>
      <w:tr>
        <w:trPr>
          <w:trHeight w:val="177"/>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Change in F&amp;G outside tax basis</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5"/>
                <w:szCs w:val="15"/>
                <w:color w:val="auto"/>
              </w:rPr>
            </w:pP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151</w:t>
            </w:r>
          </w:p>
        </w:tc>
        <w:tc>
          <w:tcPr>
            <w:tcW w:w="12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5"/>
                <w:szCs w:val="15"/>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149</w:t>
            </w:r>
          </w:p>
        </w:tc>
      </w:tr>
      <w:tr>
        <w:trPr>
          <w:trHeight w:val="194"/>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Subsidiary dividends declared to non-controlling interests</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6"/>
                <w:szCs w:val="16"/>
                <w:color w:val="auto"/>
              </w:rPr>
            </w:pP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w:t>
            </w:r>
          </w:p>
        </w:tc>
      </w:tr>
      <w:tr>
        <w:trPr>
          <w:trHeight w:val="179"/>
        </w:trPr>
        <w:tc>
          <w:tcPr>
            <w:tcW w:w="33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2"/>
                <w:szCs w:val="12"/>
                <w:color w:val="auto"/>
              </w:rPr>
              <w:t>Net earnings</w:t>
            </w:r>
          </w:p>
        </w:tc>
        <w:tc>
          <w:tcPr>
            <w:tcW w:w="6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2"/>
                <w:szCs w:val="12"/>
                <w:color w:val="auto"/>
              </w:rPr>
              <w:t>633</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215</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848</w:t>
            </w:r>
          </w:p>
        </w:tc>
      </w:tr>
      <w:tr>
        <w:trPr>
          <w:trHeight w:val="205"/>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 September 30, 2026</w:t>
            </w:r>
          </w:p>
        </w:tc>
        <w:tc>
          <w:tcPr>
            <w:tcW w:w="6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rPr>
              <w:t>332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6,108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rPr>
              <w:t>6,228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(2,398)</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(2,567)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1,290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8,661</w:t>
            </w: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ectPr>
          <w:pgSz w:w="11900" w:h="16838" w:orient="portrait"/>
          <w:cols w:equalWidth="0" w:num="1">
            <w:col w:w="11140"/>
          </w:cols>
          <w:pgMar w:left="320" w:top="121"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91440</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(Unaudited)</w:t>
      </w:r>
    </w:p>
    <w:p>
      <w:pPr>
        <w:spacing w:after="0" w:line="37" w:lineRule="exact"/>
        <w:rPr>
          <w:sz w:val="20"/>
          <w:szCs w:val="20"/>
          <w:color w:val="auto"/>
        </w:rPr>
      </w:pPr>
    </w:p>
    <w:tbl>
      <w:tblPr>
        <w:tblLayout w:type="fixed"/>
        <w:tblInd w:w="120" w:type="dxa"/>
        <w:tblCellMar>
          <w:top w:w="0" w:type="dxa"/>
          <w:left w:w="0" w:type="dxa"/>
          <w:bottom w:w="0" w:type="dxa"/>
          <w:right w:w="0" w:type="dxa"/>
        </w:tblCellMar>
      </w:tblPr>
      <w:tr>
        <w:trPr>
          <w:trHeight w:val="172"/>
        </w:trPr>
        <w:tc>
          <w:tcPr>
            <w:tcW w:w="3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12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2"/>
                <w:szCs w:val="12"/>
                <w:b w:val="1"/>
                <w:bCs w:val="1"/>
                <w:color w:val="auto"/>
              </w:rPr>
              <w:t>Fidelity National Financial, Inc. Common Shareholders</w:t>
            </w: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3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3"/>
          </w:tcPr>
          <w:p>
            <w:pPr>
              <w:jc w:val="center"/>
              <w:ind w:left="298"/>
              <w:spacing w:after="0"/>
              <w:rPr>
                <w:sz w:val="20"/>
                <w:szCs w:val="20"/>
                <w:color w:val="auto"/>
              </w:rPr>
            </w:pPr>
            <w:r>
              <w:rPr>
                <w:rFonts w:ascii="Times New Roman" w:cs="Times New Roman" w:eastAsia="Times New Roman" w:hAnsi="Times New Roman"/>
                <w:sz w:val="12"/>
                <w:szCs w:val="12"/>
                <w:b w:val="1"/>
                <w:bCs w:val="1"/>
                <w:color w:val="auto"/>
              </w:rPr>
              <w:t>FNF</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86"/>
        </w:trPr>
        <w:tc>
          <w:tcPr>
            <w:tcW w:w="3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3"/>
          </w:tcPr>
          <w:p>
            <w:pPr>
              <w:jc w:val="center"/>
              <w:ind w:left="298"/>
              <w:spacing w:after="0"/>
              <w:rPr>
                <w:sz w:val="20"/>
                <w:szCs w:val="20"/>
                <w:color w:val="auto"/>
              </w:rPr>
            </w:pPr>
            <w:r>
              <w:rPr>
                <w:rFonts w:ascii="Times New Roman" w:cs="Times New Roman" w:eastAsia="Times New Roman" w:hAnsi="Times New Roman"/>
                <w:sz w:val="12"/>
                <w:szCs w:val="12"/>
                <w:b w:val="1"/>
                <w:bCs w:val="1"/>
                <w:color w:val="auto"/>
              </w:rPr>
              <w:t>Common</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Other</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Treasury</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Non-</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96"/>
        </w:trPr>
        <w:tc>
          <w:tcPr>
            <w:tcW w:w="3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Borders>
              <w:bottom w:val="single" w:sz="8" w:color="auto"/>
            </w:tcBorders>
            <w:gridSpan w:val="3"/>
          </w:tcPr>
          <w:p>
            <w:pPr>
              <w:jc w:val="center"/>
              <w:ind w:left="278"/>
              <w:spacing w:after="0"/>
              <w:rPr>
                <w:sz w:val="20"/>
                <w:szCs w:val="20"/>
                <w:color w:val="auto"/>
              </w:rPr>
            </w:pPr>
            <w:r>
              <w:rPr>
                <w:rFonts w:ascii="Times New Roman" w:cs="Times New Roman" w:eastAsia="Times New Roman" w:hAnsi="Times New Roman"/>
                <w:sz w:val="12"/>
                <w:szCs w:val="12"/>
                <w:b w:val="1"/>
                <w:bCs w:val="1"/>
                <w:color w:val="auto"/>
              </w:rPr>
              <w:t>Stock</w:t>
            </w:r>
          </w:p>
        </w:tc>
        <w:tc>
          <w:tcPr>
            <w:tcW w:w="3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Paid-in</w:t>
            </w:r>
          </w:p>
        </w:tc>
        <w:tc>
          <w:tcPr>
            <w:tcW w:w="120" w:type="dxa"/>
            <w:vAlign w:val="bottom"/>
          </w:tcPr>
          <w:p>
            <w:pPr>
              <w:spacing w:after="0"/>
              <w:rPr>
                <w:sz w:val="17"/>
                <w:szCs w:val="17"/>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Retained</w:t>
            </w:r>
          </w:p>
        </w:tc>
        <w:tc>
          <w:tcPr>
            <w:tcW w:w="12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Comprehensive</w:t>
            </w:r>
          </w:p>
        </w:tc>
        <w:tc>
          <w:tcPr>
            <w:tcW w:w="920" w:type="dxa"/>
            <w:vAlign w:val="bottom"/>
            <w:tcBorders>
              <w:bottom w:val="single" w:sz="8" w:color="auto"/>
            </w:tcBorders>
            <w:gridSpan w:val="3"/>
          </w:tcPr>
          <w:p>
            <w:pPr>
              <w:jc w:val="right"/>
              <w:ind w:right="38"/>
              <w:spacing w:after="0"/>
              <w:rPr>
                <w:sz w:val="20"/>
                <w:szCs w:val="20"/>
                <w:color w:val="auto"/>
              </w:rPr>
            </w:pPr>
            <w:r>
              <w:rPr>
                <w:rFonts w:ascii="Times New Roman" w:cs="Times New Roman" w:eastAsia="Times New Roman" w:hAnsi="Times New Roman"/>
                <w:sz w:val="12"/>
                <w:szCs w:val="12"/>
                <w:b w:val="1"/>
                <w:bCs w:val="1"/>
                <w:color w:val="auto"/>
              </w:rPr>
              <w:t>Stock</w:t>
            </w:r>
          </w:p>
        </w:tc>
        <w:tc>
          <w:tcPr>
            <w:tcW w:w="4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controlling</w:t>
            </w:r>
          </w:p>
        </w:tc>
        <w:tc>
          <w:tcPr>
            <w:tcW w:w="100" w:type="dxa"/>
            <w:vAlign w:val="bottom"/>
          </w:tcPr>
          <w:p>
            <w:pPr>
              <w:spacing w:after="0"/>
              <w:rPr>
                <w:sz w:val="17"/>
                <w:szCs w:val="17"/>
                <w:color w:val="auto"/>
              </w:rPr>
            </w:pPr>
          </w:p>
        </w:tc>
        <w:tc>
          <w:tcPr>
            <w:tcW w:w="560" w:type="dxa"/>
            <w:vAlign w:val="bottom"/>
          </w:tcPr>
          <w:p>
            <w:pPr>
              <w:jc w:val="right"/>
              <w:ind w:right="138"/>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79"/>
        </w:trPr>
        <w:tc>
          <w:tcPr>
            <w:tcW w:w="3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Earnings</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2"/>
                <w:szCs w:val="12"/>
                <w:b w:val="1"/>
                <w:bCs w:val="1"/>
                <w:color w:val="auto"/>
              </w:rPr>
              <w:t>Loss</w:t>
            </w:r>
          </w:p>
        </w:tc>
        <w:tc>
          <w:tcPr>
            <w:tcW w:w="120" w:type="dxa"/>
            <w:vAlign w:val="bottom"/>
          </w:tcPr>
          <w:p>
            <w:pPr>
              <w:spacing w:after="0"/>
              <w:rPr>
                <w:sz w:val="15"/>
                <w:szCs w:val="15"/>
                <w:color w:val="auto"/>
              </w:rPr>
            </w:pPr>
          </w:p>
        </w:tc>
        <w:tc>
          <w:tcPr>
            <w:tcW w:w="66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2"/>
                <w:szCs w:val="12"/>
                <w:b w:val="1"/>
                <w:bCs w:val="1"/>
                <w:color w:val="auto"/>
              </w:rPr>
              <w:t>Interests</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b w:val="1"/>
                <w:bCs w:val="1"/>
                <w:color w:val="auto"/>
              </w:rPr>
              <w:t>Equity</w:t>
            </w:r>
          </w:p>
        </w:tc>
      </w:tr>
      <w:tr>
        <w:trPr>
          <w:trHeight w:val="177"/>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Balance, January 1, 2025</w:t>
            </w:r>
          </w:p>
        </w:tc>
        <w:tc>
          <w:tcPr>
            <w:tcW w:w="660" w:type="dxa"/>
            <w:vAlign w:val="bottom"/>
          </w:tcPr>
          <w:p>
            <w:pPr>
              <w:jc w:val="right"/>
              <w:ind w:right="18"/>
              <w:spacing w:after="0"/>
              <w:rPr>
                <w:sz w:val="20"/>
                <w:szCs w:val="20"/>
                <w:color w:val="auto"/>
              </w:rPr>
            </w:pPr>
            <w:r>
              <w:rPr>
                <w:rFonts w:ascii="Times New Roman" w:cs="Times New Roman" w:eastAsia="Times New Roman" w:hAnsi="Times New Roman"/>
                <w:sz w:val="12"/>
                <w:szCs w:val="12"/>
                <w:color w:val="auto"/>
              </w:rPr>
              <w:t>331</w:t>
            </w:r>
          </w:p>
        </w:tc>
        <w:tc>
          <w:tcPr>
            <w:tcW w:w="100" w:type="dxa"/>
            <w:vAlign w:val="bottom"/>
          </w:tcPr>
          <w:p>
            <w:pPr>
              <w:spacing w:after="0"/>
              <w:rPr>
                <w:sz w:val="15"/>
                <w:szCs w:val="15"/>
                <w:color w:val="auto"/>
              </w:rPr>
            </w:pP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5,976</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Pr>
          <w:p>
            <w:pPr>
              <w:jc w:val="right"/>
              <w:ind w:right="18"/>
              <w:spacing w:after="0"/>
              <w:rPr>
                <w:sz w:val="20"/>
                <w:szCs w:val="20"/>
                <w:color w:val="auto"/>
              </w:rPr>
            </w:pPr>
            <w:r>
              <w:rPr>
                <w:rFonts w:ascii="Times New Roman" w:cs="Times New Roman" w:eastAsia="Times New Roman" w:hAnsi="Times New Roman"/>
                <w:sz w:val="12"/>
                <w:szCs w:val="12"/>
                <w:color w:val="auto"/>
              </w:rPr>
              <w:t>5,982</w:t>
            </w:r>
          </w:p>
        </w:tc>
        <w:tc>
          <w:tcPr>
            <w:tcW w:w="100" w:type="dxa"/>
            <w:vAlign w:val="bottom"/>
          </w:tcPr>
          <w:p>
            <w:pPr>
              <w:spacing w:after="0"/>
              <w:rPr>
                <w:sz w:val="15"/>
                <w:szCs w:val="15"/>
                <w:color w:val="auto"/>
              </w:rPr>
            </w:pP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(2,052)</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w:t>
            </w:r>
          </w:p>
        </w:tc>
        <w:tc>
          <w:tcPr>
            <w:tcW w:w="100" w:type="dxa"/>
            <w:vAlign w:val="bottom"/>
          </w:tcPr>
          <w:p>
            <w:pPr>
              <w:spacing w:after="0"/>
              <w:rPr>
                <w:sz w:val="15"/>
                <w:szCs w:val="15"/>
                <w:color w:val="auto"/>
              </w:rPr>
            </w:pPr>
          </w:p>
        </w:tc>
        <w:tc>
          <w:tcPr>
            <w:tcW w:w="160" w:type="dxa"/>
            <w:vAlign w:val="bottom"/>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(2,152)</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778</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8,532</w:t>
            </w:r>
          </w:p>
        </w:tc>
      </w:tr>
      <w:tr>
        <w:trPr>
          <w:trHeight w:val="194"/>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Exercise of stock options</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6"/>
                <w:szCs w:val="16"/>
                <w:color w:val="auto"/>
              </w:rPr>
            </w:pP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w:t>
            </w:r>
          </w:p>
        </w:tc>
      </w:tr>
      <w:tr>
        <w:trPr>
          <w:trHeight w:val="177"/>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Treasury stock repurchased</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5"/>
                <w:szCs w:val="15"/>
                <w:color w:val="auto"/>
              </w:rPr>
            </w:pP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(224)</w:t>
            </w:r>
          </w:p>
        </w:tc>
      </w:tr>
      <w:tr>
        <w:trPr>
          <w:trHeight w:val="194"/>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Purchase of incremental share in consolidated subs</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6"/>
                <w:szCs w:val="16"/>
                <w:color w:val="auto"/>
              </w:rPr>
            </w:pP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w:t>
            </w:r>
          </w:p>
        </w:tc>
      </w:tr>
      <w:tr>
        <w:trPr>
          <w:trHeight w:val="133"/>
        </w:trPr>
        <w:tc>
          <w:tcPr>
            <w:tcW w:w="3300" w:type="dxa"/>
            <w:vAlign w:val="bottom"/>
            <w:gridSpan w:val="2"/>
          </w:tcPr>
          <w:p>
            <w:pPr>
              <w:ind w:left="20"/>
              <w:spacing w:after="0" w:line="133" w:lineRule="exact"/>
              <w:rPr>
                <w:sz w:val="20"/>
                <w:szCs w:val="20"/>
                <w:color w:val="auto"/>
              </w:rPr>
            </w:pPr>
            <w:r>
              <w:rPr>
                <w:rFonts w:ascii="Times New Roman" w:cs="Times New Roman" w:eastAsia="Times New Roman" w:hAnsi="Times New Roman"/>
                <w:sz w:val="12"/>
                <w:szCs w:val="12"/>
                <w:color w:val="auto"/>
              </w:rPr>
              <w:t>Other comprehensive earnings - unrealized gain on</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77"/>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investments and other financial instruments</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5"/>
                <w:szCs w:val="15"/>
                <w:color w:val="auto"/>
              </w:rPr>
            </w:pP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847</w:t>
            </w:r>
          </w:p>
        </w:tc>
        <w:tc>
          <w:tcPr>
            <w:tcW w:w="12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5"/>
                <w:szCs w:val="15"/>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847</w:t>
            </w:r>
          </w:p>
        </w:tc>
      </w:tr>
      <w:tr>
        <w:trPr>
          <w:trHeight w:val="141"/>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Other comprehensive earnings - unrealized gain on</w:t>
            </w: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r>
      <w:tr>
        <w:trPr>
          <w:trHeight w:val="186"/>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investments in unconsolidated affiliates</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6"/>
                <w:szCs w:val="16"/>
                <w:color w:val="auto"/>
              </w:rPr>
            </w:pP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w:t>
            </w:r>
          </w:p>
        </w:tc>
      </w:tr>
      <w:tr>
        <w:trPr>
          <w:trHeight w:val="133"/>
        </w:trPr>
        <w:tc>
          <w:tcPr>
            <w:tcW w:w="3300" w:type="dxa"/>
            <w:vAlign w:val="bottom"/>
            <w:gridSpan w:val="2"/>
          </w:tcPr>
          <w:p>
            <w:pPr>
              <w:ind w:left="20"/>
              <w:spacing w:after="0" w:line="133" w:lineRule="exact"/>
              <w:rPr>
                <w:sz w:val="20"/>
                <w:szCs w:val="20"/>
                <w:color w:val="auto"/>
              </w:rPr>
            </w:pPr>
            <w:r>
              <w:rPr>
                <w:rFonts w:ascii="Times New Roman" w:cs="Times New Roman" w:eastAsia="Times New Roman" w:hAnsi="Times New Roman"/>
                <w:sz w:val="12"/>
                <w:szCs w:val="12"/>
                <w:color w:val="auto"/>
              </w:rPr>
              <w:t>Other comprehensive earnings - unrealized gain on foreign</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77"/>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currency translation</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5"/>
                <w:szCs w:val="15"/>
                <w:color w:val="auto"/>
              </w:rPr>
            </w:pP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12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5"/>
                <w:szCs w:val="15"/>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w:t>
            </w:r>
          </w:p>
        </w:tc>
      </w:tr>
      <w:tr>
        <w:trPr>
          <w:trHeight w:val="141"/>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Reclassification adjustments for change in unrealized gains and</w:t>
            </w: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r>
      <w:tr>
        <w:trPr>
          <w:trHeight w:val="186"/>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losses included in net earnings</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6"/>
                <w:szCs w:val="16"/>
                <w:color w:val="auto"/>
              </w:rPr>
            </w:pP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w:t>
            </w:r>
          </w:p>
        </w:tc>
      </w:tr>
      <w:tr>
        <w:trPr>
          <w:trHeight w:val="133"/>
        </w:trPr>
        <w:tc>
          <w:tcPr>
            <w:tcW w:w="3300" w:type="dxa"/>
            <w:vAlign w:val="bottom"/>
            <w:gridSpan w:val="2"/>
          </w:tcPr>
          <w:p>
            <w:pPr>
              <w:ind w:left="20"/>
              <w:spacing w:after="0" w:line="133" w:lineRule="exact"/>
              <w:rPr>
                <w:sz w:val="20"/>
                <w:szCs w:val="20"/>
                <w:color w:val="auto"/>
              </w:rPr>
            </w:pPr>
            <w:r>
              <w:rPr>
                <w:rFonts w:ascii="Times New Roman" w:cs="Times New Roman" w:eastAsia="Times New Roman" w:hAnsi="Times New Roman"/>
                <w:sz w:val="12"/>
                <w:szCs w:val="12"/>
                <w:color w:val="auto"/>
              </w:rPr>
              <w:t>Change in current discount rate — liability for future policy</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77"/>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benefits</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5"/>
                <w:szCs w:val="15"/>
                <w:color w:val="auto"/>
              </w:rPr>
            </w:pP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(260)</w:t>
            </w:r>
          </w:p>
        </w:tc>
        <w:tc>
          <w:tcPr>
            <w:tcW w:w="12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5"/>
                <w:szCs w:val="15"/>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(260)</w:t>
            </w:r>
          </w:p>
        </w:tc>
      </w:tr>
      <w:tr>
        <w:trPr>
          <w:trHeight w:val="194"/>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Change in instrument-specific credit risk - market risk benefits</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6"/>
                <w:szCs w:val="16"/>
                <w:color w:val="auto"/>
              </w:rPr>
            </w:pP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w:t>
            </w:r>
          </w:p>
        </w:tc>
      </w:tr>
      <w:tr>
        <w:trPr>
          <w:trHeight w:val="133"/>
        </w:trPr>
        <w:tc>
          <w:tcPr>
            <w:tcW w:w="3300" w:type="dxa"/>
            <w:vAlign w:val="bottom"/>
            <w:gridSpan w:val="2"/>
          </w:tcPr>
          <w:p>
            <w:pPr>
              <w:ind w:left="20"/>
              <w:spacing w:after="0" w:line="133" w:lineRule="exact"/>
              <w:rPr>
                <w:sz w:val="20"/>
                <w:szCs w:val="20"/>
                <w:color w:val="auto"/>
              </w:rPr>
            </w:pPr>
            <w:r>
              <w:rPr>
                <w:rFonts w:ascii="Times New Roman" w:cs="Times New Roman" w:eastAsia="Times New Roman" w:hAnsi="Times New Roman"/>
                <w:sz w:val="12"/>
                <w:szCs w:val="12"/>
                <w:color w:val="auto"/>
              </w:rPr>
              <w:t>Other comprehensive loss associated with noncontrolling</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77"/>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interests</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5"/>
                <w:szCs w:val="15"/>
                <w:color w:val="auto"/>
              </w:rPr>
            </w:pP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w:t>
            </w:r>
          </w:p>
        </w:tc>
        <w:tc>
          <w:tcPr>
            <w:tcW w:w="12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5"/>
                <w:szCs w:val="15"/>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94"/>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Stock-based compensation</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6"/>
                <w:szCs w:val="16"/>
                <w:color w:val="auto"/>
              </w:rPr>
            </w:pP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w:t>
            </w:r>
          </w:p>
        </w:tc>
      </w:tr>
      <w:tr>
        <w:trPr>
          <w:trHeight w:val="177"/>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Dilution from share issuance by consolidated subsidiary</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5"/>
                <w:szCs w:val="15"/>
                <w:color w:val="auto"/>
              </w:rPr>
            </w:pP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5"/>
                <w:szCs w:val="15"/>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94"/>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F&amp;G common stock offering</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6"/>
                <w:szCs w:val="16"/>
                <w:color w:val="auto"/>
              </w:rPr>
            </w:pP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109</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117</w:t>
            </w:r>
          </w:p>
        </w:tc>
      </w:tr>
      <w:tr>
        <w:trPr>
          <w:trHeight w:val="177"/>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Dividends declared, $1.50 per common share</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5"/>
                <w:szCs w:val="15"/>
                <w:color w:val="auto"/>
              </w:rPr>
            </w:pP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5"/>
                <w:szCs w:val="15"/>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(408)</w:t>
            </w:r>
          </w:p>
        </w:tc>
      </w:tr>
      <w:tr>
        <w:trPr>
          <w:trHeight w:val="194"/>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Subsidiary equity repurchases</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6"/>
                <w:szCs w:val="16"/>
                <w:color w:val="auto"/>
              </w:rPr>
            </w:pP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r>
      <w:tr>
        <w:trPr>
          <w:trHeight w:val="177"/>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Subsidiary dividends declared to non-controlling interests</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5"/>
                <w:szCs w:val="15"/>
                <w:color w:val="auto"/>
              </w:rPr>
            </w:pP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5"/>
                <w:szCs w:val="15"/>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w:t>
            </w:r>
          </w:p>
        </w:tc>
      </w:tr>
      <w:tr>
        <w:trPr>
          <w:trHeight w:val="187"/>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earnings</w:t>
            </w:r>
          </w:p>
        </w:tc>
        <w:tc>
          <w:tcPr>
            <w:tcW w:w="6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rPr>
              <w:t>719</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765</w:t>
            </w:r>
          </w:p>
        </w:tc>
      </w:tr>
      <w:tr>
        <w:trPr>
          <w:trHeight w:val="186"/>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Balance, September 30, 2025</w:t>
            </w:r>
          </w:p>
        </w:tc>
        <w:tc>
          <w:tcPr>
            <w:tcW w:w="660" w:type="dxa"/>
            <w:vAlign w:val="bottom"/>
          </w:tcPr>
          <w:p>
            <w:pPr>
              <w:jc w:val="right"/>
              <w:ind w:right="18"/>
              <w:spacing w:after="0"/>
              <w:rPr>
                <w:sz w:val="20"/>
                <w:szCs w:val="20"/>
                <w:color w:val="auto"/>
              </w:rPr>
            </w:pPr>
            <w:r>
              <w:rPr>
                <w:rFonts w:ascii="Times New Roman" w:cs="Times New Roman" w:eastAsia="Times New Roman" w:hAnsi="Times New Roman"/>
                <w:sz w:val="12"/>
                <w:szCs w:val="12"/>
                <w:color w:val="auto"/>
              </w:rPr>
              <w:t>331</w:t>
            </w:r>
          </w:p>
        </w:tc>
        <w:tc>
          <w:tcPr>
            <w:tcW w:w="100" w:type="dxa"/>
            <w:vAlign w:val="bottom"/>
          </w:tcPr>
          <w:p>
            <w:pPr>
              <w:spacing w:after="0"/>
              <w:rPr>
                <w:sz w:val="16"/>
                <w:szCs w:val="16"/>
                <w:color w:val="auto"/>
              </w:rPr>
            </w:pP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6,044</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Pr>
          <w:p>
            <w:pPr>
              <w:jc w:val="right"/>
              <w:ind w:right="18"/>
              <w:spacing w:after="0"/>
              <w:rPr>
                <w:sz w:val="20"/>
                <w:szCs w:val="20"/>
                <w:color w:val="auto"/>
              </w:rPr>
            </w:pPr>
            <w:r>
              <w:rPr>
                <w:rFonts w:ascii="Times New Roman" w:cs="Times New Roman" w:eastAsia="Times New Roman" w:hAnsi="Times New Roman"/>
                <w:sz w:val="12"/>
                <w:szCs w:val="12"/>
                <w:color w:val="auto"/>
              </w:rPr>
              <w:t>6,293</w:t>
            </w:r>
          </w:p>
        </w:tc>
        <w:tc>
          <w:tcPr>
            <w:tcW w:w="100" w:type="dxa"/>
            <w:vAlign w:val="bottom"/>
          </w:tcPr>
          <w:p>
            <w:pPr>
              <w:spacing w:after="0"/>
              <w:rPr>
                <w:sz w:val="16"/>
                <w:szCs w:val="16"/>
                <w:color w:val="auto"/>
              </w:rPr>
            </w:pP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(1,606)</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w:t>
            </w:r>
          </w:p>
        </w:tc>
        <w:tc>
          <w:tcPr>
            <w:tcW w:w="100" w:type="dxa"/>
            <w:vAlign w:val="bottom"/>
          </w:tcPr>
          <w:p>
            <w:pPr>
              <w:spacing w:after="0"/>
              <w:rPr>
                <w:sz w:val="16"/>
                <w:szCs w:val="16"/>
                <w:color w:val="auto"/>
              </w:rPr>
            </w:pPr>
          </w:p>
        </w:tc>
        <w:tc>
          <w:tcPr>
            <w:tcW w:w="160" w:type="dxa"/>
            <w:vAlign w:val="bottom"/>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(2,376)</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979</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9,334</w:t>
            </w:r>
          </w:p>
        </w:tc>
      </w:tr>
      <w:tr>
        <w:trPr>
          <w:trHeight w:val="20"/>
        </w:trPr>
        <w:tc>
          <w:tcPr>
            <w:tcW w:w="3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r>
        <w:trPr>
          <w:trHeight w:val="73"/>
        </w:trPr>
        <w:tc>
          <w:tcPr>
            <w:tcW w:w="31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r>
      <w:tr>
        <w:trPr>
          <w:trHeight w:val="177"/>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Balance, January 1, 2026</w:t>
            </w:r>
          </w:p>
        </w:tc>
        <w:tc>
          <w:tcPr>
            <w:tcW w:w="660" w:type="dxa"/>
            <w:vAlign w:val="bottom"/>
          </w:tcPr>
          <w:p>
            <w:pPr>
              <w:jc w:val="right"/>
              <w:ind w:right="18"/>
              <w:spacing w:after="0"/>
              <w:rPr>
                <w:sz w:val="20"/>
                <w:szCs w:val="20"/>
                <w:color w:val="auto"/>
              </w:rPr>
            </w:pPr>
            <w:r>
              <w:rPr>
                <w:rFonts w:ascii="Times New Roman" w:cs="Times New Roman" w:eastAsia="Times New Roman" w:hAnsi="Times New Roman"/>
                <w:sz w:val="12"/>
                <w:szCs w:val="12"/>
                <w:color w:val="auto"/>
              </w:rPr>
              <w:t>332</w:t>
            </w:r>
          </w:p>
        </w:tc>
        <w:tc>
          <w:tcPr>
            <w:tcW w:w="100" w:type="dxa"/>
            <w:vAlign w:val="bottom"/>
          </w:tcPr>
          <w:p>
            <w:pPr>
              <w:spacing w:after="0"/>
              <w:rPr>
                <w:sz w:val="15"/>
                <w:szCs w:val="15"/>
                <w:color w:val="auto"/>
              </w:rPr>
            </w:pP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6,042</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Pr>
          <w:p>
            <w:pPr>
              <w:jc w:val="right"/>
              <w:ind w:right="18"/>
              <w:spacing w:after="0"/>
              <w:rPr>
                <w:sz w:val="20"/>
                <w:szCs w:val="20"/>
                <w:color w:val="auto"/>
              </w:rPr>
            </w:pPr>
            <w:r>
              <w:rPr>
                <w:rFonts w:ascii="Times New Roman" w:cs="Times New Roman" w:eastAsia="Times New Roman" w:hAnsi="Times New Roman"/>
                <w:sz w:val="12"/>
                <w:szCs w:val="12"/>
                <w:color w:val="auto"/>
              </w:rPr>
              <w:t>5,484</w:t>
            </w:r>
          </w:p>
        </w:tc>
        <w:tc>
          <w:tcPr>
            <w:tcW w:w="100" w:type="dxa"/>
            <w:vAlign w:val="bottom"/>
          </w:tcPr>
          <w:p>
            <w:pPr>
              <w:spacing w:after="0"/>
              <w:rPr>
                <w:sz w:val="15"/>
                <w:szCs w:val="15"/>
                <w:color w:val="auto"/>
              </w:rPr>
            </w:pP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(1,678)</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w:t>
            </w:r>
          </w:p>
        </w:tc>
        <w:tc>
          <w:tcPr>
            <w:tcW w:w="100" w:type="dxa"/>
            <w:vAlign w:val="bottom"/>
          </w:tcPr>
          <w:p>
            <w:pPr>
              <w:spacing w:after="0"/>
              <w:rPr>
                <w:sz w:val="15"/>
                <w:szCs w:val="15"/>
                <w:color w:val="auto"/>
              </w:rPr>
            </w:pPr>
          </w:p>
        </w:tc>
        <w:tc>
          <w:tcPr>
            <w:tcW w:w="160" w:type="dxa"/>
            <w:vAlign w:val="bottom"/>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(2,424)</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1,548</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8,972</w:t>
            </w:r>
          </w:p>
        </w:tc>
      </w:tr>
      <w:tr>
        <w:trPr>
          <w:trHeight w:val="141"/>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Other comprehensive loss — unrealized loss on investments</w:t>
            </w: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r>
      <w:tr>
        <w:trPr>
          <w:trHeight w:val="185"/>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and other financial instruments</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(2,002)</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6"/>
                <w:szCs w:val="16"/>
                <w:color w:val="auto"/>
              </w:rPr>
            </w:pP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(2,002)</w:t>
            </w:r>
          </w:p>
        </w:tc>
      </w:tr>
      <w:tr>
        <w:trPr>
          <w:trHeight w:val="133"/>
        </w:trPr>
        <w:tc>
          <w:tcPr>
            <w:tcW w:w="3300" w:type="dxa"/>
            <w:vAlign w:val="bottom"/>
            <w:gridSpan w:val="2"/>
          </w:tcPr>
          <w:p>
            <w:pPr>
              <w:ind w:left="20"/>
              <w:spacing w:after="0" w:line="133" w:lineRule="exact"/>
              <w:rPr>
                <w:sz w:val="20"/>
                <w:szCs w:val="20"/>
                <w:color w:val="auto"/>
              </w:rPr>
            </w:pPr>
            <w:r>
              <w:rPr>
                <w:rFonts w:ascii="Times New Roman" w:cs="Times New Roman" w:eastAsia="Times New Roman" w:hAnsi="Times New Roman"/>
                <w:sz w:val="12"/>
                <w:szCs w:val="12"/>
                <w:color w:val="auto"/>
              </w:rPr>
              <w:t>Other comprehensive loss — unrealized loss on foreign</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77"/>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currency translation</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5"/>
                <w:szCs w:val="15"/>
                <w:color w:val="auto"/>
              </w:rPr>
            </w:pP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w:t>
            </w:r>
          </w:p>
        </w:tc>
        <w:tc>
          <w:tcPr>
            <w:tcW w:w="12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5"/>
                <w:szCs w:val="15"/>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w:t>
            </w:r>
          </w:p>
        </w:tc>
      </w:tr>
      <w:tr>
        <w:trPr>
          <w:trHeight w:val="141"/>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Reclassification adjustments for change in unrealized gains and</w:t>
            </w: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r>
      <w:tr>
        <w:trPr>
          <w:trHeight w:val="185"/>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losses included in net earnings</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158</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6"/>
                <w:szCs w:val="16"/>
                <w:color w:val="auto"/>
              </w:rPr>
            </w:pP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158</w:t>
            </w:r>
          </w:p>
        </w:tc>
      </w:tr>
      <w:tr>
        <w:trPr>
          <w:trHeight w:val="133"/>
        </w:trPr>
        <w:tc>
          <w:tcPr>
            <w:tcW w:w="3300" w:type="dxa"/>
            <w:vAlign w:val="bottom"/>
            <w:gridSpan w:val="2"/>
          </w:tcPr>
          <w:p>
            <w:pPr>
              <w:ind w:left="20"/>
              <w:spacing w:after="0" w:line="133" w:lineRule="exact"/>
              <w:rPr>
                <w:sz w:val="20"/>
                <w:szCs w:val="20"/>
                <w:color w:val="auto"/>
              </w:rPr>
            </w:pPr>
            <w:r>
              <w:rPr>
                <w:rFonts w:ascii="Times New Roman" w:cs="Times New Roman" w:eastAsia="Times New Roman" w:hAnsi="Times New Roman"/>
                <w:sz w:val="12"/>
                <w:szCs w:val="12"/>
                <w:color w:val="auto"/>
              </w:rPr>
              <w:t>Change in current discount rate - liability for future policy</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77"/>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benefits</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5"/>
                <w:szCs w:val="15"/>
                <w:color w:val="auto"/>
              </w:rPr>
            </w:pP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637</w:t>
            </w:r>
          </w:p>
        </w:tc>
        <w:tc>
          <w:tcPr>
            <w:tcW w:w="12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5"/>
                <w:szCs w:val="15"/>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637</w:t>
            </w:r>
          </w:p>
        </w:tc>
      </w:tr>
      <w:tr>
        <w:trPr>
          <w:trHeight w:val="194"/>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Change in instrument-specific credit risk - market risk benefits</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6"/>
                <w:szCs w:val="16"/>
                <w:color w:val="auto"/>
              </w:rPr>
            </w:pP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w:t>
            </w:r>
          </w:p>
        </w:tc>
      </w:tr>
      <w:tr>
        <w:trPr>
          <w:trHeight w:val="133"/>
        </w:trPr>
        <w:tc>
          <w:tcPr>
            <w:tcW w:w="3300" w:type="dxa"/>
            <w:vAlign w:val="bottom"/>
            <w:gridSpan w:val="2"/>
          </w:tcPr>
          <w:p>
            <w:pPr>
              <w:ind w:left="20"/>
              <w:spacing w:after="0" w:line="133" w:lineRule="exact"/>
              <w:rPr>
                <w:sz w:val="20"/>
                <w:szCs w:val="20"/>
                <w:color w:val="auto"/>
              </w:rPr>
            </w:pPr>
            <w:r>
              <w:rPr>
                <w:rFonts w:ascii="Times New Roman" w:cs="Times New Roman" w:eastAsia="Times New Roman" w:hAnsi="Times New Roman"/>
                <w:sz w:val="12"/>
                <w:szCs w:val="12"/>
                <w:color w:val="auto"/>
              </w:rPr>
              <w:t>Other comprehensive earnings associated with noncontrolling</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77"/>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interests</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5"/>
                <w:szCs w:val="15"/>
                <w:color w:val="auto"/>
              </w:rPr>
            </w:pP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316</w:t>
            </w:r>
          </w:p>
        </w:tc>
        <w:tc>
          <w:tcPr>
            <w:tcW w:w="12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5"/>
                <w:szCs w:val="15"/>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94"/>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Stock-based compensation</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6"/>
                <w:szCs w:val="16"/>
                <w:color w:val="auto"/>
              </w:rPr>
            </w:pP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w:t>
            </w:r>
          </w:p>
        </w:tc>
      </w:tr>
      <w:tr>
        <w:trPr>
          <w:trHeight w:val="177"/>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Repurchases of treasury stock</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5"/>
                <w:szCs w:val="15"/>
                <w:color w:val="auto"/>
              </w:rPr>
            </w:pP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(143)</w:t>
            </w:r>
          </w:p>
        </w:tc>
      </w:tr>
      <w:tr>
        <w:trPr>
          <w:trHeight w:val="194"/>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F&amp;G repurchases of F&amp;G stock</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6"/>
                <w:szCs w:val="16"/>
                <w:color w:val="auto"/>
              </w:rPr>
            </w:pP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(145)</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(123)</w:t>
            </w:r>
          </w:p>
        </w:tc>
      </w:tr>
      <w:tr>
        <w:trPr>
          <w:trHeight w:val="177"/>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Dividends declared, $1.56 per common share</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5"/>
                <w:szCs w:val="15"/>
                <w:color w:val="auto"/>
              </w:rPr>
            </w:pP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5"/>
                <w:szCs w:val="15"/>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(420)</w:t>
            </w:r>
          </w:p>
        </w:tc>
      </w:tr>
      <w:tr>
        <w:trPr>
          <w:trHeight w:val="194"/>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Additional investment in consolidated subsidiary</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6"/>
                <w:szCs w:val="16"/>
                <w:color w:val="auto"/>
              </w:rPr>
            </w:pP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w:t>
            </w:r>
          </w:p>
        </w:tc>
      </w:tr>
      <w:tr>
        <w:trPr>
          <w:trHeight w:val="177"/>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Change in F&amp;G outside tax basis</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5"/>
                <w:szCs w:val="15"/>
                <w:color w:val="auto"/>
              </w:rPr>
            </w:pP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177</w:t>
            </w:r>
          </w:p>
        </w:tc>
        <w:tc>
          <w:tcPr>
            <w:tcW w:w="12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5"/>
                <w:szCs w:val="15"/>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170</w:t>
            </w:r>
          </w:p>
        </w:tc>
      </w:tr>
      <w:tr>
        <w:trPr>
          <w:trHeight w:val="194"/>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Subsidiary dividends declared to non-controlling interests</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6"/>
                <w:szCs w:val="16"/>
                <w:color w:val="auto"/>
              </w:rPr>
            </w:pP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w:t>
            </w:r>
          </w:p>
        </w:tc>
      </w:tr>
      <w:tr>
        <w:trPr>
          <w:trHeight w:val="179"/>
        </w:trPr>
        <w:tc>
          <w:tcPr>
            <w:tcW w:w="33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2"/>
                <w:szCs w:val="12"/>
                <w:color w:val="auto"/>
              </w:rPr>
              <w:t>Net earnings</w:t>
            </w:r>
          </w:p>
        </w:tc>
        <w:tc>
          <w:tcPr>
            <w:tcW w:w="6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2"/>
                <w:szCs w:val="12"/>
                <w:color w:val="auto"/>
              </w:rPr>
              <w:t>1,164</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281</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1,445</w:t>
            </w:r>
          </w:p>
        </w:tc>
      </w:tr>
      <w:tr>
        <w:trPr>
          <w:trHeight w:val="205"/>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 September 30, 2026</w:t>
            </w:r>
          </w:p>
        </w:tc>
        <w:tc>
          <w:tcPr>
            <w:tcW w:w="6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rPr>
              <w:t>332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6,108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rPr>
              <w:t>6,228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(2,398)</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(2,567)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1,290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8,661</w:t>
            </w: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bl>
    <w:p>
      <w:pPr>
        <w:spacing w:after="0" w:line="9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120" w:type="dxa"/>
            <w:vAlign w:val="bottom"/>
          </w:tcPr>
          <w:p>
            <w:pPr>
              <w:spacing w:after="0"/>
              <w:rPr>
                <w:sz w:val="16"/>
                <w:szCs w:val="16"/>
                <w:color w:val="auto"/>
              </w:rPr>
            </w:pPr>
          </w:p>
        </w:tc>
        <w:tc>
          <w:tcPr>
            <w:tcW w:w="212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4"/>
        </w:trPr>
        <w:tc>
          <w:tcPr>
            <w:tcW w:w="9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9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4"/>
        </w:trPr>
        <w:tc>
          <w:tcPr>
            <w:tcW w:w="9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91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9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91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earnings</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1,445</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765</w:t>
            </w:r>
          </w:p>
        </w:tc>
        <w:tc>
          <w:tcPr>
            <w:tcW w:w="0" w:type="dxa"/>
            <w:vAlign w:val="bottom"/>
          </w:tcPr>
          <w:p>
            <w:pPr>
              <w:spacing w:after="0"/>
              <w:rPr>
                <w:sz w:val="1"/>
                <w:szCs w:val="1"/>
                <w:color w:val="auto"/>
              </w:rPr>
            </w:pPr>
          </w:p>
        </w:tc>
      </w:tr>
      <w:tr>
        <w:trPr>
          <w:trHeight w:val="188"/>
        </w:trPr>
        <w:tc>
          <w:tcPr>
            <w:tcW w:w="91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Adjustments to reconcile net earnings to net cash provided by operating activities:</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9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91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672</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623</w:t>
            </w:r>
          </w:p>
        </w:tc>
        <w:tc>
          <w:tcPr>
            <w:tcW w:w="0" w:type="dxa"/>
            <w:vAlign w:val="bottom"/>
          </w:tcPr>
          <w:p>
            <w:pPr>
              <w:spacing w:after="0"/>
              <w:rPr>
                <w:sz w:val="1"/>
                <w:szCs w:val="1"/>
                <w:color w:val="auto"/>
              </w:rPr>
            </w:pPr>
          </w:p>
        </w:tc>
      </w:tr>
      <w:tr>
        <w:trPr>
          <w:trHeight w:val="188"/>
        </w:trPr>
        <w:tc>
          <w:tcPr>
            <w:tcW w:w="91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Equity in loss (earnings) of unconsolidated affiliates</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24"/>
        </w:trPr>
        <w:tc>
          <w:tcPr>
            <w:tcW w:w="9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91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Loss on sales of investments and other assets and asset impairments, net</w:t>
            </w:r>
          </w:p>
        </w:tc>
        <w:tc>
          <w:tcPr>
            <w:tcW w:w="2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0" w:type="dxa"/>
            <w:vAlign w:val="bottom"/>
          </w:tcPr>
          <w:p>
            <w:pPr>
              <w:spacing w:after="0"/>
              <w:rPr>
                <w:sz w:val="1"/>
                <w:szCs w:val="1"/>
                <w:color w:val="auto"/>
              </w:rPr>
            </w:pPr>
          </w:p>
        </w:tc>
      </w:tr>
      <w:tr>
        <w:trPr>
          <w:trHeight w:val="188"/>
        </w:trPr>
        <w:tc>
          <w:tcPr>
            <w:tcW w:w="91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Gain on the sale of businesses</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9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91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Interest credited/index credits to contractholder account balances</w:t>
            </w:r>
          </w:p>
        </w:tc>
        <w:tc>
          <w:tcPr>
            <w:tcW w:w="2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871</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0" w:type="dxa"/>
            <w:vAlign w:val="bottom"/>
          </w:tcPr>
          <w:p>
            <w:pPr>
              <w:spacing w:after="0"/>
              <w:rPr>
                <w:sz w:val="1"/>
                <w:szCs w:val="1"/>
                <w:color w:val="auto"/>
              </w:rPr>
            </w:pPr>
          </w:p>
        </w:tc>
      </w:tr>
      <w:tr>
        <w:trPr>
          <w:trHeight w:val="188"/>
        </w:trPr>
        <w:tc>
          <w:tcPr>
            <w:tcW w:w="91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Change in market risk benefits, net</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0" w:type="dxa"/>
            <w:vAlign w:val="bottom"/>
          </w:tcPr>
          <w:p>
            <w:pPr>
              <w:spacing w:after="0"/>
              <w:rPr>
                <w:sz w:val="1"/>
                <w:szCs w:val="1"/>
                <w:color w:val="auto"/>
              </w:rPr>
            </w:pPr>
          </w:p>
        </w:tc>
      </w:tr>
      <w:tr>
        <w:trPr>
          <w:trHeight w:val="24"/>
        </w:trPr>
        <w:tc>
          <w:tcPr>
            <w:tcW w:w="9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91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Deferred policy acquisition costs and deferred sales inducements</w:t>
            </w:r>
          </w:p>
        </w:tc>
        <w:tc>
          <w:tcPr>
            <w:tcW w:w="2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(922)</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(956)</w:t>
            </w:r>
          </w:p>
        </w:tc>
        <w:tc>
          <w:tcPr>
            <w:tcW w:w="0" w:type="dxa"/>
            <w:vAlign w:val="bottom"/>
          </w:tcPr>
          <w:p>
            <w:pPr>
              <w:spacing w:after="0"/>
              <w:rPr>
                <w:sz w:val="1"/>
                <w:szCs w:val="1"/>
                <w:color w:val="auto"/>
              </w:rPr>
            </w:pPr>
          </w:p>
        </w:tc>
      </w:tr>
      <w:tr>
        <w:trPr>
          <w:trHeight w:val="188"/>
        </w:trPr>
        <w:tc>
          <w:tcPr>
            <w:tcW w:w="91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Charges assessed to contractholders for mortality and administration</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0" w:type="dxa"/>
            <w:vAlign w:val="bottom"/>
          </w:tcPr>
          <w:p>
            <w:pPr>
              <w:spacing w:after="0"/>
              <w:rPr>
                <w:sz w:val="1"/>
                <w:szCs w:val="1"/>
                <w:color w:val="auto"/>
              </w:rPr>
            </w:pPr>
          </w:p>
        </w:tc>
      </w:tr>
      <w:tr>
        <w:trPr>
          <w:trHeight w:val="24"/>
        </w:trPr>
        <w:tc>
          <w:tcPr>
            <w:tcW w:w="9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91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Non-cash lease costs</w:t>
            </w:r>
          </w:p>
        </w:tc>
        <w:tc>
          <w:tcPr>
            <w:tcW w:w="2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0" w:type="dxa"/>
            <w:vAlign w:val="bottom"/>
          </w:tcPr>
          <w:p>
            <w:pPr>
              <w:spacing w:after="0"/>
              <w:rPr>
                <w:sz w:val="1"/>
                <w:szCs w:val="1"/>
                <w:color w:val="auto"/>
              </w:rPr>
            </w:pPr>
          </w:p>
        </w:tc>
      </w:tr>
      <w:tr>
        <w:trPr>
          <w:trHeight w:val="188"/>
        </w:trPr>
        <w:tc>
          <w:tcPr>
            <w:tcW w:w="91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Operating lease payments</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0" w:type="dxa"/>
            <w:vAlign w:val="bottom"/>
          </w:tcPr>
          <w:p>
            <w:pPr>
              <w:spacing w:after="0"/>
              <w:rPr>
                <w:sz w:val="1"/>
                <w:szCs w:val="1"/>
                <w:color w:val="auto"/>
              </w:rPr>
            </w:pPr>
          </w:p>
        </w:tc>
      </w:tr>
      <w:tr>
        <w:trPr>
          <w:trHeight w:val="24"/>
        </w:trPr>
        <w:tc>
          <w:tcPr>
            <w:tcW w:w="9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91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Distributions from unconsolidated affiliates, return on investment</w:t>
            </w:r>
          </w:p>
        </w:tc>
        <w:tc>
          <w:tcPr>
            <w:tcW w:w="2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0" w:type="dxa"/>
            <w:vAlign w:val="bottom"/>
          </w:tcPr>
          <w:p>
            <w:pPr>
              <w:spacing w:after="0"/>
              <w:rPr>
                <w:sz w:val="1"/>
                <w:szCs w:val="1"/>
                <w:color w:val="auto"/>
              </w:rPr>
            </w:pPr>
          </w:p>
        </w:tc>
      </w:tr>
      <w:tr>
        <w:trPr>
          <w:trHeight w:val="188"/>
        </w:trPr>
        <w:tc>
          <w:tcPr>
            <w:tcW w:w="91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Stock-based compensation cost</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24"/>
        </w:trPr>
        <w:tc>
          <w:tcPr>
            <w:tcW w:w="9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91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Change in NAV of limited partnerships, net</w:t>
            </w:r>
          </w:p>
        </w:tc>
        <w:tc>
          <w:tcPr>
            <w:tcW w:w="2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0" w:type="dxa"/>
            <w:vAlign w:val="bottom"/>
          </w:tcPr>
          <w:p>
            <w:pPr>
              <w:spacing w:after="0"/>
              <w:rPr>
                <w:sz w:val="1"/>
                <w:szCs w:val="1"/>
                <w:color w:val="auto"/>
              </w:rPr>
            </w:pPr>
          </w:p>
        </w:tc>
      </w:tr>
      <w:tr>
        <w:trPr>
          <w:trHeight w:val="188"/>
        </w:trPr>
        <w:tc>
          <w:tcPr>
            <w:tcW w:w="91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Change in valuation of derivatives, equity securities, preferred securities, and other assets, net</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0" w:type="dxa"/>
            <w:vAlign w:val="bottom"/>
          </w:tcPr>
          <w:p>
            <w:pPr>
              <w:spacing w:after="0"/>
              <w:rPr>
                <w:sz w:val="1"/>
                <w:szCs w:val="1"/>
                <w:color w:val="auto"/>
              </w:rPr>
            </w:pPr>
          </w:p>
        </w:tc>
      </w:tr>
      <w:tr>
        <w:trPr>
          <w:trHeight w:val="24"/>
        </w:trPr>
        <w:tc>
          <w:tcPr>
            <w:tcW w:w="9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91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Changes in assets and liabilities, net of effects from acquisitions:</w:t>
            </w:r>
          </w:p>
        </w:tc>
        <w:tc>
          <w:tcPr>
            <w:tcW w:w="2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91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Change in derivative collateral</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0" w:type="dxa"/>
            <w:vAlign w:val="bottom"/>
          </w:tcPr>
          <w:p>
            <w:pPr>
              <w:spacing w:after="0"/>
              <w:rPr>
                <w:sz w:val="1"/>
                <w:szCs w:val="1"/>
                <w:color w:val="auto"/>
              </w:rPr>
            </w:pPr>
          </w:p>
        </w:tc>
      </w:tr>
      <w:tr>
        <w:trPr>
          <w:trHeight w:val="24"/>
        </w:trPr>
        <w:tc>
          <w:tcPr>
            <w:tcW w:w="9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91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Change in reinsurance recoverable</w:t>
            </w:r>
          </w:p>
        </w:tc>
        <w:tc>
          <w:tcPr>
            <w:tcW w:w="2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88"/>
        </w:trPr>
        <w:tc>
          <w:tcPr>
            <w:tcW w:w="91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Change in future policy benefits</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978</w:t>
            </w:r>
          </w:p>
        </w:tc>
        <w:tc>
          <w:tcPr>
            <w:tcW w:w="0" w:type="dxa"/>
            <w:vAlign w:val="bottom"/>
          </w:tcPr>
          <w:p>
            <w:pPr>
              <w:spacing w:after="0"/>
              <w:rPr>
                <w:sz w:val="1"/>
                <w:szCs w:val="1"/>
                <w:color w:val="auto"/>
              </w:rPr>
            </w:pPr>
          </w:p>
        </w:tc>
      </w:tr>
      <w:tr>
        <w:trPr>
          <w:trHeight w:val="24"/>
        </w:trPr>
        <w:tc>
          <w:tcPr>
            <w:tcW w:w="9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91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Change in funds withheld from reinsurers</w:t>
            </w:r>
          </w:p>
        </w:tc>
        <w:tc>
          <w:tcPr>
            <w:tcW w:w="2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2,558</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2,648</w:t>
            </w:r>
          </w:p>
        </w:tc>
        <w:tc>
          <w:tcPr>
            <w:tcW w:w="0" w:type="dxa"/>
            <w:vAlign w:val="bottom"/>
          </w:tcPr>
          <w:p>
            <w:pPr>
              <w:spacing w:after="0"/>
              <w:rPr>
                <w:sz w:val="1"/>
                <w:szCs w:val="1"/>
                <w:color w:val="auto"/>
              </w:rPr>
            </w:pPr>
          </w:p>
        </w:tc>
      </w:tr>
      <w:tr>
        <w:trPr>
          <w:trHeight w:val="188"/>
        </w:trPr>
        <w:tc>
          <w:tcPr>
            <w:tcW w:w="91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Net increase in trade receivables</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24"/>
        </w:trPr>
        <w:tc>
          <w:tcPr>
            <w:tcW w:w="9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91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Net increase (decrease) in reserve for title claim losses</w:t>
            </w:r>
          </w:p>
        </w:tc>
        <w:tc>
          <w:tcPr>
            <w:tcW w:w="2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88"/>
        </w:trPr>
        <w:tc>
          <w:tcPr>
            <w:tcW w:w="91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Net change in income taxes</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24"/>
        </w:trPr>
        <w:tc>
          <w:tcPr>
            <w:tcW w:w="9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91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Net change in other assets and other liabilities</w:t>
            </w:r>
          </w:p>
        </w:tc>
        <w:tc>
          <w:tcPr>
            <w:tcW w:w="2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181"/>
        </w:trPr>
        <w:tc>
          <w:tcPr>
            <w:tcW w:w="9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2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4,167</w:t>
            </w: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4,322</w:t>
            </w:r>
          </w:p>
        </w:tc>
        <w:tc>
          <w:tcPr>
            <w:tcW w:w="0" w:type="dxa"/>
            <w:vAlign w:val="bottom"/>
          </w:tcPr>
          <w:p>
            <w:pPr>
              <w:spacing w:after="0"/>
              <w:rPr>
                <w:sz w:val="1"/>
                <w:szCs w:val="1"/>
                <w:color w:val="auto"/>
              </w:rPr>
            </w:pPr>
          </w:p>
        </w:tc>
      </w:tr>
      <w:tr>
        <w:trPr>
          <w:trHeight w:val="24"/>
        </w:trPr>
        <w:tc>
          <w:tcPr>
            <w:tcW w:w="9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9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2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91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Proceeds from sales, calls and maturities of investment securities</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15,017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10,109</w:t>
            </w:r>
          </w:p>
        </w:tc>
        <w:tc>
          <w:tcPr>
            <w:tcW w:w="0" w:type="dxa"/>
            <w:vAlign w:val="bottom"/>
          </w:tcPr>
          <w:p>
            <w:pPr>
              <w:spacing w:after="0"/>
              <w:rPr>
                <w:sz w:val="1"/>
                <w:szCs w:val="1"/>
                <w:color w:val="auto"/>
              </w:rPr>
            </w:pPr>
          </w:p>
        </w:tc>
      </w:tr>
      <w:tr>
        <w:trPr>
          <w:trHeight w:val="24"/>
        </w:trPr>
        <w:tc>
          <w:tcPr>
            <w:tcW w:w="9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91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Additions to property and equipment, capitalized software and title plants</w:t>
            </w:r>
          </w:p>
        </w:tc>
        <w:tc>
          <w:tcPr>
            <w:tcW w:w="2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0" w:type="dxa"/>
            <w:vAlign w:val="bottom"/>
          </w:tcPr>
          <w:p>
            <w:pPr>
              <w:spacing w:after="0"/>
              <w:rPr>
                <w:sz w:val="1"/>
                <w:szCs w:val="1"/>
                <w:color w:val="auto"/>
              </w:rPr>
            </w:pPr>
          </w:p>
        </w:tc>
      </w:tr>
      <w:tr>
        <w:trPr>
          <w:trHeight w:val="188"/>
        </w:trPr>
        <w:tc>
          <w:tcPr>
            <w:tcW w:w="91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Purchases of investment securities</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(17,732)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(16,520)</w:t>
            </w:r>
          </w:p>
        </w:tc>
        <w:tc>
          <w:tcPr>
            <w:tcW w:w="0" w:type="dxa"/>
            <w:vAlign w:val="bottom"/>
          </w:tcPr>
          <w:p>
            <w:pPr>
              <w:spacing w:after="0"/>
              <w:rPr>
                <w:sz w:val="1"/>
                <w:szCs w:val="1"/>
                <w:color w:val="auto"/>
              </w:rPr>
            </w:pPr>
          </w:p>
        </w:tc>
      </w:tr>
      <w:tr>
        <w:trPr>
          <w:trHeight w:val="24"/>
        </w:trPr>
        <w:tc>
          <w:tcPr>
            <w:tcW w:w="9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91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proceeds from sales and maturities of short-term investment securities</w:t>
            </w:r>
          </w:p>
        </w:tc>
        <w:tc>
          <w:tcPr>
            <w:tcW w:w="2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674</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1,539</w:t>
            </w:r>
          </w:p>
        </w:tc>
        <w:tc>
          <w:tcPr>
            <w:tcW w:w="0" w:type="dxa"/>
            <w:vAlign w:val="bottom"/>
          </w:tcPr>
          <w:p>
            <w:pPr>
              <w:spacing w:after="0"/>
              <w:rPr>
                <w:sz w:val="1"/>
                <w:szCs w:val="1"/>
                <w:color w:val="auto"/>
              </w:rPr>
            </w:pPr>
          </w:p>
        </w:tc>
      </w:tr>
      <w:tr>
        <w:trPr>
          <w:trHeight w:val="188"/>
        </w:trPr>
        <w:tc>
          <w:tcPr>
            <w:tcW w:w="91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Acquisitions and dispositions</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24"/>
        </w:trPr>
        <w:tc>
          <w:tcPr>
            <w:tcW w:w="9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91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Additional investments in unconsolidated affiliates</w:t>
            </w:r>
          </w:p>
        </w:tc>
        <w:tc>
          <w:tcPr>
            <w:tcW w:w="2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(825)</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(1,607)</w:t>
            </w:r>
          </w:p>
        </w:tc>
        <w:tc>
          <w:tcPr>
            <w:tcW w:w="0" w:type="dxa"/>
            <w:vAlign w:val="bottom"/>
          </w:tcPr>
          <w:p>
            <w:pPr>
              <w:spacing w:after="0"/>
              <w:rPr>
                <w:sz w:val="1"/>
                <w:szCs w:val="1"/>
                <w:color w:val="auto"/>
              </w:rPr>
            </w:pPr>
          </w:p>
        </w:tc>
      </w:tr>
      <w:tr>
        <w:trPr>
          <w:trHeight w:val="188"/>
        </w:trPr>
        <w:tc>
          <w:tcPr>
            <w:tcW w:w="91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Distributions from unconsolidated affiliates, return of investment</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0" w:type="dxa"/>
            <w:vAlign w:val="bottom"/>
          </w:tcPr>
          <w:p>
            <w:pPr>
              <w:spacing w:after="0"/>
              <w:rPr>
                <w:sz w:val="1"/>
                <w:szCs w:val="1"/>
                <w:color w:val="auto"/>
              </w:rPr>
            </w:pPr>
          </w:p>
        </w:tc>
      </w:tr>
      <w:tr>
        <w:trPr>
          <w:trHeight w:val="24"/>
        </w:trPr>
        <w:tc>
          <w:tcPr>
            <w:tcW w:w="9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91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other investing activities</w:t>
            </w:r>
          </w:p>
        </w:tc>
        <w:tc>
          <w:tcPr>
            <w:tcW w:w="2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81"/>
        </w:trPr>
        <w:tc>
          <w:tcPr>
            <w:tcW w:w="9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(2,502)</w:t>
            </w: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(6,326)</w:t>
            </w:r>
          </w:p>
        </w:tc>
        <w:tc>
          <w:tcPr>
            <w:tcW w:w="0" w:type="dxa"/>
            <w:vAlign w:val="bottom"/>
          </w:tcPr>
          <w:p>
            <w:pPr>
              <w:spacing w:after="0"/>
              <w:rPr>
                <w:sz w:val="1"/>
                <w:szCs w:val="1"/>
                <w:color w:val="auto"/>
              </w:rPr>
            </w:pPr>
          </w:p>
        </w:tc>
      </w:tr>
      <w:tr>
        <w:trPr>
          <w:trHeight w:val="24"/>
        </w:trPr>
        <w:tc>
          <w:tcPr>
            <w:tcW w:w="9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9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91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Debt offering</w:t>
            </w:r>
          </w:p>
        </w:tc>
        <w:tc>
          <w:tcPr>
            <w:tcW w:w="2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w:t>
            </w:r>
          </w:p>
        </w:tc>
        <w:tc>
          <w:tcPr>
            <w:tcW w:w="0" w:type="dxa"/>
            <w:vAlign w:val="bottom"/>
          </w:tcPr>
          <w:p>
            <w:pPr>
              <w:spacing w:after="0"/>
              <w:rPr>
                <w:sz w:val="1"/>
                <w:szCs w:val="1"/>
                <w:color w:val="auto"/>
              </w:rPr>
            </w:pPr>
          </w:p>
        </w:tc>
      </w:tr>
      <w:tr>
        <w:trPr>
          <w:trHeight w:val="24"/>
        </w:trPr>
        <w:tc>
          <w:tcPr>
            <w:tcW w:w="9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91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Debt service payments</w:t>
            </w:r>
          </w:p>
        </w:tc>
        <w:tc>
          <w:tcPr>
            <w:tcW w:w="24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0" w:type="dxa"/>
            <w:vAlign w:val="bottom"/>
          </w:tcPr>
          <w:p>
            <w:pPr>
              <w:spacing w:after="0"/>
              <w:rPr>
                <w:sz w:val="1"/>
                <w:szCs w:val="1"/>
                <w:color w:val="auto"/>
              </w:rPr>
            </w:pPr>
          </w:p>
        </w:tc>
      </w:tr>
      <w:tr>
        <w:trPr>
          <w:trHeight w:val="188"/>
        </w:trPr>
        <w:tc>
          <w:tcPr>
            <w:tcW w:w="91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Dividends paid</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w:t>
            </w:r>
          </w:p>
        </w:tc>
        <w:tc>
          <w:tcPr>
            <w:tcW w:w="0" w:type="dxa"/>
            <w:vAlign w:val="bottom"/>
          </w:tcPr>
          <w:p>
            <w:pPr>
              <w:spacing w:after="0"/>
              <w:rPr>
                <w:sz w:val="1"/>
                <w:szCs w:val="1"/>
                <w:color w:val="auto"/>
              </w:rPr>
            </w:pPr>
          </w:p>
        </w:tc>
      </w:tr>
      <w:tr>
        <w:trPr>
          <w:trHeight w:val="24"/>
        </w:trPr>
        <w:tc>
          <w:tcPr>
            <w:tcW w:w="9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91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Subsidiary dividends paid to non-controlling interest shareholders</w:t>
            </w:r>
          </w:p>
        </w:tc>
        <w:tc>
          <w:tcPr>
            <w:tcW w:w="2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188"/>
        </w:trPr>
        <w:tc>
          <w:tcPr>
            <w:tcW w:w="91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Subsidiary repurchases of own equity</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9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91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change in secured trust deposits</w:t>
            </w:r>
          </w:p>
        </w:tc>
        <w:tc>
          <w:tcPr>
            <w:tcW w:w="2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0" w:type="dxa"/>
            <w:vAlign w:val="bottom"/>
          </w:tcPr>
          <w:p>
            <w:pPr>
              <w:spacing w:after="0"/>
              <w:rPr>
                <w:sz w:val="1"/>
                <w:szCs w:val="1"/>
                <w:color w:val="auto"/>
              </w:rPr>
            </w:pPr>
          </w:p>
        </w:tc>
      </w:tr>
      <w:tr>
        <w:trPr>
          <w:trHeight w:val="188"/>
        </w:trPr>
        <w:tc>
          <w:tcPr>
            <w:tcW w:w="91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Payment of contingent consideration for prior period acquisitions</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24"/>
        </w:trPr>
        <w:tc>
          <w:tcPr>
            <w:tcW w:w="9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91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Contractholder account deposits</w:t>
            </w:r>
          </w:p>
        </w:tc>
        <w:tc>
          <w:tcPr>
            <w:tcW w:w="2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5,885</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8,991</w:t>
            </w:r>
          </w:p>
        </w:tc>
        <w:tc>
          <w:tcPr>
            <w:tcW w:w="0" w:type="dxa"/>
            <w:vAlign w:val="bottom"/>
          </w:tcPr>
          <w:p>
            <w:pPr>
              <w:spacing w:after="0"/>
              <w:rPr>
                <w:sz w:val="1"/>
                <w:szCs w:val="1"/>
                <w:color w:val="auto"/>
              </w:rPr>
            </w:pPr>
          </w:p>
        </w:tc>
      </w:tr>
      <w:tr>
        <w:trPr>
          <w:trHeight w:val="188"/>
        </w:trPr>
        <w:tc>
          <w:tcPr>
            <w:tcW w:w="91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Contractholder account withdrawals</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(6,592)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(6,646)</w:t>
            </w:r>
          </w:p>
        </w:tc>
        <w:tc>
          <w:tcPr>
            <w:tcW w:w="0" w:type="dxa"/>
            <w:vAlign w:val="bottom"/>
          </w:tcPr>
          <w:p>
            <w:pPr>
              <w:spacing w:after="0"/>
              <w:rPr>
                <w:sz w:val="1"/>
                <w:szCs w:val="1"/>
                <w:color w:val="auto"/>
              </w:rPr>
            </w:pPr>
          </w:p>
        </w:tc>
      </w:tr>
      <w:tr>
        <w:trPr>
          <w:trHeight w:val="24"/>
        </w:trPr>
        <w:tc>
          <w:tcPr>
            <w:tcW w:w="9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91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Purchases of treasury stock</w:t>
            </w:r>
          </w:p>
        </w:tc>
        <w:tc>
          <w:tcPr>
            <w:tcW w:w="2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0" w:type="dxa"/>
            <w:vAlign w:val="bottom"/>
          </w:tcPr>
          <w:p>
            <w:pPr>
              <w:spacing w:after="0"/>
              <w:rPr>
                <w:sz w:val="1"/>
                <w:szCs w:val="1"/>
                <w:color w:val="auto"/>
              </w:rPr>
            </w:pPr>
          </w:p>
        </w:tc>
      </w:tr>
      <w:tr>
        <w:trPr>
          <w:trHeight w:val="188"/>
        </w:trPr>
        <w:tc>
          <w:tcPr>
            <w:tcW w:w="91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F&amp;G common stock offering</w:t>
            </w:r>
          </w:p>
        </w:tc>
        <w:tc>
          <w:tcPr>
            <w:tcW w:w="2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0" w:type="dxa"/>
            <w:vAlign w:val="bottom"/>
          </w:tcPr>
          <w:p>
            <w:pPr>
              <w:spacing w:after="0"/>
              <w:rPr>
                <w:sz w:val="1"/>
                <w:szCs w:val="1"/>
                <w:color w:val="auto"/>
              </w:rPr>
            </w:pPr>
          </w:p>
        </w:tc>
      </w:tr>
      <w:tr>
        <w:trPr>
          <w:trHeight w:val="24"/>
        </w:trPr>
        <w:tc>
          <w:tcPr>
            <w:tcW w:w="9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91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financing activities</w:t>
            </w:r>
          </w:p>
        </w:tc>
        <w:tc>
          <w:tcPr>
            <w:tcW w:w="2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81"/>
        </w:trPr>
        <w:tc>
          <w:tcPr>
            <w:tcW w:w="9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provided by financing activities</w:t>
            </w:r>
          </w:p>
        </w:tc>
        <w:tc>
          <w:tcPr>
            <w:tcW w:w="2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(1,443)</w:t>
            </w: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2,019</w:t>
            </w:r>
          </w:p>
        </w:tc>
        <w:tc>
          <w:tcPr>
            <w:tcW w:w="0" w:type="dxa"/>
            <w:vAlign w:val="bottom"/>
          </w:tcPr>
          <w:p>
            <w:pPr>
              <w:spacing w:after="0"/>
              <w:rPr>
                <w:sz w:val="1"/>
                <w:szCs w:val="1"/>
                <w:color w:val="auto"/>
              </w:rPr>
            </w:pPr>
          </w:p>
        </w:tc>
      </w:tr>
      <w:tr>
        <w:trPr>
          <w:trHeight w:val="24"/>
        </w:trPr>
        <w:tc>
          <w:tcPr>
            <w:tcW w:w="9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9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increase in cash and cash equivalents</w:t>
            </w:r>
          </w:p>
        </w:tc>
        <w:tc>
          <w:tcPr>
            <w:tcW w:w="2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88"/>
        </w:trPr>
        <w:tc>
          <w:tcPr>
            <w:tcW w:w="9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3,479</w:t>
            </w:r>
          </w:p>
        </w:tc>
        <w:tc>
          <w:tcPr>
            <w:tcW w:w="0" w:type="dxa"/>
            <w:vAlign w:val="bottom"/>
          </w:tcPr>
          <w:p>
            <w:pPr>
              <w:spacing w:after="0"/>
              <w:rPr>
                <w:sz w:val="1"/>
                <w:szCs w:val="1"/>
                <w:color w:val="auto"/>
              </w:rPr>
            </w:pPr>
          </w:p>
        </w:tc>
      </w:tr>
      <w:tr>
        <w:trPr>
          <w:trHeight w:val="24"/>
        </w:trPr>
        <w:tc>
          <w:tcPr>
            <w:tcW w:w="9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9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2,858</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3,494</w:t>
            </w:r>
          </w:p>
        </w:tc>
        <w:tc>
          <w:tcPr>
            <w:tcW w:w="0" w:type="dxa"/>
            <w:vAlign w:val="bottom"/>
          </w:tcPr>
          <w:p>
            <w:pPr>
              <w:spacing w:after="0"/>
              <w:rPr>
                <w:sz w:val="1"/>
                <w:szCs w:val="1"/>
                <w:color w:val="auto"/>
              </w:rPr>
            </w:pPr>
          </w:p>
        </w:tc>
      </w:tr>
      <w:tr>
        <w:trPr>
          <w:trHeight w:val="20"/>
        </w:trPr>
        <w:tc>
          <w:tcPr>
            <w:tcW w:w="9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91440</wp:posOffset>
            </wp:positionV>
            <wp:extent cx="716026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85"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Unaudited)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A — Basis of Financial Statements</w:t>
      </w:r>
    </w:p>
    <w:p>
      <w:pPr>
        <w:spacing w:after="0" w:line="7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financial information in this report presented for interim periods is unaudited and includes the accounts of Fidelity National Financial, Inc. and its subsidiaries (collectively, “we,” “us,” “our,” the "Company" or “FNF”) prepared in accordance with U.S. generally accepted accounting principles ("GAAP") and the instructions to Form 10-Q and Article 10 of Regulation S-X. In the opinion of management, all adjustments considered necessary for a fair presentation have been included. All adjustments made were of a normal, recurring nature. This report should be read in conjunction with our Annual Report on Form 10-K (our "Annual Report") for the year ended December 31, 2025.</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the Business</w:t>
      </w:r>
    </w:p>
    <w:p>
      <w:pPr>
        <w:spacing w:after="0" w:line="115"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are a leading provider of (i) title insurance, escrow and other title-related services, including loan sub-servicing, valuations, default services, and home warranty, (ii) transaction services to the real estate and mortgage industries, and (iii) annuity and life insurance products. FNF is one of the nation’s largest title insurance companies operating through its title insurance underwriters - Fidelity National Title Insurance Company ("FNTIC"), Chicago Title Insurance Company ("Chicago Title"), Commonwealth Land Title Insurance Company ("Commonwealth Title"), Alamo Title Insurance and National Title Insurance of New York Inc. - which collectively issue more title insurance policies than any other title company in the United States. Through our subsidiary, ServiceLink Holdings, LLC ("ServiceLink"), we provide mortgage transaction services, including title-related services and facilitation of production and management of mortgage loans. We are also a leading provider of insurance solutions serving retail annuity and life customers and institutional clients through our majority-owned subsidiary, F&amp;G Annuities &amp; Life ("F&amp;G").</w:t>
      </w:r>
    </w:p>
    <w:p>
      <w:pPr>
        <w:spacing w:after="0" w:line="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For information about our reportable segments refer to Note H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1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F&amp;G Life Re Ltd. (“F&amp;G Life Re”)</w:t>
      </w:r>
    </w:p>
    <w:p>
      <w:pPr>
        <w:spacing w:after="0" w:line="100" w:lineRule="exact"/>
        <w:rPr>
          <w:sz w:val="20"/>
          <w:szCs w:val="20"/>
          <w:color w:val="auto"/>
        </w:rPr>
      </w:pPr>
    </w:p>
    <w:p>
      <w:pPr>
        <w:jc w:val="both"/>
        <w:ind w:firstLine="318"/>
        <w:spacing w:after="0" w:line="232" w:lineRule="auto"/>
        <w:rPr>
          <w:sz w:val="20"/>
          <w:szCs w:val="20"/>
          <w:color w:val="auto"/>
        </w:rPr>
      </w:pPr>
      <w:r>
        <w:rPr>
          <w:rFonts w:ascii="Times New Roman" w:cs="Times New Roman" w:eastAsia="Times New Roman" w:hAnsi="Times New Roman"/>
          <w:sz w:val="18"/>
          <w:szCs w:val="18"/>
          <w:color w:val="auto"/>
        </w:rPr>
        <w:t xml:space="preserve">On March 1, 2026, F&amp;G completed the sale of its Bermuda based subsidiary, F&amp;G Life Re, to Ancient Financial Holdings, LP (“Ancient”), an unrelated third party. As a result of this transaction, we no longer hold a controlling financial interest and deconsolidated F&amp;G Life Re. Following the sale, F&amp;G Life Re was renamed Ancient Re Ltd. (“Ancient Re”) and is no longer considered a related party. Blackstone retained asset management for the inforce assets, relating to certain inforce FIA policies, and Ancient manages assets under a new forward flow reinsurance agreement, effective March 1, 2026, to cede certain MYGA business. Consideration for the sale included cash received of approximately $102 million and a 19.9% limited partnership interest in Ancient, resulting in a pre-tax gain for the three months ended March 31, 2026, of approximately $14 million. During the third quarter of 2026, the Company finalized post-closing adjustments, which decreased the pre-tax gain by $7 million, reflecting a $12 million purchase price adjustment, partially offset by a $5 million adjustment to the allocation of goodwill, which are recorded in Recognized gains and losses, net on the unaudited Condensed Consolidated Statements of Earnings. The calculation of the gain included derecognition of F&amp;G Life Re’s net assets, which included attributable goodwill of approximately $56 million that was previously recognized at the consolidated level, reduced by the $5 million adjustment to the allocation of goodwill, resulting in a net impact of approximately $51 million. Refer to Note L </w:t>
      </w:r>
      <w:r>
        <w:rPr>
          <w:rFonts w:ascii="Times New Roman" w:cs="Times New Roman" w:eastAsia="Times New Roman" w:hAnsi="Times New Roman"/>
          <w:sz w:val="18"/>
          <w:szCs w:val="18"/>
          <w:i w:val="1"/>
          <w:iCs w:val="1"/>
          <w:color w:val="auto"/>
        </w:rPr>
        <w:t>F&amp;G Reinsurance</w:t>
      </w:r>
      <w:r>
        <w:rPr>
          <w:rFonts w:ascii="Times New Roman" w:cs="Times New Roman" w:eastAsia="Times New Roman" w:hAnsi="Times New Roman"/>
          <w:sz w:val="18"/>
          <w:szCs w:val="18"/>
          <w:color w:val="auto"/>
        </w:rPr>
        <w:t xml:space="preserve"> for further information.</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w:t>
      </w:r>
    </w:p>
    <w:p>
      <w:pPr>
        <w:spacing w:after="0" w:line="11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Income tax expense was $397 million and $90 million for the three months ended September 30, 2026 and 2025, respectively, and $635 million and $217 million in the nine months ended September 30, 2026 and 2025, respectively. Income tax expense as a percentage of earnings before income taxes was 32% and 20% for the three months ended September 30, 2026 and 2025, respectively, and 31% and 23% in the nine months ended September 30, 2026 and 2025, respectively. The increase in income tax expense as a percentage of earnings before taxes in the three and nine months ended September 30, 2026 as compared to the corresponding periods in 2025 is primarily attributable to the adjustment to the deferred tax liability for the outside basis difference in our investment in F&amp;G, as well as F&amp;G's outside basis difference in F&amp;G Life Re.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11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Basic earnings per share, as presented on the unaudited Condensed Consolidated Statements of Earnings, is computed by dividing net earnings available to common shareholders in a given period by the weighted average number of common shares outstanding during such period. In periods when earnings are positive, diluted earnings per share is calculated by dividing net earnings available to common shareholders by the weighted average number of common shares outstanding plus assumed conversions of potentially dilutive securities. For periods when we recognize a net loss, diluted loss per share is equal to basic loss per share as the impact of assumed conversions of potentially dilutive securities is considered to be antidilutive. We have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granted certain shares of restricted stock, which have been treated as common share equivalents for purposes of calculating diluted earnings per share for periods in which positive earnings have been reported.</w:t>
      </w:r>
    </w:p>
    <w:p>
      <w:pPr>
        <w:spacing w:after="0" w:line="5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Instruments that provide the ability to purchase shares of our common stock that are antidilutive are excluded from the computation of diluted earnings per share. There were no antidilutive instruments outstanding during the three and nine months ended September 30, 2026 and 2025.</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Unconsolidated Owned Distribution Investments</w:t>
      </w:r>
    </w:p>
    <w:p>
      <w:pPr>
        <w:spacing w:after="0" w:line="11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paid commissions on sales through our unconsolidated owned distribution investments and their affiliates of approximately $20 million and $12 million for the three months ended September 30, 2026 and 2025, respectively, and $52 million and $44 million for the nine months ended September 30, 2026 and 2025, respectively. The acquisition expense is deferred and amortized in Depreciation and amortization in the accompanying unaudited Condensed Consolidated Statements of Earnings.</w:t>
      </w:r>
    </w:p>
    <w:p>
      <w:pPr>
        <w:spacing w:after="0" w:line="70" w:lineRule="exact"/>
        <w:rPr>
          <w:sz w:val="20"/>
          <w:szCs w:val="20"/>
          <w:color w:val="auto"/>
        </w:rPr>
      </w:pPr>
    </w:p>
    <w:p>
      <w:pPr>
        <w:jc w:val="right"/>
        <w:ind w:right="8560"/>
        <w:spacing w:after="0"/>
        <w:rPr>
          <w:sz w:val="20"/>
          <w:szCs w:val="20"/>
          <w:color w:val="auto"/>
        </w:rPr>
      </w:pPr>
      <w:r>
        <w:rPr>
          <w:rFonts w:ascii="Times New Roman" w:cs="Times New Roman" w:eastAsia="Times New Roman" w:hAnsi="Times New Roman"/>
          <w:sz w:val="17"/>
          <w:szCs w:val="17"/>
          <w:b w:val="1"/>
          <w:bCs w:val="1"/>
          <w:i w:val="1"/>
          <w:iCs w:val="1"/>
          <w:color w:val="auto"/>
        </w:rPr>
        <w:t>Recent Accounting Pronouncements</w:t>
      </w:r>
    </w:p>
    <w:p>
      <w:pPr>
        <w:spacing w:after="0" w:line="125" w:lineRule="exact"/>
        <w:rPr>
          <w:sz w:val="20"/>
          <w:szCs w:val="20"/>
          <w:color w:val="auto"/>
        </w:rPr>
      </w:pPr>
    </w:p>
    <w:p>
      <w:pPr>
        <w:jc w:val="right"/>
        <w:ind w:right="8560"/>
        <w:spacing w:after="0"/>
        <w:rPr>
          <w:sz w:val="20"/>
          <w:szCs w:val="20"/>
          <w:color w:val="auto"/>
        </w:rPr>
      </w:pPr>
      <w:r>
        <w:rPr>
          <w:rFonts w:ascii="Times New Roman" w:cs="Times New Roman" w:eastAsia="Times New Roman" w:hAnsi="Times New Roman"/>
          <w:sz w:val="18"/>
          <w:szCs w:val="18"/>
          <w:i w:val="1"/>
          <w:iCs w:val="1"/>
          <w:color w:val="auto"/>
        </w:rPr>
        <w:t>Pronouncements Not Yet Adopted</w:t>
      </w:r>
    </w:p>
    <w:p>
      <w:pPr>
        <w:spacing w:after="0" w:line="113"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Disaggregation of Income Statement Expenses. The amendments in this update enhance transparency of certain expense captions by disclosing more granular information of specific expenses within those captions such as personnel costs, depreciation, and amortization. The amendments also require disclosure of qualitative description of amounts remaining in relevant expense captions that are not separately disaggregated. The amendments in this update are effective for all public companies for annual reporting periods beginning after December 15, 2026, and interim reporting periods beginning after December 15, 2027. Early adoption is permitted, and the amendments should be applied either prospectively to financial statements issued for reporting periods after the effective date or retrospectively to all prior periods presented in the financial statements. We do not expect to early adopt this standard and are in the process of assessing this standard and its impact on our disclosures upon adoption.</w:t>
      </w:r>
    </w:p>
    <w:p>
      <w:pPr>
        <w:spacing w:after="0" w:line="84"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In September 2025, the FASB issued ASU 2025-06, Intangibles—Goodwill and Other—Internal-Use Software (Subtopic 350-40): Targeted Improvements to the Accounting for Internal-Use Software. The amendments in this update refine capitalization thresholds by removing all references to project stages. The amendments require that an entity capitalize software costs when management has authorized and committed to funding the software project and when it is probable that the project will be completed and the software will be used to perform the function intended (“probable-to-complete recognition threshold”). Additionally, the amendments clarify the disclosure requirements for internal-use software costs. The amendments in this update are effective for all companies for annual and interim reporting periods beginning after December 15, 2027. Early adoption is permitted, and the amendments should be applied using a prospective, retrospective, or modified transition approach. We do not expect to early adopt this standard and are in the process of assessing this standard and its impact upon adoption.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B — Summary of Reserve for Title Claim Losses</w:t>
      </w:r>
    </w:p>
    <w:p>
      <w:pPr>
        <w:spacing w:after="0" w:line="6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 summary of the reserve for title claim losses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60" w:type="dxa"/>
            <w:vAlign w:val="bottom"/>
          </w:tcPr>
          <w:p>
            <w:pPr>
              <w:spacing w:after="0"/>
              <w:rPr>
                <w:sz w:val="16"/>
                <w:szCs w:val="16"/>
                <w:color w:val="auto"/>
              </w:rPr>
            </w:pPr>
          </w:p>
        </w:tc>
        <w:tc>
          <w:tcPr>
            <w:tcW w:w="26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620" w:type="dxa"/>
            <w:vAlign w:val="bottom"/>
          </w:tcPr>
          <w:p>
            <w:pPr>
              <w:spacing w:after="0"/>
              <w:rPr>
                <w:sz w:val="16"/>
                <w:szCs w:val="16"/>
                <w:color w:val="auto"/>
              </w:rPr>
            </w:pPr>
          </w:p>
        </w:tc>
      </w:tr>
      <w:tr>
        <w:trPr>
          <w:trHeight w:val="24"/>
        </w:trPr>
        <w:tc>
          <w:tcPr>
            <w:tcW w:w="79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181"/>
        </w:trPr>
        <w:tc>
          <w:tcPr>
            <w:tcW w:w="79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Pr>
          <w:p>
            <w:pPr>
              <w:spacing w:after="0"/>
              <w:rPr>
                <w:sz w:val="15"/>
                <w:szCs w:val="15"/>
                <w:color w:val="auto"/>
              </w:rPr>
            </w:pPr>
          </w:p>
        </w:tc>
      </w:tr>
      <w:tr>
        <w:trPr>
          <w:trHeight w:val="24"/>
        </w:trPr>
        <w:tc>
          <w:tcPr>
            <w:tcW w:w="79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181"/>
        </w:trPr>
        <w:tc>
          <w:tcPr>
            <w:tcW w:w="79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700" w:type="dxa"/>
            <w:vAlign w:val="bottom"/>
            <w:gridSpan w:val="3"/>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620" w:type="dxa"/>
            <w:vAlign w:val="bottom"/>
          </w:tcPr>
          <w:p>
            <w:pPr>
              <w:spacing w:after="0"/>
              <w:rPr>
                <w:sz w:val="15"/>
                <w:szCs w:val="15"/>
                <w:color w:val="auto"/>
              </w:rPr>
            </w:pPr>
          </w:p>
        </w:tc>
      </w:tr>
      <w:tr>
        <w:trPr>
          <w:trHeight w:val="24"/>
        </w:trPr>
        <w:tc>
          <w:tcPr>
            <w:tcW w:w="79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38"/>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960" w:type="dxa"/>
            <w:vAlign w:val="bottom"/>
            <w:shd w:val="clear" w:color="auto" w:fill="CCEEFF"/>
          </w:tcPr>
          <w:p>
            <w:pPr>
              <w:jc w:val="right"/>
              <w:ind w:right="781"/>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w w:val="93"/>
              </w:rPr>
              <w:t>1,700</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778"/>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93"/>
              </w:rPr>
              <w:t>1,713</w:t>
            </w:r>
          </w:p>
        </w:tc>
      </w:tr>
      <w:tr>
        <w:trPr>
          <w:trHeight w:val="238"/>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insurance recoverable</w:t>
            </w:r>
          </w:p>
        </w:tc>
        <w:tc>
          <w:tcPr>
            <w:tcW w:w="960" w:type="dxa"/>
            <w:vAlign w:val="bottom"/>
          </w:tcPr>
          <w:p>
            <w:pPr>
              <w:spacing w:after="0"/>
              <w:rPr>
                <w:sz w:val="20"/>
                <w:szCs w:val="20"/>
                <w:color w:val="auto"/>
              </w:rPr>
            </w:pPr>
          </w:p>
        </w:tc>
        <w:tc>
          <w:tcPr>
            <w:tcW w:w="6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(6)</w:t>
            </w:r>
          </w:p>
        </w:tc>
      </w:tr>
      <w:tr>
        <w:trPr>
          <w:trHeight w:val="238"/>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Claim loss provision related to:</w:t>
            </w:r>
          </w:p>
        </w:tc>
        <w:tc>
          <w:tcPr>
            <w:tcW w:w="9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r>
      <w:tr>
        <w:trPr>
          <w:trHeight w:val="239"/>
        </w:trPr>
        <w:tc>
          <w:tcPr>
            <w:tcW w:w="79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Current year</w:t>
            </w:r>
          </w:p>
        </w:tc>
        <w:tc>
          <w:tcPr>
            <w:tcW w:w="9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190</w:t>
            </w:r>
          </w:p>
        </w:tc>
      </w:tr>
      <w:tr>
        <w:trPr>
          <w:trHeight w:val="232"/>
        </w:trPr>
        <w:tc>
          <w:tcPr>
            <w:tcW w:w="79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title claim loss provision</w:t>
            </w:r>
          </w:p>
        </w:tc>
        <w:tc>
          <w:tcPr>
            <w:tcW w:w="96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190</w:t>
            </w:r>
          </w:p>
        </w:tc>
      </w:tr>
      <w:tr>
        <w:trPr>
          <w:trHeight w:val="238"/>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Claims paid, net of recoupments related to:</w:t>
            </w:r>
          </w:p>
        </w:tc>
        <w:tc>
          <w:tcPr>
            <w:tcW w:w="9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38"/>
        </w:trPr>
        <w:tc>
          <w:tcPr>
            <w:tcW w:w="7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year</w:t>
            </w:r>
          </w:p>
        </w:tc>
        <w:tc>
          <w:tcPr>
            <w:tcW w:w="96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(12)</w:t>
            </w:r>
          </w:p>
        </w:tc>
      </w:tr>
      <w:tr>
        <w:trPr>
          <w:trHeight w:val="239"/>
        </w:trPr>
        <w:tc>
          <w:tcPr>
            <w:tcW w:w="79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Prior years</w:t>
            </w:r>
          </w:p>
        </w:tc>
        <w:tc>
          <w:tcPr>
            <w:tcW w:w="9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(177)</w:t>
            </w:r>
          </w:p>
        </w:tc>
      </w:tr>
      <w:tr>
        <w:trPr>
          <w:trHeight w:val="232"/>
        </w:trPr>
        <w:tc>
          <w:tcPr>
            <w:tcW w:w="79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title claims paid, net of recoupments</w:t>
            </w:r>
          </w:p>
        </w:tc>
        <w:tc>
          <w:tcPr>
            <w:tcW w:w="96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(196)</w:t>
            </w:r>
          </w:p>
        </w:tc>
        <w:tc>
          <w:tcPr>
            <w:tcW w:w="120" w:type="dxa"/>
            <w:vAlign w:val="bottom"/>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(189)</w:t>
            </w:r>
          </w:p>
        </w:tc>
      </w:tr>
      <w:tr>
        <w:trPr>
          <w:trHeight w:val="23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 of claim loss reserve for title insurance</w:t>
            </w:r>
          </w:p>
        </w:tc>
        <w:tc>
          <w:tcPr>
            <w:tcW w:w="960" w:type="dxa"/>
            <w:vAlign w:val="bottom"/>
            <w:tcBorders>
              <w:bottom w:val="single" w:sz="8" w:color="auto"/>
            </w:tcBorders>
          </w:tcPr>
          <w:p>
            <w:pPr>
              <w:jc w:val="right"/>
              <w:ind w:right="781"/>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w w:val="93"/>
              </w:rPr>
              <w:t>1,718</w:t>
            </w:r>
          </w:p>
        </w:tc>
        <w:tc>
          <w:tcPr>
            <w:tcW w:w="120" w:type="dxa"/>
            <w:vAlign w:val="bottom"/>
          </w:tcPr>
          <w:p>
            <w:pPr>
              <w:spacing w:after="0"/>
              <w:rPr>
                <w:sz w:val="20"/>
                <w:szCs w:val="20"/>
                <w:color w:val="auto"/>
              </w:rPr>
            </w:pPr>
          </w:p>
        </w:tc>
        <w:tc>
          <w:tcPr>
            <w:tcW w:w="960" w:type="dxa"/>
            <w:vAlign w:val="bottom"/>
            <w:tcBorders>
              <w:bottom w:val="single" w:sz="8" w:color="auto"/>
            </w:tcBorders>
          </w:tcPr>
          <w:p>
            <w:pPr>
              <w:jc w:val="right"/>
              <w:ind w:right="778"/>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93"/>
              </w:rPr>
              <w:t>1,708</w:t>
            </w:r>
          </w:p>
        </w:tc>
      </w:tr>
      <w:tr>
        <w:trPr>
          <w:trHeight w:val="20"/>
        </w:trPr>
        <w:tc>
          <w:tcPr>
            <w:tcW w:w="79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257"/>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title insurance claim losses as a percentage of title insurance premiums</w:t>
            </w:r>
          </w:p>
        </w:tc>
        <w:tc>
          <w:tcPr>
            <w:tcW w:w="9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continually update loss reserve estimates as new information becomes known, new loss patterns emerge, or as other contributing factors are considered and incorporated into the analysis of reserve for claim losses. Estimating future title loss payments is difficult because of the complex nature of title claims, the long periods of time over which claims are paid, significantly varying dollar amounts of individual claims, and other factors.</w:t>
      </w:r>
    </w:p>
    <w:p>
      <w:pPr>
        <w:spacing w:after="0" w:line="7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Due to the uncertainty inherent in the process and to the judgment used by management, the ultimate liability may be greater or less than our current reserves. If actual claims loss development varies from what is currently expected and is not offset by other factors, additional reserve adjustments may be required in future periods to maintain our recorded reserve within a reasonable range of our actuary's central estimate.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C — Fair Value of Financial Instruments</w:t>
      </w:r>
    </w:p>
    <w:p>
      <w:pPr>
        <w:spacing w:after="0" w:line="179"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Our measurement of fair value is based on assumptions used by market participants in pricing the asset or liability, which may include inherent risk, restrictions on the sale or use of an asset, or non-performance risk, which may include our own credit risk. We estimate an exchange price is the price in an orderly transaction between market participants to sell the asset or transfer the liability ("exit price") in the principal market, or the most advantageous market for that asset or liability in the absence of a principal market as opposed to the price that would be paid to acquire the asset or assume a liability ("entry price"). We categorize financial instruments carried at fair value into a three-level fair value hierarchy, based on the priority of inputs to the respective valuation technique, along with net asset value. The three-level hierarchy for fair value measurement is defined as follows:</w:t>
      </w:r>
    </w:p>
    <w:p>
      <w:pPr>
        <w:spacing w:after="0" w:line="5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Values are unadjusted quoted prices for identical assets and liabilities in active markets accessible at the measurement date.</w:t>
      </w:r>
    </w:p>
    <w:p>
      <w:pPr>
        <w:spacing w:after="0" w:line="85" w:lineRule="exact"/>
        <w:rPr>
          <w:sz w:val="20"/>
          <w:szCs w:val="20"/>
          <w:color w:val="auto"/>
        </w:rPr>
      </w:pPr>
    </w:p>
    <w:p>
      <w:pPr>
        <w:jc w:val="both"/>
        <w:ind w:left="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Inputs include quoted prices for similar assets or liabilities in active markets, quoted prices from those willing to trade in markets that are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active, or other inputs that are observable or can be corroborated by market data for the term of the instrument. Such inputs include market interest rates and volatilities, spreads, and yield curves.</w:t>
      </w:r>
    </w:p>
    <w:p>
      <w:pPr>
        <w:spacing w:after="0" w:line="40" w:lineRule="exact"/>
        <w:rPr>
          <w:sz w:val="20"/>
          <w:szCs w:val="20"/>
          <w:color w:val="auto"/>
        </w:rPr>
      </w:pPr>
    </w:p>
    <w:p>
      <w:pPr>
        <w:jc w:val="both"/>
        <w:ind w:left="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Certain inputs are unobservable (supported by little or no market activity) and significant to the fair value measurement. Unobservable inputs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reflect the Company’s best estimate of what hypothetical market participants would use to determine a transaction price for the asset or liability at the reporting date based on the best information available in the circumstances.</w:t>
      </w:r>
    </w:p>
    <w:p>
      <w:pPr>
        <w:spacing w:after="0" w:line="40" w:lineRule="exact"/>
        <w:rPr>
          <w:sz w:val="20"/>
          <w:szCs w:val="20"/>
          <w:color w:val="auto"/>
        </w:rPr>
      </w:pPr>
    </w:p>
    <w:p>
      <w:pPr>
        <w:jc w:val="both"/>
        <w:ind w:left="440"/>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Net Asset Value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NAV</w:t>
      </w:r>
      <w:r>
        <w:rPr>
          <w:rFonts w:ascii="Times New Roman" w:cs="Times New Roman" w:eastAsia="Times New Roman" w:hAnsi="Times New Roman"/>
          <w:sz w:val="18"/>
          <w:szCs w:val="18"/>
          <w:color w:val="auto"/>
        </w:rPr>
        <w:t>") - Certain equity investments are measured using NAV as a practical expedient in determining fair value. In addition,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unconsolidated affiliates (primarily limited partnerships) are primarily accounted for using the equity method of accounting with fair value determined using NAV as a practical expedient. Our carrying value reflects our pro rata ownership percentage as indicated by NAV in the unconsolidated affiliate's financial statements, which we may adjust if we determine NAV is not calculated consistent with investment company fair value principles. The underlying investments of the unconsolidated affiliates may have significant unobservable inputs, which may include, but are not limited to, comparable multiples and weighted average cost of capital rates applied in valuation models or a discounted cash flow model. Additionally, management inquires quarterly with the general partner to determine whether any credit or other market events have occurred since prior period financial statements to ensure any material events are properly included in current period valuation and investment income.</w:t>
      </w:r>
    </w:p>
    <w:p>
      <w:pPr>
        <w:spacing w:after="0" w:line="9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certain cases, the inputs used to measure fair value may fall into different levels of the fair value hierarchy. In such cases, an investment’s level within the fair value hierarchy is based on the lowest level of input that is significant to the fair value measurement. Our assessment of the significance of a particular input to the fair value measurement in its entirety requires judgment and considers factors specific to the investment.</w:t>
      </w:r>
    </w:p>
    <w:p>
      <w:pPr>
        <w:spacing w:after="0" w:line="8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When a determination is made to classify an asset or liability within Level 3 of the fair value hierarchy, the determination is based upon the significance of the unobservable inputs to the overall fair value measurement. Because certain securities trade in less liquid or illiquid markets with limited or no pricing information, the determination of fair value for these securities is inherently more difficult. In addition to the unobservable inputs, Level 3 fair value investments may include observable components, which are components that are actively quoted or can be validated to market-based 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right="20" w:firstLine="318"/>
        <w:spacing w:after="0" w:line="259" w:lineRule="auto"/>
        <w:rPr>
          <w:sz w:val="20"/>
          <w:szCs w:val="20"/>
          <w:color w:val="auto"/>
        </w:rPr>
      </w:pPr>
      <w:r>
        <w:rPr>
          <w:rFonts w:ascii="Times New Roman" w:cs="Times New Roman" w:eastAsia="Times New Roman" w:hAnsi="Times New Roman"/>
          <w:sz w:val="18"/>
          <w:szCs w:val="18"/>
          <w:color w:val="auto"/>
        </w:rPr>
        <w:t>The estimated fair values of our financial instruments for which the disclosure of fair values is required, including financial assets and liabilities measured and carried at fair value on a recurring basis, with the exception of investment contracts, portions of other long-term investments and debt, which are disclosed later within this footnote, was summarized according to the hierarchy previously described,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40" w:type="dxa"/>
            <w:vAlign w:val="bottom"/>
            <w:gridSpan w:val="5"/>
          </w:tcPr>
          <w:p>
            <w:pPr>
              <w:ind w:left="82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5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5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5"/>
                <w:szCs w:val="15"/>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5"/>
                <w:szCs w:val="15"/>
                <w:color w:val="auto"/>
              </w:rPr>
            </w:pP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NAV</w:t>
            </w:r>
          </w:p>
        </w:tc>
        <w:tc>
          <w:tcPr>
            <w:tcW w:w="180" w:type="dxa"/>
            <w:vAlign w:val="bottom"/>
          </w:tcPr>
          <w:p>
            <w:pPr>
              <w:spacing w:after="0"/>
              <w:rPr>
                <w:sz w:val="15"/>
                <w:szCs w:val="15"/>
                <w:color w:val="auto"/>
              </w:rPr>
            </w:pPr>
          </w:p>
        </w:tc>
        <w:tc>
          <w:tcPr>
            <w:tcW w:w="960" w:type="dxa"/>
            <w:vAlign w:val="bottom"/>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4"/>
        </w:trPr>
        <w:tc>
          <w:tcPr>
            <w:tcW w:w="5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2,858</w:t>
            </w:r>
          </w:p>
        </w:tc>
        <w:tc>
          <w:tcPr>
            <w:tcW w:w="100" w:type="dxa"/>
            <w:vAlign w:val="bottom"/>
          </w:tcPr>
          <w:p>
            <w:pPr>
              <w:spacing w:after="0"/>
              <w:rPr>
                <w:sz w:val="16"/>
                <w:szCs w:val="16"/>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2,858</w:t>
            </w:r>
          </w:p>
        </w:tc>
        <w:tc>
          <w:tcPr>
            <w:tcW w:w="0" w:type="dxa"/>
            <w:vAlign w:val="bottom"/>
          </w:tcPr>
          <w:p>
            <w:pPr>
              <w:spacing w:after="0"/>
              <w:rPr>
                <w:sz w:val="1"/>
                <w:szCs w:val="1"/>
                <w:color w:val="auto"/>
              </w:rPr>
            </w:pPr>
          </w:p>
        </w:tc>
      </w:tr>
      <w:tr>
        <w:trPr>
          <w:trHeight w:val="24"/>
        </w:trPr>
        <w:tc>
          <w:tcPr>
            <w:tcW w:w="5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Fixed maturity securities, available-for-sale:</w:t>
            </w:r>
          </w:p>
        </w:tc>
        <w:tc>
          <w:tcPr>
            <w:tcW w:w="2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Asset-backed securities ("ABS")</w:t>
            </w:r>
          </w:p>
        </w:tc>
        <w:tc>
          <w:tcPr>
            <w:tcW w:w="2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6,646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11,207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17,853</w:t>
            </w:r>
          </w:p>
        </w:tc>
        <w:tc>
          <w:tcPr>
            <w:tcW w:w="0" w:type="dxa"/>
            <w:vAlign w:val="bottom"/>
          </w:tcPr>
          <w:p>
            <w:pPr>
              <w:spacing w:after="0"/>
              <w:rPr>
                <w:sz w:val="1"/>
                <w:szCs w:val="1"/>
                <w:color w:val="auto"/>
              </w:rPr>
            </w:pPr>
          </w:p>
        </w:tc>
      </w:tr>
      <w:tr>
        <w:trPr>
          <w:trHeight w:val="24"/>
        </w:trPr>
        <w:tc>
          <w:tcPr>
            <w:tcW w:w="5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55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Commercial mortgage-backed securities</w:t>
            </w:r>
          </w:p>
        </w:tc>
        <w:tc>
          <w:tcPr>
            <w:tcW w:w="2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4,170</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4,174</w:t>
            </w:r>
          </w:p>
        </w:tc>
        <w:tc>
          <w:tcPr>
            <w:tcW w:w="0" w:type="dxa"/>
            <w:vAlign w:val="bottom"/>
          </w:tcPr>
          <w:p>
            <w:pPr>
              <w:spacing w:after="0"/>
              <w:rPr>
                <w:sz w:val="1"/>
                <w:szCs w:val="1"/>
                <w:color w:val="auto"/>
              </w:rPr>
            </w:pPr>
          </w:p>
        </w:tc>
      </w:tr>
      <w:tr>
        <w:trPr>
          <w:trHeight w:val="188"/>
        </w:trPr>
        <w:tc>
          <w:tcPr>
            <w:tcW w:w="5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Corporates</w:t>
            </w:r>
          </w:p>
        </w:tc>
        <w:tc>
          <w:tcPr>
            <w:tcW w:w="220" w:type="dxa"/>
            <w:vAlign w:val="bottom"/>
          </w:tcPr>
          <w:p>
            <w:pPr>
              <w:spacing w:after="0"/>
              <w:rPr>
                <w:sz w:val="16"/>
                <w:szCs w:val="16"/>
                <w:color w:val="auto"/>
              </w:rPr>
            </w:pPr>
          </w:p>
        </w:tc>
        <w:tc>
          <w:tcPr>
            <w:tcW w:w="9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20,626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24,321</w:t>
            </w:r>
          </w:p>
        </w:tc>
        <w:tc>
          <w:tcPr>
            <w:tcW w:w="0" w:type="dxa"/>
            <w:vAlign w:val="bottom"/>
          </w:tcPr>
          <w:p>
            <w:pPr>
              <w:spacing w:after="0"/>
              <w:rPr>
                <w:sz w:val="1"/>
                <w:szCs w:val="1"/>
                <w:color w:val="auto"/>
              </w:rPr>
            </w:pPr>
          </w:p>
        </w:tc>
      </w:tr>
      <w:tr>
        <w:trPr>
          <w:trHeight w:val="24"/>
        </w:trPr>
        <w:tc>
          <w:tcPr>
            <w:tcW w:w="5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55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Hybrids</w:t>
            </w:r>
          </w:p>
        </w:tc>
        <w:tc>
          <w:tcPr>
            <w:tcW w:w="2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w:t>
            </w:r>
          </w:p>
        </w:tc>
        <w:tc>
          <w:tcPr>
            <w:tcW w:w="0" w:type="dxa"/>
            <w:vAlign w:val="bottom"/>
          </w:tcPr>
          <w:p>
            <w:pPr>
              <w:spacing w:after="0"/>
              <w:rPr>
                <w:sz w:val="1"/>
                <w:szCs w:val="1"/>
                <w:color w:val="auto"/>
              </w:rPr>
            </w:pPr>
          </w:p>
        </w:tc>
      </w:tr>
      <w:tr>
        <w:trPr>
          <w:trHeight w:val="188"/>
        </w:trPr>
        <w:tc>
          <w:tcPr>
            <w:tcW w:w="5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Municipals</w:t>
            </w:r>
          </w:p>
        </w:tc>
        <w:tc>
          <w:tcPr>
            <w:tcW w:w="2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1,258</w:t>
            </w:r>
          </w:p>
        </w:tc>
        <w:tc>
          <w:tcPr>
            <w:tcW w:w="0" w:type="dxa"/>
            <w:vAlign w:val="bottom"/>
          </w:tcPr>
          <w:p>
            <w:pPr>
              <w:spacing w:after="0"/>
              <w:rPr>
                <w:sz w:val="1"/>
                <w:szCs w:val="1"/>
                <w:color w:val="auto"/>
              </w:rPr>
            </w:pPr>
          </w:p>
        </w:tc>
      </w:tr>
      <w:tr>
        <w:trPr>
          <w:trHeight w:val="24"/>
        </w:trPr>
        <w:tc>
          <w:tcPr>
            <w:tcW w:w="5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55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Residential mortgage-backed securities</w:t>
            </w:r>
          </w:p>
        </w:tc>
        <w:tc>
          <w:tcPr>
            <w:tcW w:w="2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3,386</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3,386</w:t>
            </w:r>
          </w:p>
        </w:tc>
        <w:tc>
          <w:tcPr>
            <w:tcW w:w="0" w:type="dxa"/>
            <w:vAlign w:val="bottom"/>
          </w:tcPr>
          <w:p>
            <w:pPr>
              <w:spacing w:after="0"/>
              <w:rPr>
                <w:sz w:val="1"/>
                <w:szCs w:val="1"/>
                <w:color w:val="auto"/>
              </w:rPr>
            </w:pPr>
          </w:p>
        </w:tc>
      </w:tr>
      <w:tr>
        <w:trPr>
          <w:trHeight w:val="188"/>
        </w:trPr>
        <w:tc>
          <w:tcPr>
            <w:tcW w:w="5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U.S. Government</w:t>
            </w:r>
          </w:p>
        </w:tc>
        <w:tc>
          <w:tcPr>
            <w:tcW w:w="220" w:type="dxa"/>
            <w:vAlign w:val="bottom"/>
          </w:tcPr>
          <w:p>
            <w:pPr>
              <w:spacing w:after="0"/>
              <w:rPr>
                <w:sz w:val="16"/>
                <w:szCs w:val="16"/>
                <w:color w:val="auto"/>
              </w:rPr>
            </w:pPr>
          </w:p>
        </w:tc>
        <w:tc>
          <w:tcPr>
            <w:tcW w:w="9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825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840</w:t>
            </w:r>
          </w:p>
        </w:tc>
        <w:tc>
          <w:tcPr>
            <w:tcW w:w="0" w:type="dxa"/>
            <w:vAlign w:val="bottom"/>
          </w:tcPr>
          <w:p>
            <w:pPr>
              <w:spacing w:after="0"/>
              <w:rPr>
                <w:sz w:val="1"/>
                <w:szCs w:val="1"/>
                <w:color w:val="auto"/>
              </w:rPr>
            </w:pPr>
          </w:p>
        </w:tc>
      </w:tr>
      <w:tr>
        <w:trPr>
          <w:trHeight w:val="24"/>
        </w:trPr>
        <w:tc>
          <w:tcPr>
            <w:tcW w:w="5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55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Foreign Governments</w:t>
            </w:r>
          </w:p>
        </w:tc>
        <w:tc>
          <w:tcPr>
            <w:tcW w:w="2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0" w:type="dxa"/>
            <w:vAlign w:val="bottom"/>
          </w:tcPr>
          <w:p>
            <w:pPr>
              <w:spacing w:after="0"/>
              <w:rPr>
                <w:sz w:val="1"/>
                <w:szCs w:val="1"/>
                <w:color w:val="auto"/>
              </w:rPr>
            </w:pPr>
          </w:p>
        </w:tc>
      </w:tr>
      <w:tr>
        <w:trPr>
          <w:trHeight w:val="188"/>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Fixed maturity securities, at fair value under fair value option (a)</w:t>
            </w:r>
          </w:p>
        </w:tc>
        <w:tc>
          <w:tcPr>
            <w:tcW w:w="2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0" w:type="dxa"/>
            <w:vAlign w:val="bottom"/>
          </w:tcPr>
          <w:p>
            <w:pPr>
              <w:spacing w:after="0"/>
              <w:rPr>
                <w:sz w:val="1"/>
                <w:szCs w:val="1"/>
                <w:color w:val="auto"/>
              </w:rPr>
            </w:pPr>
          </w:p>
        </w:tc>
      </w:tr>
      <w:tr>
        <w:trPr>
          <w:trHeight w:val="24"/>
        </w:trPr>
        <w:tc>
          <w:tcPr>
            <w:tcW w:w="5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securities:</w:t>
            </w:r>
          </w:p>
        </w:tc>
        <w:tc>
          <w:tcPr>
            <w:tcW w:w="2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5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Preferred equity securities</w:t>
            </w:r>
          </w:p>
        </w:tc>
        <w:tc>
          <w:tcPr>
            <w:tcW w:w="220" w:type="dxa"/>
            <w:vAlign w:val="bottom"/>
          </w:tcPr>
          <w:p>
            <w:pPr>
              <w:spacing w:after="0"/>
              <w:rPr>
                <w:sz w:val="16"/>
                <w:szCs w:val="16"/>
                <w:color w:val="auto"/>
              </w:rPr>
            </w:pPr>
          </w:p>
        </w:tc>
        <w:tc>
          <w:tcPr>
            <w:tcW w:w="9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160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w:t>
            </w:r>
          </w:p>
        </w:tc>
        <w:tc>
          <w:tcPr>
            <w:tcW w:w="0" w:type="dxa"/>
            <w:vAlign w:val="bottom"/>
          </w:tcPr>
          <w:p>
            <w:pPr>
              <w:spacing w:after="0"/>
              <w:rPr>
                <w:sz w:val="1"/>
                <w:szCs w:val="1"/>
                <w:color w:val="auto"/>
              </w:rPr>
            </w:pPr>
          </w:p>
        </w:tc>
      </w:tr>
      <w:tr>
        <w:trPr>
          <w:trHeight w:val="24"/>
        </w:trPr>
        <w:tc>
          <w:tcPr>
            <w:tcW w:w="5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55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Common equity securities</w:t>
            </w:r>
          </w:p>
        </w:tc>
        <w:tc>
          <w:tcPr>
            <w:tcW w:w="2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622</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w:t>
            </w:r>
          </w:p>
        </w:tc>
        <w:tc>
          <w:tcPr>
            <w:tcW w:w="0" w:type="dxa"/>
            <w:vAlign w:val="bottom"/>
          </w:tcPr>
          <w:p>
            <w:pPr>
              <w:spacing w:after="0"/>
              <w:rPr>
                <w:sz w:val="1"/>
                <w:szCs w:val="1"/>
                <w:color w:val="auto"/>
              </w:rPr>
            </w:pPr>
          </w:p>
        </w:tc>
      </w:tr>
      <w:tr>
        <w:trPr>
          <w:trHeight w:val="188"/>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Derivative investments</w:t>
            </w:r>
          </w:p>
        </w:tc>
        <w:tc>
          <w:tcPr>
            <w:tcW w:w="2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1,146</w:t>
            </w:r>
          </w:p>
        </w:tc>
        <w:tc>
          <w:tcPr>
            <w:tcW w:w="0" w:type="dxa"/>
            <w:vAlign w:val="bottom"/>
          </w:tcPr>
          <w:p>
            <w:pPr>
              <w:spacing w:after="0"/>
              <w:rPr>
                <w:sz w:val="1"/>
                <w:szCs w:val="1"/>
                <w:color w:val="auto"/>
              </w:rPr>
            </w:pPr>
          </w:p>
        </w:tc>
      </w:tr>
      <w:tr>
        <w:trPr>
          <w:trHeight w:val="24"/>
        </w:trPr>
        <w:tc>
          <w:tcPr>
            <w:tcW w:w="5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Investments in unconsolidated affiliates</w:t>
            </w:r>
          </w:p>
        </w:tc>
        <w:tc>
          <w:tcPr>
            <w:tcW w:w="2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0" w:type="dxa"/>
            <w:vAlign w:val="bottom"/>
          </w:tcPr>
          <w:p>
            <w:pPr>
              <w:spacing w:after="0"/>
              <w:rPr>
                <w:sz w:val="1"/>
                <w:szCs w:val="1"/>
                <w:color w:val="auto"/>
              </w:rPr>
            </w:pPr>
          </w:p>
        </w:tc>
      </w:tr>
      <w:tr>
        <w:trPr>
          <w:trHeight w:val="188"/>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long-term investments (a)</w:t>
            </w:r>
          </w:p>
        </w:tc>
        <w:tc>
          <w:tcPr>
            <w:tcW w:w="2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w:t>
            </w:r>
          </w:p>
        </w:tc>
        <w:tc>
          <w:tcPr>
            <w:tcW w:w="0" w:type="dxa"/>
            <w:vAlign w:val="bottom"/>
          </w:tcPr>
          <w:p>
            <w:pPr>
              <w:spacing w:after="0"/>
              <w:rPr>
                <w:sz w:val="1"/>
                <w:szCs w:val="1"/>
                <w:color w:val="auto"/>
              </w:rPr>
            </w:pPr>
          </w:p>
        </w:tc>
      </w:tr>
      <w:tr>
        <w:trPr>
          <w:trHeight w:val="24"/>
        </w:trPr>
        <w:tc>
          <w:tcPr>
            <w:tcW w:w="5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Short-term investments</w:t>
            </w:r>
          </w:p>
        </w:tc>
        <w:tc>
          <w:tcPr>
            <w:tcW w:w="2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1,119</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1,252</w:t>
            </w:r>
          </w:p>
        </w:tc>
        <w:tc>
          <w:tcPr>
            <w:tcW w:w="0" w:type="dxa"/>
            <w:vAlign w:val="bottom"/>
          </w:tcPr>
          <w:p>
            <w:pPr>
              <w:spacing w:after="0"/>
              <w:rPr>
                <w:sz w:val="1"/>
                <w:szCs w:val="1"/>
                <w:color w:val="auto"/>
              </w:rPr>
            </w:pPr>
          </w:p>
        </w:tc>
      </w:tr>
      <w:tr>
        <w:trPr>
          <w:trHeight w:val="150"/>
        </w:trPr>
        <w:tc>
          <w:tcPr>
            <w:tcW w:w="5500" w:type="dxa"/>
            <w:vAlign w:val="bottom"/>
          </w:tcPr>
          <w:p>
            <w:pPr>
              <w:ind w:left="20"/>
              <w:spacing w:after="0" w:line="150" w:lineRule="exact"/>
              <w:rPr>
                <w:sz w:val="20"/>
                <w:szCs w:val="20"/>
                <w:color w:val="auto"/>
              </w:rPr>
            </w:pPr>
            <w:r>
              <w:rPr>
                <w:rFonts w:ascii="Times New Roman" w:cs="Times New Roman" w:eastAsia="Times New Roman" w:hAnsi="Times New Roman"/>
                <w:sz w:val="14"/>
                <w:szCs w:val="14"/>
                <w:color w:val="auto"/>
              </w:rPr>
              <w:t>Indexed annuities/indexed universal life insurance ("IUL") ceded embedded derivatives,</w:t>
            </w:r>
          </w:p>
        </w:tc>
        <w:tc>
          <w:tcPr>
            <w:tcW w:w="220" w:type="dxa"/>
            <w:vAlign w:val="bottom"/>
          </w:tcPr>
          <w:p>
            <w:pPr>
              <w:spacing w:after="0"/>
              <w:rPr>
                <w:sz w:val="13"/>
                <w:szCs w:val="13"/>
                <w:color w:val="auto"/>
              </w:rPr>
            </w:pP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3"/>
                <w:szCs w:val="13"/>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947</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947</w:t>
            </w:r>
          </w:p>
        </w:tc>
        <w:tc>
          <w:tcPr>
            <w:tcW w:w="0" w:type="dxa"/>
            <w:vAlign w:val="bottom"/>
          </w:tcPr>
          <w:p>
            <w:pPr>
              <w:spacing w:after="0"/>
              <w:rPr>
                <w:sz w:val="1"/>
                <w:szCs w:val="1"/>
                <w:color w:val="auto"/>
              </w:rPr>
            </w:pPr>
          </w:p>
        </w:tc>
      </w:tr>
      <w:tr>
        <w:trPr>
          <w:trHeight w:val="189"/>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included in Reinsurance recoverable</w:t>
            </w:r>
          </w:p>
        </w:tc>
        <w:tc>
          <w:tcPr>
            <w:tcW w:w="2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Market risk benefits asset</w:t>
            </w:r>
          </w:p>
        </w:tc>
        <w:tc>
          <w:tcPr>
            <w:tcW w:w="2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0" w:type="dxa"/>
            <w:vAlign w:val="bottom"/>
          </w:tcPr>
          <w:p>
            <w:pPr>
              <w:spacing w:after="0"/>
              <w:rPr>
                <w:sz w:val="1"/>
                <w:szCs w:val="1"/>
                <w:color w:val="auto"/>
              </w:rPr>
            </w:pPr>
          </w:p>
        </w:tc>
      </w:tr>
      <w:tr>
        <w:trPr>
          <w:trHeight w:val="188"/>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Mortgage servicing rights ("MSRs")</w:t>
            </w:r>
          </w:p>
        </w:tc>
        <w:tc>
          <w:tcPr>
            <w:tcW w:w="2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0" w:type="dxa"/>
            <w:vAlign w:val="bottom"/>
          </w:tcPr>
          <w:p>
            <w:pPr>
              <w:spacing w:after="0"/>
              <w:rPr>
                <w:sz w:val="1"/>
                <w:szCs w:val="1"/>
                <w:color w:val="auto"/>
              </w:rPr>
            </w:pPr>
          </w:p>
        </w:tc>
      </w:tr>
      <w:tr>
        <w:trPr>
          <w:trHeight w:val="24"/>
        </w:trPr>
        <w:tc>
          <w:tcPr>
            <w:tcW w:w="5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5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b w:val="1"/>
                <w:bCs w:val="1"/>
                <w:color w:val="auto"/>
              </w:rPr>
              <w:t>Total financial assets at fair value</w:t>
            </w: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5,755</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38,605</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16,804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61,211</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55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
        </w:trPr>
        <w:tc>
          <w:tcPr>
            <w:tcW w:w="5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Derivatives:</w:t>
            </w:r>
          </w:p>
        </w:tc>
        <w:tc>
          <w:tcPr>
            <w:tcW w:w="2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Indexed annuities/IUL embedded derivatives, included in Contractholder funds</w:t>
            </w: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6,456</w:t>
            </w:r>
          </w:p>
        </w:tc>
        <w:tc>
          <w:tcPr>
            <w:tcW w:w="100" w:type="dxa"/>
            <w:vAlign w:val="bottom"/>
          </w:tcPr>
          <w:p>
            <w:pPr>
              <w:spacing w:after="0"/>
              <w:rPr>
                <w:sz w:val="16"/>
                <w:szCs w:val="16"/>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6,456</w:t>
            </w:r>
          </w:p>
        </w:tc>
        <w:tc>
          <w:tcPr>
            <w:tcW w:w="0" w:type="dxa"/>
            <w:vAlign w:val="bottom"/>
          </w:tcPr>
          <w:p>
            <w:pPr>
              <w:spacing w:after="0"/>
              <w:rPr>
                <w:sz w:val="1"/>
                <w:szCs w:val="1"/>
                <w:color w:val="auto"/>
              </w:rPr>
            </w:pPr>
          </w:p>
        </w:tc>
      </w:tr>
      <w:tr>
        <w:trPr>
          <w:trHeight w:val="24"/>
        </w:trPr>
        <w:tc>
          <w:tcPr>
            <w:tcW w:w="5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0"/>
        </w:trPr>
        <w:tc>
          <w:tcPr>
            <w:tcW w:w="5500" w:type="dxa"/>
            <w:vAlign w:val="bottom"/>
            <w:shd w:val="clear" w:color="auto" w:fill="CCEEFF"/>
          </w:tcPr>
          <w:p>
            <w:pPr>
              <w:ind w:left="220"/>
              <w:spacing w:after="0" w:line="150" w:lineRule="exact"/>
              <w:rPr>
                <w:sz w:val="20"/>
                <w:szCs w:val="20"/>
                <w:color w:val="auto"/>
              </w:rPr>
            </w:pPr>
            <w:r>
              <w:rPr>
                <w:rFonts w:ascii="Times New Roman" w:cs="Times New Roman" w:eastAsia="Times New Roman" w:hAnsi="Times New Roman"/>
                <w:sz w:val="14"/>
                <w:szCs w:val="14"/>
                <w:color w:val="auto"/>
              </w:rPr>
              <w:t>Interest rate and foreign currency swaps, included in Accounts payable and accrued</w:t>
            </w:r>
          </w:p>
        </w:tc>
        <w:tc>
          <w:tcPr>
            <w:tcW w:w="22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0" w:type="dxa"/>
            <w:vAlign w:val="bottom"/>
          </w:tcPr>
          <w:p>
            <w:pPr>
              <w:spacing w:after="0"/>
              <w:rPr>
                <w:sz w:val="1"/>
                <w:szCs w:val="1"/>
                <w:color w:val="auto"/>
              </w:rPr>
            </w:pPr>
          </w:p>
        </w:tc>
      </w:tr>
      <w:tr>
        <w:trPr>
          <w:trHeight w:val="195"/>
        </w:trPr>
        <w:tc>
          <w:tcPr>
            <w:tcW w:w="5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liabilities</w:t>
            </w:r>
          </w:p>
        </w:tc>
        <w:tc>
          <w:tcPr>
            <w:tcW w:w="22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5500" w:type="dxa"/>
            <w:vAlign w:val="bottom"/>
          </w:tcPr>
          <w:p>
            <w:pPr>
              <w:ind w:left="220"/>
              <w:spacing w:after="0" w:line="150" w:lineRule="exact"/>
              <w:rPr>
                <w:sz w:val="20"/>
                <w:szCs w:val="20"/>
                <w:color w:val="auto"/>
              </w:rPr>
            </w:pPr>
            <w:r>
              <w:rPr>
                <w:rFonts w:ascii="Times New Roman" w:cs="Times New Roman" w:eastAsia="Times New Roman" w:hAnsi="Times New Roman"/>
                <w:sz w:val="14"/>
                <w:szCs w:val="14"/>
                <w:color w:val="auto"/>
              </w:rPr>
              <w:t>Reinsurance related embedded derivatives, included in Funds withheld for reinsurance</w:t>
            </w:r>
          </w:p>
        </w:tc>
        <w:tc>
          <w:tcPr>
            <w:tcW w:w="220" w:type="dxa"/>
            <w:vAlign w:val="bottom"/>
          </w:tcPr>
          <w:p>
            <w:pPr>
              <w:spacing w:after="0"/>
              <w:rPr>
                <w:sz w:val="13"/>
                <w:szCs w:val="13"/>
                <w:color w:val="auto"/>
              </w:rPr>
            </w:pP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(545)</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3"/>
                <w:szCs w:val="13"/>
                <w:color w:val="auto"/>
              </w:rPr>
            </w:pPr>
          </w:p>
        </w:tc>
        <w:tc>
          <w:tcPr>
            <w:tcW w:w="72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(545)</w:t>
            </w:r>
          </w:p>
        </w:tc>
        <w:tc>
          <w:tcPr>
            <w:tcW w:w="0" w:type="dxa"/>
            <w:vAlign w:val="bottom"/>
          </w:tcPr>
          <w:p>
            <w:pPr>
              <w:spacing w:after="0"/>
              <w:rPr>
                <w:sz w:val="1"/>
                <w:szCs w:val="1"/>
                <w:color w:val="auto"/>
              </w:rPr>
            </w:pPr>
          </w:p>
        </w:tc>
      </w:tr>
      <w:tr>
        <w:trPr>
          <w:trHeight w:val="189"/>
        </w:trPr>
        <w:tc>
          <w:tcPr>
            <w:tcW w:w="5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liabilities</w:t>
            </w:r>
          </w:p>
        </w:tc>
        <w:tc>
          <w:tcPr>
            <w:tcW w:w="2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Contingent consideration, included in Accounts payable and accrued liabilities</w:t>
            </w:r>
          </w:p>
        </w:tc>
        <w:tc>
          <w:tcPr>
            <w:tcW w:w="2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0" w:type="dxa"/>
            <w:vAlign w:val="bottom"/>
          </w:tcPr>
          <w:p>
            <w:pPr>
              <w:spacing w:after="0"/>
              <w:rPr>
                <w:sz w:val="1"/>
                <w:szCs w:val="1"/>
                <w:color w:val="auto"/>
              </w:rPr>
            </w:pPr>
          </w:p>
        </w:tc>
      </w:tr>
      <w:tr>
        <w:trPr>
          <w:trHeight w:val="188"/>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Market risk benefits liability</w:t>
            </w:r>
          </w:p>
        </w:tc>
        <w:tc>
          <w:tcPr>
            <w:tcW w:w="2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906</w:t>
            </w:r>
          </w:p>
        </w:tc>
        <w:tc>
          <w:tcPr>
            <w:tcW w:w="0" w:type="dxa"/>
            <w:vAlign w:val="bottom"/>
          </w:tcPr>
          <w:p>
            <w:pPr>
              <w:spacing w:after="0"/>
              <w:rPr>
                <w:sz w:val="1"/>
                <w:szCs w:val="1"/>
                <w:color w:val="auto"/>
              </w:rPr>
            </w:pPr>
          </w:p>
        </w:tc>
      </w:tr>
      <w:tr>
        <w:trPr>
          <w:trHeight w:val="24"/>
        </w:trPr>
        <w:tc>
          <w:tcPr>
            <w:tcW w:w="5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5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b w:val="1"/>
                <w:bCs w:val="1"/>
                <w:color w:val="auto"/>
              </w:rPr>
              <w:t>Total financial liabilities at fair value</w:t>
            </w:r>
          </w:p>
        </w:tc>
        <w:tc>
          <w:tcPr>
            <w:tcW w:w="2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7,190</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(a) Includes certain interests in VIEs for which the fair value option has been elected. Refer to Note D </w:t>
      </w:r>
      <w:r>
        <w:rPr>
          <w:rFonts w:ascii="Times New Roman" w:cs="Times New Roman" w:eastAsia="Times New Roman" w:hAnsi="Times New Roman"/>
          <w:sz w:val="14"/>
          <w:szCs w:val="14"/>
          <w:i w:val="1"/>
          <w:iCs w:val="1"/>
          <w:color w:val="auto"/>
        </w:rPr>
        <w:t>Investments</w:t>
      </w:r>
      <w:r>
        <w:rPr>
          <w:rFonts w:ascii="Times New Roman" w:cs="Times New Roman" w:eastAsia="Times New Roman" w:hAnsi="Times New Roman"/>
          <w:sz w:val="14"/>
          <w:szCs w:val="14"/>
          <w:color w:val="auto"/>
        </w:rPr>
        <w:t xml:space="preserve"> for further details.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5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5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5"/>
                <w:szCs w:val="15"/>
                <w:color w:val="auto"/>
              </w:rPr>
            </w:pPr>
          </w:p>
        </w:tc>
        <w:tc>
          <w:tcPr>
            <w:tcW w:w="860" w:type="dxa"/>
            <w:vAlign w:val="bottom"/>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NAV</w:t>
            </w:r>
          </w:p>
        </w:tc>
        <w:tc>
          <w:tcPr>
            <w:tcW w:w="180" w:type="dxa"/>
            <w:vAlign w:val="bottom"/>
          </w:tcPr>
          <w:p>
            <w:pPr>
              <w:spacing w:after="0"/>
              <w:rPr>
                <w:sz w:val="15"/>
                <w:szCs w:val="15"/>
                <w:color w:val="auto"/>
              </w:rPr>
            </w:pPr>
          </w:p>
        </w:tc>
        <w:tc>
          <w:tcPr>
            <w:tcW w:w="960" w:type="dxa"/>
            <w:vAlign w:val="bottom"/>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4"/>
        </w:trPr>
        <w:tc>
          <w:tcPr>
            <w:tcW w:w="5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2,636</w:t>
            </w:r>
          </w:p>
        </w:tc>
        <w:tc>
          <w:tcPr>
            <w:tcW w:w="100" w:type="dxa"/>
            <w:vAlign w:val="bottom"/>
          </w:tcPr>
          <w:p>
            <w:pPr>
              <w:spacing w:after="0"/>
              <w:rPr>
                <w:sz w:val="16"/>
                <w:szCs w:val="16"/>
                <w:color w:val="auto"/>
              </w:rPr>
            </w:pP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3"/>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2,636</w:t>
            </w:r>
          </w:p>
        </w:tc>
        <w:tc>
          <w:tcPr>
            <w:tcW w:w="0" w:type="dxa"/>
            <w:vAlign w:val="bottom"/>
          </w:tcPr>
          <w:p>
            <w:pPr>
              <w:spacing w:after="0"/>
              <w:rPr>
                <w:sz w:val="1"/>
                <w:szCs w:val="1"/>
                <w:color w:val="auto"/>
              </w:rPr>
            </w:pPr>
          </w:p>
        </w:tc>
      </w:tr>
      <w:tr>
        <w:trPr>
          <w:trHeight w:val="24"/>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Fixed maturity securities, available-for-sale:</w:t>
            </w:r>
          </w:p>
        </w:tc>
        <w:tc>
          <w:tcPr>
            <w:tcW w:w="2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Asset-backed securities</w:t>
            </w:r>
          </w:p>
        </w:tc>
        <w:tc>
          <w:tcPr>
            <w:tcW w:w="2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8,644</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10,094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18,738</w:t>
            </w:r>
          </w:p>
        </w:tc>
        <w:tc>
          <w:tcPr>
            <w:tcW w:w="0" w:type="dxa"/>
            <w:vAlign w:val="bottom"/>
          </w:tcPr>
          <w:p>
            <w:pPr>
              <w:spacing w:after="0"/>
              <w:rPr>
                <w:sz w:val="1"/>
                <w:szCs w:val="1"/>
                <w:color w:val="auto"/>
              </w:rPr>
            </w:pPr>
          </w:p>
        </w:tc>
      </w:tr>
      <w:tr>
        <w:trPr>
          <w:trHeight w:val="24"/>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55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Commercial mortgage-backed securities</w:t>
            </w:r>
          </w:p>
        </w:tc>
        <w:tc>
          <w:tcPr>
            <w:tcW w:w="2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5,199</w:t>
            </w:r>
          </w:p>
        </w:tc>
        <w:tc>
          <w:tcPr>
            <w:tcW w:w="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5,199</w:t>
            </w:r>
          </w:p>
        </w:tc>
        <w:tc>
          <w:tcPr>
            <w:tcW w:w="0" w:type="dxa"/>
            <w:vAlign w:val="bottom"/>
          </w:tcPr>
          <w:p>
            <w:pPr>
              <w:spacing w:after="0"/>
              <w:rPr>
                <w:sz w:val="1"/>
                <w:szCs w:val="1"/>
                <w:color w:val="auto"/>
              </w:rPr>
            </w:pPr>
          </w:p>
        </w:tc>
      </w:tr>
      <w:tr>
        <w:trPr>
          <w:trHeight w:val="188"/>
        </w:trPr>
        <w:tc>
          <w:tcPr>
            <w:tcW w:w="5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Corporates</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21,262</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24,447</w:t>
            </w:r>
          </w:p>
        </w:tc>
        <w:tc>
          <w:tcPr>
            <w:tcW w:w="0" w:type="dxa"/>
            <w:vAlign w:val="bottom"/>
          </w:tcPr>
          <w:p>
            <w:pPr>
              <w:spacing w:after="0"/>
              <w:rPr>
                <w:sz w:val="1"/>
                <w:szCs w:val="1"/>
                <w:color w:val="auto"/>
              </w:rPr>
            </w:pPr>
          </w:p>
        </w:tc>
      </w:tr>
      <w:tr>
        <w:trPr>
          <w:trHeight w:val="24"/>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55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Hybrids</w:t>
            </w:r>
          </w:p>
        </w:tc>
        <w:tc>
          <w:tcPr>
            <w:tcW w:w="2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w:t>
            </w:r>
          </w:p>
        </w:tc>
        <w:tc>
          <w:tcPr>
            <w:tcW w:w="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609</w:t>
            </w:r>
          </w:p>
        </w:tc>
        <w:tc>
          <w:tcPr>
            <w:tcW w:w="0" w:type="dxa"/>
            <w:vAlign w:val="bottom"/>
          </w:tcPr>
          <w:p>
            <w:pPr>
              <w:spacing w:after="0"/>
              <w:rPr>
                <w:sz w:val="1"/>
                <w:szCs w:val="1"/>
                <w:color w:val="auto"/>
              </w:rPr>
            </w:pPr>
          </w:p>
        </w:tc>
      </w:tr>
      <w:tr>
        <w:trPr>
          <w:trHeight w:val="188"/>
        </w:trPr>
        <w:tc>
          <w:tcPr>
            <w:tcW w:w="5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Municipals</w:t>
            </w:r>
          </w:p>
        </w:tc>
        <w:tc>
          <w:tcPr>
            <w:tcW w:w="2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1,390</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1,393</w:t>
            </w:r>
          </w:p>
        </w:tc>
        <w:tc>
          <w:tcPr>
            <w:tcW w:w="0" w:type="dxa"/>
            <w:vAlign w:val="bottom"/>
          </w:tcPr>
          <w:p>
            <w:pPr>
              <w:spacing w:after="0"/>
              <w:rPr>
                <w:sz w:val="1"/>
                <w:szCs w:val="1"/>
                <w:color w:val="auto"/>
              </w:rPr>
            </w:pPr>
          </w:p>
        </w:tc>
      </w:tr>
      <w:tr>
        <w:trPr>
          <w:trHeight w:val="24"/>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55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Residential mortgage-backed securities</w:t>
            </w:r>
          </w:p>
        </w:tc>
        <w:tc>
          <w:tcPr>
            <w:tcW w:w="2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2,848</w:t>
            </w:r>
          </w:p>
        </w:tc>
        <w:tc>
          <w:tcPr>
            <w:tcW w:w="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2,851</w:t>
            </w:r>
          </w:p>
        </w:tc>
        <w:tc>
          <w:tcPr>
            <w:tcW w:w="0" w:type="dxa"/>
            <w:vAlign w:val="bottom"/>
          </w:tcPr>
          <w:p>
            <w:pPr>
              <w:spacing w:after="0"/>
              <w:rPr>
                <w:sz w:val="1"/>
                <w:szCs w:val="1"/>
                <w:color w:val="auto"/>
              </w:rPr>
            </w:pPr>
          </w:p>
        </w:tc>
      </w:tr>
      <w:tr>
        <w:trPr>
          <w:trHeight w:val="188"/>
        </w:trPr>
        <w:tc>
          <w:tcPr>
            <w:tcW w:w="5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U.S. Government</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956</w:t>
            </w:r>
          </w:p>
        </w:tc>
        <w:tc>
          <w:tcPr>
            <w:tcW w:w="0" w:type="dxa"/>
            <w:vAlign w:val="bottom"/>
          </w:tcPr>
          <w:p>
            <w:pPr>
              <w:spacing w:after="0"/>
              <w:rPr>
                <w:sz w:val="1"/>
                <w:szCs w:val="1"/>
                <w:color w:val="auto"/>
              </w:rPr>
            </w:pPr>
          </w:p>
        </w:tc>
      </w:tr>
      <w:tr>
        <w:trPr>
          <w:trHeight w:val="24"/>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55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Foreign Governments</w:t>
            </w:r>
          </w:p>
        </w:tc>
        <w:tc>
          <w:tcPr>
            <w:tcW w:w="2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0" w:type="dxa"/>
            <w:vAlign w:val="bottom"/>
          </w:tcPr>
          <w:p>
            <w:pPr>
              <w:spacing w:after="0"/>
              <w:rPr>
                <w:sz w:val="1"/>
                <w:szCs w:val="1"/>
                <w:color w:val="auto"/>
              </w:rPr>
            </w:pPr>
          </w:p>
        </w:tc>
      </w:tr>
      <w:tr>
        <w:trPr>
          <w:trHeight w:val="188"/>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securities:</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55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Preferred equity securities</w:t>
            </w:r>
          </w:p>
        </w:tc>
        <w:tc>
          <w:tcPr>
            <w:tcW w:w="2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w:t>
            </w:r>
          </w:p>
        </w:tc>
        <w:tc>
          <w:tcPr>
            <w:tcW w:w="0" w:type="dxa"/>
            <w:vAlign w:val="bottom"/>
          </w:tcPr>
          <w:p>
            <w:pPr>
              <w:spacing w:after="0"/>
              <w:rPr>
                <w:sz w:val="1"/>
                <w:szCs w:val="1"/>
                <w:color w:val="auto"/>
              </w:rPr>
            </w:pPr>
          </w:p>
        </w:tc>
      </w:tr>
      <w:tr>
        <w:trPr>
          <w:trHeight w:val="188"/>
        </w:trPr>
        <w:tc>
          <w:tcPr>
            <w:tcW w:w="5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Common equity securities</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w:t>
            </w:r>
          </w:p>
        </w:tc>
        <w:tc>
          <w:tcPr>
            <w:tcW w:w="0" w:type="dxa"/>
            <w:vAlign w:val="bottom"/>
          </w:tcPr>
          <w:p>
            <w:pPr>
              <w:spacing w:after="0"/>
              <w:rPr>
                <w:sz w:val="1"/>
                <w:szCs w:val="1"/>
                <w:color w:val="auto"/>
              </w:rPr>
            </w:pPr>
          </w:p>
        </w:tc>
      </w:tr>
      <w:tr>
        <w:trPr>
          <w:trHeight w:val="24"/>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Derivative investments</w:t>
            </w:r>
          </w:p>
        </w:tc>
        <w:tc>
          <w:tcPr>
            <w:tcW w:w="2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1,156</w:t>
            </w:r>
          </w:p>
        </w:tc>
        <w:tc>
          <w:tcPr>
            <w:tcW w:w="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1,156</w:t>
            </w:r>
          </w:p>
        </w:tc>
        <w:tc>
          <w:tcPr>
            <w:tcW w:w="0" w:type="dxa"/>
            <w:vAlign w:val="bottom"/>
          </w:tcPr>
          <w:p>
            <w:pPr>
              <w:spacing w:after="0"/>
              <w:rPr>
                <w:sz w:val="1"/>
                <w:szCs w:val="1"/>
                <w:color w:val="auto"/>
              </w:rPr>
            </w:pPr>
          </w:p>
        </w:tc>
      </w:tr>
      <w:tr>
        <w:trPr>
          <w:trHeight w:val="188"/>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Investments in unconsolidated affiliates</w:t>
            </w:r>
          </w:p>
        </w:tc>
        <w:tc>
          <w:tcPr>
            <w:tcW w:w="2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0" w:type="dxa"/>
            <w:vAlign w:val="bottom"/>
          </w:tcPr>
          <w:p>
            <w:pPr>
              <w:spacing w:after="0"/>
              <w:rPr>
                <w:sz w:val="1"/>
                <w:szCs w:val="1"/>
                <w:color w:val="auto"/>
              </w:rPr>
            </w:pPr>
          </w:p>
        </w:tc>
      </w:tr>
      <w:tr>
        <w:trPr>
          <w:trHeight w:val="24"/>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long-term investments (a)</w:t>
            </w:r>
          </w:p>
        </w:tc>
        <w:tc>
          <w:tcPr>
            <w:tcW w:w="2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0" w:type="dxa"/>
            <w:vAlign w:val="bottom"/>
          </w:tcPr>
          <w:p>
            <w:pPr>
              <w:spacing w:after="0"/>
              <w:rPr>
                <w:sz w:val="1"/>
                <w:szCs w:val="1"/>
                <w:color w:val="auto"/>
              </w:rPr>
            </w:pPr>
          </w:p>
        </w:tc>
      </w:tr>
      <w:tr>
        <w:trPr>
          <w:trHeight w:val="188"/>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Short-term investments</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1,920</w:t>
            </w:r>
          </w:p>
        </w:tc>
        <w:tc>
          <w:tcPr>
            <w:tcW w:w="0" w:type="dxa"/>
            <w:vAlign w:val="bottom"/>
          </w:tcPr>
          <w:p>
            <w:pPr>
              <w:spacing w:after="0"/>
              <w:rPr>
                <w:sz w:val="1"/>
                <w:szCs w:val="1"/>
                <w:color w:val="auto"/>
              </w:rPr>
            </w:pPr>
          </w:p>
        </w:tc>
      </w:tr>
      <w:tr>
        <w:trPr>
          <w:trHeight w:val="24"/>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Indexed annuities/IUL ceded embedded derivatives, included in Reinsurance recoverable</w:t>
            </w:r>
          </w:p>
        </w:tc>
        <w:tc>
          <w:tcPr>
            <w:tcW w:w="2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0" w:type="dxa"/>
            <w:vAlign w:val="bottom"/>
          </w:tcPr>
          <w:p>
            <w:pPr>
              <w:spacing w:after="0"/>
              <w:rPr>
                <w:sz w:val="1"/>
                <w:szCs w:val="1"/>
                <w:color w:val="auto"/>
              </w:rPr>
            </w:pPr>
          </w:p>
        </w:tc>
      </w:tr>
      <w:tr>
        <w:trPr>
          <w:trHeight w:val="188"/>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 receivable, included in Prepaid expenses and other assets</w:t>
            </w:r>
          </w:p>
        </w:tc>
        <w:tc>
          <w:tcPr>
            <w:tcW w:w="2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24"/>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Market risk benefits asset</w:t>
            </w:r>
          </w:p>
        </w:tc>
        <w:tc>
          <w:tcPr>
            <w:tcW w:w="2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0" w:type="dxa"/>
            <w:vAlign w:val="bottom"/>
          </w:tcPr>
          <w:p>
            <w:pPr>
              <w:spacing w:after="0"/>
              <w:rPr>
                <w:sz w:val="1"/>
                <w:szCs w:val="1"/>
                <w:color w:val="auto"/>
              </w:rPr>
            </w:pPr>
          </w:p>
        </w:tc>
      </w:tr>
      <w:tr>
        <w:trPr>
          <w:trHeight w:val="188"/>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MSRs</w:t>
            </w:r>
          </w:p>
        </w:tc>
        <w:tc>
          <w:tcPr>
            <w:tcW w:w="2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0" w:type="dxa"/>
            <w:vAlign w:val="bottom"/>
          </w:tcPr>
          <w:p>
            <w:pPr>
              <w:spacing w:after="0"/>
              <w:rPr>
                <w:sz w:val="1"/>
                <w:szCs w:val="1"/>
                <w:color w:val="auto"/>
              </w:rPr>
            </w:pPr>
          </w:p>
        </w:tc>
      </w:tr>
      <w:tr>
        <w:trPr>
          <w:trHeight w:val="24"/>
        </w:trPr>
        <w:tc>
          <w:tcPr>
            <w:tcW w:w="5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5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b w:val="1"/>
                <w:bCs w:val="1"/>
                <w:color w:val="auto"/>
              </w:rPr>
              <w:t>Total financial assets at fair value</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41,894</w:t>
            </w:r>
          </w:p>
        </w:tc>
        <w:tc>
          <w:tcPr>
            <w:tcW w:w="380" w:type="dxa"/>
            <w:vAlign w:val="bottom"/>
            <w:gridSpan w:val="3"/>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62,598</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55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Derivatives:</w:t>
            </w:r>
          </w:p>
        </w:tc>
        <w:tc>
          <w:tcPr>
            <w:tcW w:w="2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Indexed annuities/IUL embedded derivatives, included in Contractholder funds</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3"/>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6,542</w:t>
            </w:r>
          </w:p>
        </w:tc>
        <w:tc>
          <w:tcPr>
            <w:tcW w:w="100" w:type="dxa"/>
            <w:vAlign w:val="bottom"/>
          </w:tcPr>
          <w:p>
            <w:pPr>
              <w:spacing w:after="0"/>
              <w:rPr>
                <w:sz w:val="16"/>
                <w:szCs w:val="16"/>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6,542</w:t>
            </w:r>
          </w:p>
        </w:tc>
        <w:tc>
          <w:tcPr>
            <w:tcW w:w="0" w:type="dxa"/>
            <w:vAlign w:val="bottom"/>
          </w:tcPr>
          <w:p>
            <w:pPr>
              <w:spacing w:after="0"/>
              <w:rPr>
                <w:sz w:val="1"/>
                <w:szCs w:val="1"/>
                <w:color w:val="auto"/>
              </w:rPr>
            </w:pPr>
          </w:p>
        </w:tc>
      </w:tr>
      <w:tr>
        <w:trPr>
          <w:trHeight w:val="24"/>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6"/>
        </w:trPr>
        <w:tc>
          <w:tcPr>
            <w:tcW w:w="5500" w:type="dxa"/>
            <w:vAlign w:val="bottom"/>
            <w:shd w:val="clear" w:color="auto" w:fill="CCEEFF"/>
          </w:tcPr>
          <w:p>
            <w:pPr>
              <w:ind w:left="220"/>
              <w:spacing w:after="0" w:line="146" w:lineRule="exact"/>
              <w:rPr>
                <w:sz w:val="20"/>
                <w:szCs w:val="20"/>
                <w:color w:val="auto"/>
              </w:rPr>
            </w:pPr>
            <w:r>
              <w:rPr>
                <w:rFonts w:ascii="Times New Roman" w:cs="Times New Roman" w:eastAsia="Times New Roman" w:hAnsi="Times New Roman"/>
                <w:sz w:val="14"/>
                <w:szCs w:val="14"/>
                <w:color w:val="auto"/>
              </w:rPr>
              <w:t>Interest rate and foreign currency swaps, included in Accounts payable and accrued</w:t>
            </w:r>
          </w:p>
        </w:tc>
        <w:tc>
          <w:tcPr>
            <w:tcW w:w="20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99"/>
        </w:trPr>
        <w:tc>
          <w:tcPr>
            <w:tcW w:w="5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liabilities</w:t>
            </w:r>
          </w:p>
        </w:tc>
        <w:tc>
          <w:tcPr>
            <w:tcW w:w="20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5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Equity options</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4"/>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6"/>
        </w:trPr>
        <w:tc>
          <w:tcPr>
            <w:tcW w:w="5500" w:type="dxa"/>
            <w:vAlign w:val="bottom"/>
            <w:shd w:val="clear" w:color="auto" w:fill="CCEEFF"/>
          </w:tcPr>
          <w:p>
            <w:pPr>
              <w:ind w:left="220"/>
              <w:spacing w:after="0" w:line="146" w:lineRule="exact"/>
              <w:rPr>
                <w:sz w:val="20"/>
                <w:szCs w:val="20"/>
                <w:color w:val="auto"/>
              </w:rPr>
            </w:pPr>
            <w:r>
              <w:rPr>
                <w:rFonts w:ascii="Times New Roman" w:cs="Times New Roman" w:eastAsia="Times New Roman" w:hAnsi="Times New Roman"/>
                <w:sz w:val="14"/>
                <w:szCs w:val="14"/>
                <w:color w:val="auto"/>
              </w:rPr>
              <w:t>Reinsurance related embedded derivatives, included in Funds withheld for reinsurance</w:t>
            </w:r>
          </w:p>
        </w:tc>
        <w:tc>
          <w:tcPr>
            <w:tcW w:w="20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199"/>
        </w:trPr>
        <w:tc>
          <w:tcPr>
            <w:tcW w:w="5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liabilities</w:t>
            </w:r>
          </w:p>
        </w:tc>
        <w:tc>
          <w:tcPr>
            <w:tcW w:w="20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Contingent consideration, included in Accounts payable and accrued liabilities</w:t>
            </w:r>
          </w:p>
        </w:tc>
        <w:tc>
          <w:tcPr>
            <w:tcW w:w="2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r>
        <w:trPr>
          <w:trHeight w:val="24"/>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Market risk benefits liability</w:t>
            </w:r>
          </w:p>
        </w:tc>
        <w:tc>
          <w:tcPr>
            <w:tcW w:w="2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903</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903</w:t>
            </w:r>
          </w:p>
        </w:tc>
        <w:tc>
          <w:tcPr>
            <w:tcW w:w="0" w:type="dxa"/>
            <w:vAlign w:val="bottom"/>
          </w:tcPr>
          <w:p>
            <w:pPr>
              <w:spacing w:after="0"/>
              <w:rPr>
                <w:sz w:val="1"/>
                <w:szCs w:val="1"/>
                <w:color w:val="auto"/>
              </w:rPr>
            </w:pPr>
          </w:p>
        </w:tc>
      </w:tr>
      <w:tr>
        <w:trPr>
          <w:trHeight w:val="205"/>
        </w:trPr>
        <w:tc>
          <w:tcPr>
            <w:tcW w:w="550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Total financial liabilities at fair value</w:t>
            </w: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40" w:type="dxa"/>
            <w:vAlign w:val="bottom"/>
            <w:tcBorders>
              <w:top w:val="single" w:sz="8" w:color="auto"/>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7,526</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7,605</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(a) Includes certain interests in VIEs for which the fair value option has been elected. Refer to Note D </w:t>
      </w:r>
      <w:r>
        <w:rPr>
          <w:rFonts w:ascii="Times New Roman" w:cs="Times New Roman" w:eastAsia="Times New Roman" w:hAnsi="Times New Roman"/>
          <w:sz w:val="14"/>
          <w:szCs w:val="14"/>
          <w:i w:val="1"/>
          <w:iCs w:val="1"/>
          <w:color w:val="auto"/>
        </w:rPr>
        <w:t>Investments</w:t>
      </w:r>
      <w:r>
        <w:rPr>
          <w:rFonts w:ascii="Times New Roman" w:cs="Times New Roman" w:eastAsia="Times New Roman" w:hAnsi="Times New Roman"/>
          <w:sz w:val="14"/>
          <w:szCs w:val="14"/>
          <w:color w:val="auto"/>
        </w:rPr>
        <w:t xml:space="preserve"> for further details.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Methodologies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carrying amounts reported in the unaudited Condensed Consolidated Balance Sheets for these instruments approximate fair value.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Fixed Maturity, Preferred and Equity Securities</w:t>
      </w:r>
    </w:p>
    <w:p>
      <w:pPr>
        <w:spacing w:after="0" w:line="113"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measure the fair value of our securities based on assumptions used by market participants in pricing the security. The most appropriate valuation methodology is selected based on the specific characteristics of the fixed maturity, preferred or equity security, and we will then consistently apply the valuation methodology to measure the security’s fair value. Our fair value measurement is based on a market approach, which utilizes prices and other relevant information generated by market transactions involving identical or comparable securities. Sources of inputs to the market approach include third-party pricing services, independent broker quotations, or pricing matrices. We use observable and unobservable inputs in our valuation methodologies. Observable inputs include benchmark yields, reported trades, broker-dealer quotes, issuer spreads, two-sided markets, benchmark securities, bids, offers, and reference data including market research publications. In addition, market</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indicators and industry and economic events are monitored and further market data will be acquired when certain thresholds are met.</w:t>
      </w:r>
    </w:p>
    <w:p>
      <w:pPr>
        <w:spacing w:after="0" w:line="11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For certain security types, additional inputs may be used, or some of the inputs described above may not be applicable. The significant input used in the fair value measurement of equity securities for which the market approach valuation technique is employed is yield for comparable securities. Increases or decreases in the yields would result in lower or higher, respectively, fair value measurements. For broker-quoted only securities, quotes from market makers or broker-dealers are obtained from sources recognized to be market participants. We believe the broker quotes are prices at which trades could be executed based on historical trades executed at broker-quoted or slightly higher prices.</w:t>
      </w:r>
    </w:p>
    <w:p>
      <w:pPr>
        <w:spacing w:after="0" w:line="9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analyze the third-party valuation methodologies and related inputs to perform assessments to determine the appropriate level within the fair value hierarchy. However, we did not adjust prices received from third parties as of September 30, 2026 or December 31, 2025.</w:t>
      </w:r>
    </w:p>
    <w:p>
      <w:pPr>
        <w:spacing w:after="0" w:line="8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Certain equity investments are measured using NAV as a practical expedient in determining fair value.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Financial Instruments</w:t>
      </w:r>
    </w:p>
    <w:p>
      <w:pPr>
        <w:spacing w:after="0" w:line="113"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Derivative contracts can either be exchange traded or traded over the counter. Exchange traded derivatives typically fall within Level 1 of the fair value hierarchy if there is active trading activity. Two methods are used to value over-the-counter derivatives. When required inputs are available, certain derivatives are valued using valuation pricing models, which represent what we would expect to receive or pay at the balance sheet date if we cancelled or exercised the derivative or entered into offsetting positions. Valuation models require a variety of inputs, which include the use of market-observable inputs, including interest rate, yield curve volatilities, foreign currency exchange rates, and other factors. These over-the-counter derivatives are typically classified within Level 2 of the fair value hierarchy as the majority trade in liquid markets, we can verify model inputs and model selection does not involve significant management judgment. When inputs are not available for valuation models, certain over-the-counter derivatives are valued using independent broker quotes, which are based on unobservable market data and classified within Level 3.</w:t>
      </w:r>
    </w:p>
    <w:p>
      <w:pPr>
        <w:spacing w:after="0" w:line="8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fair value of the reinsurance-related embedded derivatives in our funds withheld and coinsurance reinsurance agreements are estimated based upon the change in fair value (for total return swaps), or the fair value (for the index credit obligation due the reinsurer), of the assets supporting the reinsurance liabilities. The fair value of the assets is based on a quoted market price of similar assets or is obtained from models using substantially all market observable inputs (Level 2), and therefore the fair value of the embedded derivatives are based on market-observable inputs and are classified as Level 2.</w:t>
      </w:r>
    </w:p>
    <w:p>
      <w:pPr>
        <w:spacing w:after="0" w:line="74"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The fair value measurement of the indexed annuities/IUL embedded derivatives, representing the indexed crediting feature of the policies included in Contractholder funds, and the ceded portion, the reinsured indexed crediting feature embedded derivatives recorded as a component of the Reinsurance recoverable, is determined through a combination of market observable information and significant unobservable inputs using the option budget method. The market observable inputs are the market value of options and treasury rates. The significant unobservable inputs are the budgeted option cost (i.e., the expected cost to purchase equity options in future periods to fund the equity indexed linked feature), surrender rates, mortality multiplier, and non-performance spread. The mortality multiplier at September 30, 2026 and December 31, 2025 was applied to the 2012 Individual Annuity mortality tables. Increases or decreases in the market value of an option in isolation would result in a higher or lower, respectively, fair value measurement. Increases or decreases in treasury rates, mortality multiplier, surrender rates, or non-performance spread in isolation would result in a lower or higher fair value measurement, respectively. Generally, a change in any one unobservable input would not directly result in a change in any other unobservable input.</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 in Unconsolidated affiliates</w:t>
      </w:r>
    </w:p>
    <w:p>
      <w:pPr>
        <w:spacing w:after="0" w:line="11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have elected the fair value option (“FVO”) for certain investments in unconsolidated affiliates as we believe this better aligns them with other investments in unconsolidated affiliates that are measured using NAV as a practical expedient in determining fair value. Investments measured using the FVO are included in Level 3 and the fair values of these investments are determined using a multiple of the affiliates’ earnings before interest, taxes, depreciation and amortization ("EBITDA"). The EBITDA is based on the affiliates’ financial information. The multiple is derived from market analysis of transactions involving comparable companies. The inputs are considered unobservable, as not all market participants have access to this data.</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Long-term Investments</w:t>
      </w:r>
    </w:p>
    <w:p>
      <w:pPr>
        <w:spacing w:after="0" w:line="12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held a fund-linked note, which provided for an additional payment at maturity based on the value of an embedded derivative based on the actual return of a dedicated return fund. Fair value of the embedded derivative is based on an unobservable input, the NAV of the fund at the balance sheet date. The embedded derivative is similar to an equity option on</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NAV of the fund with a strike price of zero since F&amp;G will not be required to make any additional payments at maturity of the fund-linked note in order to receive the NAV of the fund on the maturity date. A Black-Scholes model determines the NAV of the fund as the fair value of the equity option regardless of the values used for the other inputs to the option pricing model. The NAV of the fund is provided by the fund manager at the end of each calendar month and represents the value an investor would receive if it withdrew its investment on the balance sheet date. Therefore, the key unobservable input used in the Black-Scholes model is the value of the fund. As the value of the fund increases or decreases, the fair value of the embedded derivative will increase or decrease. During the second quarter of 2026, the fund-linked note matured and the embedded derivative expired.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Short-term Investments</w:t>
      </w:r>
    </w:p>
    <w:p>
      <w:pPr>
        <w:spacing w:after="0" w:line="11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carrying amounts reported in the unaudited Condensed Consolidated Balance Sheets for these instruments approximate fair value. Certain short-term investments are valued based on third-party pricing services or broker quotes and are classified as Level 2 or 3.</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Contingent Consideration</w:t>
      </w:r>
    </w:p>
    <w:p>
      <w:pPr>
        <w:spacing w:after="0" w:line="113"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Prior to the achievement of the applicable contractual EBITDA milestones, the contingent consideration was measured at fair value using a discounted cash flow model applied using a Monte Carlo simulation of estimated EBITDA at each measurement period and for each simulated path relative to contractual EBITDA milestones. The Monte Carlo simulation utilized a risk-adjusted discount rate, volatility assumption, and risk-free rates to assess the probability that Roar, LLC's ("Roar") EBITDA trajectory would reach the required milestones for the earn out payments to be made. The discounted cash flow approach applied a company-specific discount rate based on F&amp;G’s credit profile to future expected earn out payments to calculate the estimated fair value based on the average outcome from the simulation. As of September 30, 2026, Roar achieved the required third EBITDA milestone. Accordingly, the fair value of the contingent consideration as of September 30, 2026 reflects the present value of the final earn out payment, which is expected to be paid during the quarter ending March 31, 2027.</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MSRs</w:t>
      </w:r>
    </w:p>
    <w:p>
      <w:pPr>
        <w:spacing w:after="0" w:line="113"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MSRs are measured at fair value using a discounted cash flow analysis and calculated using a computer pricing model, which incorporates assumptions that market participants use in estimating future net servicing income cash flows. These assumptions include estimates of prepayment rates, discount rates, cost to service (including delinquency and foreclosure costs), escrow account earnings, contractual servicing fee income, and ancillary income. The assumptions that are significant in the determination of fair value of MSRs include the conditional prepayment rates and discount rates. MSRs are included in Prepaid expenses and other assets in the accompanying unaudited Condensed Consolidated Balance Sheets. Realized gains and losses related to MSRs are a result of changes in fair value due to changes in assumptions during the period, which are included in Recognized gains and losses, net in the accompanying unaudited Condensed Consolidated Statements of Earnings.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Risk Benefits ("MRBs")</w:t>
      </w:r>
    </w:p>
    <w:p>
      <w:pPr>
        <w:spacing w:after="0" w:line="113"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 xml:space="preserve">MRBs (inclusive of reinsured MRBs) are measured at fair value using an attributed fee measurement approach where attributed fees are explicit rider charges collectible from the policyholder (or paid to the reinsurer) used to cover the excess benefits. The fair value is calculated using a risk neutral valuation method and is based on current net amounts at risk, market data, internal and industry experience, and other factors. The balances are computed using assumptions including mortality, full and partial surrender, rider benefit utilization, risk-free rates including non-performance spread and risk margin, market value of options, and economic scenarios. Policyholder behavior assumptions are reviewed at least annually, typically in the third quarter, for any revisions. Reinsured MRBs are valued using a methodology consistent with direct MRBs, with the exception of the non-performance spread, which reflects the credit of the reinsurer. See further discussion on MRBs in Note N </w:t>
      </w:r>
      <w:r>
        <w:rPr>
          <w:rFonts w:ascii="Times New Roman" w:cs="Times New Roman" w:eastAsia="Times New Roman" w:hAnsi="Times New Roman"/>
          <w:sz w:val="18"/>
          <w:szCs w:val="18"/>
          <w:i w:val="1"/>
          <w:iCs w:val="1"/>
          <w:color w:val="auto"/>
        </w:rPr>
        <w:t>Market Risk Benefits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Quantitative information regarding significant unobservable inputs used for recurring Level 3 fair value measurements of financial instruments carried at fair value as of September 30, 2026 and December 31, 2025, excluding assets and liabilities for which significant quantitative unobservable inputs are not developed internally and not readily available to the Company (primarily those valued using broker quotes and certain third-party pricing services), are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360" w:type="dxa"/>
            <w:vAlign w:val="bottom"/>
          </w:tcPr>
          <w:p>
            <w:pPr>
              <w:jc w:val="center"/>
              <w:ind w:left="309"/>
              <w:spacing w:after="0"/>
              <w:rPr>
                <w:sz w:val="20"/>
                <w:szCs w:val="20"/>
                <w:color w:val="auto"/>
              </w:rPr>
            </w:pPr>
            <w:r>
              <w:rPr>
                <w:rFonts w:ascii="Times New Roman" w:cs="Times New Roman" w:eastAsia="Times New Roman" w:hAnsi="Times New Roman"/>
                <w:sz w:val="14"/>
                <w:szCs w:val="14"/>
                <w:b w:val="1"/>
                <w:bCs w:val="1"/>
                <w:color w:val="auto"/>
                <w:w w:val="98"/>
              </w:rPr>
              <w:t>Fair Value as of</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7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Range (Weighted average)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360" w:type="dxa"/>
            <w:vAlign w:val="bottom"/>
          </w:tcPr>
          <w:p>
            <w:pPr>
              <w:jc w:val="center"/>
              <w:ind w:left="30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Valuation Technique</w:t>
            </w:r>
          </w:p>
        </w:tc>
        <w:tc>
          <w:tcPr>
            <w:tcW w:w="19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380" w:type="dxa"/>
            <w:vAlign w:val="bottom"/>
          </w:tcPr>
          <w:p>
            <w:pPr>
              <w:spacing w:after="0"/>
              <w:rPr>
                <w:sz w:val="18"/>
                <w:szCs w:val="18"/>
                <w:color w:val="auto"/>
              </w:rPr>
            </w:pPr>
          </w:p>
        </w:tc>
        <w:tc>
          <w:tcPr>
            <w:tcW w:w="19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0" w:type="dxa"/>
            <w:vAlign w:val="bottom"/>
          </w:tcPr>
          <w:p>
            <w:pPr>
              <w:spacing w:after="0"/>
              <w:rPr>
                <w:sz w:val="1"/>
                <w:szCs w:val="1"/>
                <w:color w:val="auto"/>
              </w:rPr>
            </w:pPr>
          </w:p>
        </w:tc>
      </w:tr>
      <w:tr>
        <w:trPr>
          <w:trHeight w:val="24"/>
        </w:trPr>
        <w:tc>
          <w:tcPr>
            <w:tcW w:w="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2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line="139" w:lineRule="exact"/>
              <w:rPr>
                <w:sz w:val="20"/>
                <w:szCs w:val="20"/>
                <w:color w:val="auto"/>
              </w:rPr>
            </w:pPr>
            <w:r>
              <w:rPr>
                <w:rFonts w:ascii="Times New Roman" w:cs="Times New Roman" w:eastAsia="Times New Roman" w:hAnsi="Times New Roman"/>
                <w:sz w:val="14"/>
                <w:szCs w:val="14"/>
                <w:b w:val="1"/>
                <w:bCs w:val="1"/>
                <w:color w:val="auto"/>
                <w:w w:val="96"/>
              </w:rPr>
              <w:t>Assets</w:t>
            </w:r>
          </w:p>
        </w:tc>
        <w:tc>
          <w:tcPr>
            <w:tcW w:w="2760" w:type="dxa"/>
            <w:vAlign w:val="bottom"/>
            <w:tcBorders>
              <w:bottom w:val="single" w:sz="8" w:color="CCEEFF"/>
            </w:tcBorders>
            <w:gridSpan w:val="2"/>
            <w:shd w:val="clear" w:color="auto" w:fill="CCEEFF"/>
          </w:tcPr>
          <w:p>
            <w:pPr>
              <w:spacing w:after="0"/>
              <w:rPr>
                <w:sz w:val="14"/>
                <w:szCs w:val="14"/>
                <w:color w:val="auto"/>
              </w:rPr>
            </w:pPr>
          </w:p>
        </w:tc>
        <w:tc>
          <w:tcPr>
            <w:tcW w:w="136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8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19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1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Asset-backed securities</w:t>
            </w:r>
          </w:p>
        </w:tc>
        <w:tc>
          <w:tcPr>
            <w:tcW w:w="1360" w:type="dxa"/>
            <w:vAlign w:val="bottom"/>
          </w:tcPr>
          <w:p>
            <w:pPr>
              <w:jc w:val="right"/>
              <w:ind w:right="1209"/>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20" w:type="dxa"/>
            <w:vAlign w:val="bottom"/>
          </w:tcPr>
          <w:p>
            <w:pPr>
              <w:spacing w:after="0"/>
              <w:rPr>
                <w:sz w:val="16"/>
                <w:szCs w:val="16"/>
                <w:color w:val="auto"/>
              </w:rPr>
            </w:pPr>
          </w:p>
        </w:tc>
        <w:tc>
          <w:tcPr>
            <w:tcW w:w="1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Third-Party Valuation</w:t>
            </w:r>
          </w:p>
        </w:tc>
        <w:tc>
          <w:tcPr>
            <w:tcW w:w="1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2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6.11% - 12.30% (7.70%)</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31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Corporates</w:t>
            </w:r>
          </w:p>
        </w:tc>
        <w:tc>
          <w:tcPr>
            <w:tcW w:w="136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Borders>
              <w:bottom w:val="single" w:sz="8" w:color="CCEEFF"/>
            </w:tcBorders>
            <w:shd w:val="clear" w:color="auto" w:fill="CCEEFF"/>
          </w:tcPr>
          <w:p>
            <w:pPr>
              <w:spacing w:after="0"/>
              <w:rPr>
                <w:sz w:val="16"/>
                <w:szCs w:val="16"/>
                <w:color w:val="auto"/>
              </w:rPr>
            </w:pPr>
          </w:p>
        </w:tc>
        <w:tc>
          <w:tcPr>
            <w:tcW w:w="1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Discounted Cash Flow</w:t>
            </w:r>
          </w:p>
        </w:tc>
        <w:tc>
          <w:tcPr>
            <w:tcW w:w="1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75.00% - 100.00% (98.68%)</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1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Corporates</w:t>
            </w:r>
          </w:p>
        </w:tc>
        <w:tc>
          <w:tcPr>
            <w:tcW w:w="13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w:t>
            </w:r>
          </w:p>
        </w:tc>
        <w:tc>
          <w:tcPr>
            <w:tcW w:w="120" w:type="dxa"/>
            <w:vAlign w:val="bottom"/>
          </w:tcPr>
          <w:p>
            <w:pPr>
              <w:spacing w:after="0"/>
              <w:rPr>
                <w:sz w:val="16"/>
                <w:szCs w:val="16"/>
                <w:color w:val="auto"/>
              </w:rPr>
            </w:pPr>
          </w:p>
        </w:tc>
        <w:tc>
          <w:tcPr>
            <w:tcW w:w="1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Third-Party Valuation</w:t>
            </w:r>
          </w:p>
        </w:tc>
        <w:tc>
          <w:tcPr>
            <w:tcW w:w="1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38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3"/>
              </w:rPr>
              <w:t>4.30%</w:t>
            </w:r>
          </w:p>
        </w:tc>
        <w:tc>
          <w:tcPr>
            <w:tcW w:w="19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- 9.06% (6.59%)</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31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Municipals</w:t>
            </w:r>
          </w:p>
        </w:tc>
        <w:tc>
          <w:tcPr>
            <w:tcW w:w="136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Borders>
              <w:bottom w:val="single" w:sz="8" w:color="CCEEFF"/>
            </w:tcBorders>
            <w:shd w:val="clear" w:color="auto" w:fill="CCEEFF"/>
          </w:tcPr>
          <w:p>
            <w:pPr>
              <w:spacing w:after="0"/>
              <w:rPr>
                <w:sz w:val="16"/>
                <w:szCs w:val="16"/>
                <w:color w:val="auto"/>
              </w:rPr>
            </w:pPr>
          </w:p>
        </w:tc>
        <w:tc>
          <w:tcPr>
            <w:tcW w:w="1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Third-Party Valuation</w:t>
            </w:r>
          </w:p>
        </w:tc>
        <w:tc>
          <w:tcPr>
            <w:tcW w:w="1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3"/>
              </w:rPr>
              <w:t>6.30%</w:t>
            </w:r>
          </w:p>
        </w:tc>
        <w:tc>
          <w:tcPr>
            <w:tcW w:w="1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- 6.30% (6.30%)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1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Foreign Governments</w:t>
            </w:r>
          </w:p>
        </w:tc>
        <w:tc>
          <w:tcPr>
            <w:tcW w:w="13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6"/>
                <w:szCs w:val="16"/>
                <w:color w:val="auto"/>
              </w:rPr>
            </w:pPr>
          </w:p>
        </w:tc>
        <w:tc>
          <w:tcPr>
            <w:tcW w:w="1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Third-Party Valuation</w:t>
            </w:r>
          </w:p>
        </w:tc>
        <w:tc>
          <w:tcPr>
            <w:tcW w:w="1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38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3"/>
              </w:rPr>
              <w:t>5.80%</w:t>
            </w:r>
          </w:p>
        </w:tc>
        <w:tc>
          <w:tcPr>
            <w:tcW w:w="19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- 5.80% (5.80%)</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31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equity securities</w:t>
            </w:r>
          </w:p>
        </w:tc>
        <w:tc>
          <w:tcPr>
            <w:tcW w:w="136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Borders>
              <w:bottom w:val="single" w:sz="8" w:color="CCEEFF"/>
            </w:tcBorders>
            <w:shd w:val="clear" w:color="auto" w:fill="CCEEFF"/>
          </w:tcPr>
          <w:p>
            <w:pPr>
              <w:spacing w:after="0"/>
              <w:rPr>
                <w:sz w:val="16"/>
                <w:szCs w:val="16"/>
                <w:color w:val="auto"/>
              </w:rPr>
            </w:pPr>
          </w:p>
        </w:tc>
        <w:tc>
          <w:tcPr>
            <w:tcW w:w="1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Discounted Cash Flow</w:t>
            </w:r>
          </w:p>
        </w:tc>
        <w:tc>
          <w:tcPr>
            <w:tcW w:w="1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3"/>
              </w:rPr>
              <w:t>8.20%</w:t>
            </w:r>
          </w:p>
        </w:tc>
        <w:tc>
          <w:tcPr>
            <w:tcW w:w="1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- 8.20% (8.20%)</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1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Investments in unconsolidated affiliates</w:t>
            </w:r>
          </w:p>
        </w:tc>
        <w:tc>
          <w:tcPr>
            <w:tcW w:w="1360" w:type="dxa"/>
            <w:vAlign w:val="bottom"/>
          </w:tcPr>
          <w:p>
            <w:pPr>
              <w:spacing w:after="0"/>
              <w:rPr>
                <w:sz w:val="13"/>
                <w:szCs w:val="13"/>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120" w:type="dxa"/>
            <w:vAlign w:val="bottom"/>
          </w:tcPr>
          <w:p>
            <w:pPr>
              <w:spacing w:after="0"/>
              <w:rPr>
                <w:sz w:val="13"/>
                <w:szCs w:val="13"/>
                <w:color w:val="auto"/>
              </w:rPr>
            </w:pPr>
          </w:p>
        </w:tc>
        <w:tc>
          <w:tcPr>
            <w:tcW w:w="1940" w:type="dxa"/>
            <w:vAlign w:val="bottom"/>
            <w:gridSpan w:val="2"/>
          </w:tcPr>
          <w:p>
            <w:pPr>
              <w:ind w:left="20"/>
              <w:spacing w:after="0" w:line="150" w:lineRule="exact"/>
              <w:rPr>
                <w:sz w:val="20"/>
                <w:szCs w:val="20"/>
                <w:color w:val="auto"/>
              </w:rPr>
            </w:pPr>
            <w:r>
              <w:rPr>
                <w:rFonts w:ascii="Times New Roman" w:cs="Times New Roman" w:eastAsia="Times New Roman" w:hAnsi="Times New Roman"/>
                <w:sz w:val="14"/>
                <w:szCs w:val="14"/>
                <w:color w:val="auto"/>
              </w:rPr>
              <w:t>Market Comparable Company</w:t>
            </w:r>
          </w:p>
        </w:tc>
        <w:tc>
          <w:tcPr>
            <w:tcW w:w="1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EBITDA Multiple</w:t>
            </w:r>
          </w:p>
        </w:tc>
        <w:tc>
          <w:tcPr>
            <w:tcW w:w="2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8.0x - 14.50x (11.58x)</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140" w:type="dxa"/>
            <w:vAlign w:val="bottom"/>
            <w:gridSpan w:val="3"/>
            <w:vMerge w:val="continue"/>
          </w:tcPr>
          <w:p>
            <w:pPr>
              <w:spacing w:after="0"/>
              <w:rPr>
                <w:sz w:val="16"/>
                <w:szCs w:val="16"/>
                <w:color w:val="auto"/>
              </w:rPr>
            </w:pPr>
          </w:p>
        </w:tc>
        <w:tc>
          <w:tcPr>
            <w:tcW w:w="1360" w:type="dxa"/>
            <w:vAlign w:val="bottom"/>
          </w:tcPr>
          <w:p>
            <w:pPr>
              <w:spacing w:after="0"/>
              <w:rPr>
                <w:sz w:val="16"/>
                <w:szCs w:val="16"/>
                <w:color w:val="auto"/>
              </w:rPr>
            </w:pPr>
          </w:p>
        </w:tc>
        <w:tc>
          <w:tcPr>
            <w:tcW w:w="3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Analysis</w:t>
            </w:r>
          </w:p>
        </w:tc>
        <w:tc>
          <w:tcPr>
            <w:tcW w:w="1920" w:type="dxa"/>
            <w:vAlign w:val="bottom"/>
            <w:gridSpan w:val="2"/>
            <w:vMerge w:val="continue"/>
          </w:tcPr>
          <w:p>
            <w:pPr>
              <w:spacing w:after="0"/>
              <w:rPr>
                <w:sz w:val="16"/>
                <w:szCs w:val="16"/>
                <w:color w:val="auto"/>
              </w:rPr>
            </w:pPr>
          </w:p>
        </w:tc>
        <w:tc>
          <w:tcPr>
            <w:tcW w:w="23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shd w:val="clear" w:color="auto" w:fill="CCEEFF"/>
          </w:tcPr>
          <w:p>
            <w:pPr>
              <w:spacing w:after="0"/>
              <w:rPr>
                <w:sz w:val="17"/>
                <w:szCs w:val="17"/>
                <w:color w:val="auto"/>
              </w:rPr>
            </w:pPr>
          </w:p>
        </w:tc>
        <w:tc>
          <w:tcPr>
            <w:tcW w:w="31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Reinsurance recoverable:</w:t>
            </w:r>
          </w:p>
        </w:tc>
        <w:tc>
          <w:tcPr>
            <w:tcW w:w="136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9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14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Indexed annuities/IUL ceded embedded derivatives</w:t>
            </w:r>
          </w:p>
        </w:tc>
        <w:tc>
          <w:tcPr>
            <w:tcW w:w="13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947</w:t>
            </w:r>
          </w:p>
        </w:tc>
        <w:tc>
          <w:tcPr>
            <w:tcW w:w="120" w:type="dxa"/>
            <w:vAlign w:val="bottom"/>
          </w:tcPr>
          <w:p>
            <w:pPr>
              <w:spacing w:after="0"/>
              <w:rPr>
                <w:sz w:val="16"/>
                <w:szCs w:val="16"/>
                <w:color w:val="auto"/>
              </w:rPr>
            </w:pPr>
          </w:p>
        </w:tc>
        <w:tc>
          <w:tcPr>
            <w:tcW w:w="1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Discounted Cash Flow</w:t>
            </w:r>
          </w:p>
        </w:tc>
        <w:tc>
          <w:tcPr>
            <w:tcW w:w="1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Market Value of Option</w:t>
            </w:r>
          </w:p>
        </w:tc>
        <w:tc>
          <w:tcPr>
            <w:tcW w:w="38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3"/>
              </w:rPr>
              <w:t>0.00%</w:t>
            </w:r>
          </w:p>
        </w:tc>
        <w:tc>
          <w:tcPr>
            <w:tcW w:w="19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- 20.99% (2.37%)</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254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8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Mortality Multiplier</w:t>
            </w:r>
          </w:p>
        </w:tc>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75.00% - 120.00% (97.50%)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Surrender Rates</w:t>
            </w:r>
          </w:p>
        </w:tc>
        <w:tc>
          <w:tcPr>
            <w:tcW w:w="38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3"/>
              </w:rPr>
              <w:t>0.25%</w:t>
            </w:r>
          </w:p>
        </w:tc>
        <w:tc>
          <w:tcPr>
            <w:tcW w:w="19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- 30.00% (3.48%)</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254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8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Partial Withdrawal Rate</w:t>
            </w:r>
          </w:p>
        </w:tc>
        <w:tc>
          <w:tcPr>
            <w:tcW w:w="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3"/>
              </w:rPr>
              <w:t>2.00%</w:t>
            </w:r>
          </w:p>
        </w:tc>
        <w:tc>
          <w:tcPr>
            <w:tcW w:w="1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- 25.64% (2.51%)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Non-Performance Spread</w:t>
            </w:r>
          </w:p>
        </w:tc>
        <w:tc>
          <w:tcPr>
            <w:tcW w:w="38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3"/>
              </w:rPr>
              <w:t>0.85%</w:t>
            </w:r>
          </w:p>
        </w:tc>
        <w:tc>
          <w:tcPr>
            <w:tcW w:w="19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- 2.11% (1.44%)</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254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8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Option Cost</w:t>
            </w:r>
          </w:p>
        </w:tc>
        <w:tc>
          <w:tcPr>
            <w:tcW w:w="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3"/>
              </w:rPr>
              <w:t>0.56%</w:t>
            </w:r>
          </w:p>
        </w:tc>
        <w:tc>
          <w:tcPr>
            <w:tcW w:w="1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- 5.30% (2.34%)</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1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Market risk benefits asset</w:t>
            </w:r>
          </w:p>
        </w:tc>
        <w:tc>
          <w:tcPr>
            <w:tcW w:w="13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120" w:type="dxa"/>
            <w:vAlign w:val="bottom"/>
          </w:tcPr>
          <w:p>
            <w:pPr>
              <w:spacing w:after="0"/>
              <w:rPr>
                <w:sz w:val="16"/>
                <w:szCs w:val="16"/>
                <w:color w:val="auto"/>
              </w:rPr>
            </w:pPr>
          </w:p>
        </w:tc>
        <w:tc>
          <w:tcPr>
            <w:tcW w:w="1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Discounted Cash Flow</w:t>
            </w:r>
          </w:p>
        </w:tc>
        <w:tc>
          <w:tcPr>
            <w:tcW w:w="1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Mortality Multiplier</w:t>
            </w:r>
          </w:p>
        </w:tc>
        <w:tc>
          <w:tcPr>
            <w:tcW w:w="2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75.00% - 120.00% (97.50%)</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254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8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Surrender Rates</w:t>
            </w:r>
          </w:p>
        </w:tc>
        <w:tc>
          <w:tcPr>
            <w:tcW w:w="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3"/>
              </w:rPr>
              <w:t>0.25%</w:t>
            </w:r>
          </w:p>
        </w:tc>
        <w:tc>
          <w:tcPr>
            <w:tcW w:w="1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- 30.00% (6.19%)</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Partial Withdrawal Rate</w:t>
            </w:r>
          </w:p>
        </w:tc>
        <w:tc>
          <w:tcPr>
            <w:tcW w:w="38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3"/>
              </w:rPr>
              <w:t>2.00%</w:t>
            </w:r>
          </w:p>
        </w:tc>
        <w:tc>
          <w:tcPr>
            <w:tcW w:w="19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- 27.03% (2.47%)</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254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8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Non-Performance Spread</w:t>
            </w:r>
          </w:p>
        </w:tc>
        <w:tc>
          <w:tcPr>
            <w:tcW w:w="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3"/>
              </w:rPr>
              <w:t>0.46%</w:t>
            </w:r>
          </w:p>
        </w:tc>
        <w:tc>
          <w:tcPr>
            <w:tcW w:w="1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- 0.95% (0.79%)</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GMWB Utilization</w:t>
            </w:r>
          </w:p>
        </w:tc>
        <w:tc>
          <w:tcPr>
            <w:tcW w:w="2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50.00% - 75.00% (63.63%)</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31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MSRs</w:t>
            </w:r>
          </w:p>
        </w:tc>
        <w:tc>
          <w:tcPr>
            <w:tcW w:w="136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120" w:type="dxa"/>
            <w:vAlign w:val="bottom"/>
            <w:tcBorders>
              <w:bottom w:val="single" w:sz="8" w:color="CCEEFF"/>
            </w:tcBorders>
            <w:shd w:val="clear" w:color="auto" w:fill="CCEEFF"/>
          </w:tcPr>
          <w:p>
            <w:pPr>
              <w:spacing w:after="0"/>
              <w:rPr>
                <w:sz w:val="16"/>
                <w:szCs w:val="16"/>
                <w:color w:val="auto"/>
              </w:rPr>
            </w:pPr>
          </w:p>
        </w:tc>
        <w:tc>
          <w:tcPr>
            <w:tcW w:w="1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Discounted Cash Flow</w:t>
            </w:r>
          </w:p>
        </w:tc>
        <w:tc>
          <w:tcPr>
            <w:tcW w:w="1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3"/>
              </w:rPr>
              <w:t>9.01%</w:t>
            </w:r>
          </w:p>
        </w:tc>
        <w:tc>
          <w:tcPr>
            <w:tcW w:w="1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- 11.58% (10.29%)</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Conditional Prepayment Rate</w:t>
            </w:r>
          </w:p>
        </w:tc>
        <w:tc>
          <w:tcPr>
            <w:tcW w:w="38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3"/>
              </w:rPr>
              <w:t>5.23%</w:t>
            </w:r>
          </w:p>
        </w:tc>
        <w:tc>
          <w:tcPr>
            <w:tcW w:w="19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-8.61% (6.40%)</w:t>
            </w:r>
          </w:p>
        </w:tc>
        <w:tc>
          <w:tcPr>
            <w:tcW w:w="0" w:type="dxa"/>
            <w:vAlign w:val="bottom"/>
          </w:tcPr>
          <w:p>
            <w:pPr>
              <w:spacing w:after="0"/>
              <w:rPr>
                <w:sz w:val="1"/>
                <w:szCs w:val="1"/>
                <w:color w:val="auto"/>
              </w:rPr>
            </w:pPr>
          </w:p>
        </w:tc>
      </w:tr>
      <w:tr>
        <w:trPr>
          <w:trHeight w:val="24"/>
        </w:trPr>
        <w:tc>
          <w:tcPr>
            <w:tcW w:w="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19"/>
                <w:szCs w:val="19"/>
                <w:color w:val="auto"/>
              </w:rPr>
            </w:pPr>
          </w:p>
        </w:tc>
        <w:tc>
          <w:tcPr>
            <w:tcW w:w="314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Total financial assets at fair value (a)</w:t>
            </w:r>
          </w:p>
        </w:tc>
        <w:tc>
          <w:tcPr>
            <w:tcW w:w="1360" w:type="dxa"/>
            <w:vAlign w:val="bottom"/>
            <w:tcBorders>
              <w:bottom w:val="single" w:sz="8" w:color="auto"/>
            </w:tcBorders>
            <w:shd w:val="clear" w:color="auto" w:fill="CCEEFF"/>
          </w:tcPr>
          <w:p>
            <w:pPr>
              <w:jc w:val="right"/>
              <w:ind w:right="1209"/>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2,492</w:t>
            </w:r>
          </w:p>
        </w:tc>
        <w:tc>
          <w:tcPr>
            <w:tcW w:w="120" w:type="dxa"/>
            <w:vAlign w:val="bottom"/>
            <w:tcBorders>
              <w:bottom w:val="single" w:sz="8" w:color="CCEEFF"/>
            </w:tcBorders>
            <w:shd w:val="clear" w:color="auto" w:fill="CCEEFF"/>
          </w:tcPr>
          <w:p>
            <w:pPr>
              <w:spacing w:after="0"/>
              <w:rPr>
                <w:sz w:val="19"/>
                <w:szCs w:val="19"/>
                <w:color w:val="auto"/>
              </w:rPr>
            </w:pPr>
          </w:p>
        </w:tc>
        <w:tc>
          <w:tcPr>
            <w:tcW w:w="18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9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3140" w:type="dxa"/>
            <w:vAlign w:val="bottom"/>
            <w:tcBorders>
              <w:top w:val="single" w:sz="8" w:color="CCEEFF"/>
              <w:bottom w:val="single" w:sz="8" w:color="CCEEFF"/>
            </w:tcBorders>
            <w:gridSpan w:val="3"/>
            <w:vMerge w:val="restart"/>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20" w:type="dxa"/>
            <w:vAlign w:val="bottom"/>
            <w:vMerge w:val="continue"/>
          </w:tcPr>
          <w:p>
            <w:pPr>
              <w:spacing w:after="0"/>
              <w:rPr>
                <w:sz w:val="9"/>
                <w:szCs w:val="9"/>
                <w:color w:val="auto"/>
              </w:rPr>
            </w:pPr>
          </w:p>
        </w:tc>
        <w:tc>
          <w:tcPr>
            <w:tcW w:w="3140" w:type="dxa"/>
            <w:vAlign w:val="bottom"/>
            <w:gridSpan w:val="3"/>
            <w:vMerge w:val="continue"/>
          </w:tcPr>
          <w:p>
            <w:pPr>
              <w:spacing w:after="0"/>
              <w:rPr>
                <w:sz w:val="9"/>
                <w:szCs w:val="9"/>
                <w:color w:val="auto"/>
              </w:rPr>
            </w:pPr>
          </w:p>
        </w:tc>
        <w:tc>
          <w:tcPr>
            <w:tcW w:w="1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25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31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Derivatives:</w:t>
            </w:r>
          </w:p>
        </w:tc>
        <w:tc>
          <w:tcPr>
            <w:tcW w:w="136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8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9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140" w:type="dxa"/>
            <w:vAlign w:val="bottom"/>
            <w:gridSpan w:val="3"/>
          </w:tcPr>
          <w:p>
            <w:pPr>
              <w:ind w:left="200"/>
              <w:spacing w:after="0" w:line="150" w:lineRule="exact"/>
              <w:rPr>
                <w:sz w:val="20"/>
                <w:szCs w:val="20"/>
                <w:color w:val="auto"/>
              </w:rPr>
            </w:pPr>
            <w:r>
              <w:rPr>
                <w:rFonts w:ascii="Times New Roman" w:cs="Times New Roman" w:eastAsia="Times New Roman" w:hAnsi="Times New Roman"/>
                <w:sz w:val="14"/>
                <w:szCs w:val="14"/>
                <w:color w:val="auto"/>
              </w:rPr>
              <w:t>Indexed annuities/ IUL embedded derivatives,</w:t>
            </w:r>
          </w:p>
        </w:tc>
        <w:tc>
          <w:tcPr>
            <w:tcW w:w="1360" w:type="dxa"/>
            <w:vAlign w:val="bottom"/>
            <w:vMerge w:val="restart"/>
          </w:tcPr>
          <w:p>
            <w:pPr>
              <w:jc w:val="right"/>
              <w:ind w:right="1209"/>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5"/>
              </w:rPr>
              <w:t>6,456</w:t>
            </w:r>
          </w:p>
        </w:tc>
        <w:tc>
          <w:tcPr>
            <w:tcW w:w="120" w:type="dxa"/>
            <w:vAlign w:val="bottom"/>
          </w:tcPr>
          <w:p>
            <w:pPr>
              <w:spacing w:after="0"/>
              <w:rPr>
                <w:sz w:val="13"/>
                <w:szCs w:val="13"/>
                <w:color w:val="auto"/>
              </w:rPr>
            </w:pPr>
          </w:p>
        </w:tc>
        <w:tc>
          <w:tcPr>
            <w:tcW w:w="1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Discounted Cash Flow</w:t>
            </w:r>
          </w:p>
        </w:tc>
        <w:tc>
          <w:tcPr>
            <w:tcW w:w="1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Market Value of Option</w:t>
            </w:r>
          </w:p>
        </w:tc>
        <w:tc>
          <w:tcPr>
            <w:tcW w:w="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w w:val="93"/>
              </w:rPr>
              <w:t>0.00%</w:t>
            </w:r>
          </w:p>
        </w:tc>
        <w:tc>
          <w:tcPr>
            <w:tcW w:w="198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- 18.82% (3.16%)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14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included in Contractholder funds</w:t>
            </w:r>
          </w:p>
        </w:tc>
        <w:tc>
          <w:tcPr>
            <w:tcW w:w="1360" w:type="dxa"/>
            <w:vAlign w:val="bottom"/>
            <w:vMerge w:val="continue"/>
          </w:tcPr>
          <w:p>
            <w:pPr>
              <w:spacing w:after="0"/>
              <w:rPr>
                <w:sz w:val="16"/>
                <w:szCs w:val="16"/>
                <w:color w:val="auto"/>
              </w:rPr>
            </w:pPr>
          </w:p>
        </w:tc>
        <w:tc>
          <w:tcPr>
            <w:tcW w:w="3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gridSpan w:val="2"/>
            <w:vMerge w:val="continue"/>
          </w:tcPr>
          <w:p>
            <w:pPr>
              <w:spacing w:after="0"/>
              <w:rPr>
                <w:sz w:val="16"/>
                <w:szCs w:val="16"/>
                <w:color w:val="auto"/>
              </w:rPr>
            </w:pPr>
          </w:p>
        </w:tc>
        <w:tc>
          <w:tcPr>
            <w:tcW w:w="1920" w:type="dxa"/>
            <w:vAlign w:val="bottom"/>
            <w:gridSpan w:val="2"/>
            <w:vMerge w:val="continue"/>
          </w:tcPr>
          <w:p>
            <w:pPr>
              <w:spacing w:after="0"/>
              <w:rPr>
                <w:sz w:val="16"/>
                <w:szCs w:val="16"/>
                <w:color w:val="auto"/>
              </w:rPr>
            </w:pPr>
          </w:p>
        </w:tc>
        <w:tc>
          <w:tcPr>
            <w:tcW w:w="380" w:type="dxa"/>
            <w:vAlign w:val="bottom"/>
            <w:vMerge w:val="continue"/>
          </w:tcPr>
          <w:p>
            <w:pPr>
              <w:spacing w:after="0"/>
              <w:rPr>
                <w:sz w:val="16"/>
                <w:szCs w:val="16"/>
                <w:color w:val="auto"/>
              </w:rPr>
            </w:pPr>
          </w:p>
        </w:tc>
        <w:tc>
          <w:tcPr>
            <w:tcW w:w="1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54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Mortality Multiplier</w:t>
            </w:r>
          </w:p>
        </w:tc>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75.00% - 120.00% (97.50%)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Surrender Rates</w:t>
            </w:r>
          </w:p>
        </w:tc>
        <w:tc>
          <w:tcPr>
            <w:tcW w:w="38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3"/>
              </w:rPr>
              <w:t>0.25%</w:t>
            </w:r>
          </w:p>
        </w:tc>
        <w:tc>
          <w:tcPr>
            <w:tcW w:w="19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- 70.00% (7.35%)</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254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8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Partial Withdrawal Rate</w:t>
            </w:r>
          </w:p>
        </w:tc>
        <w:tc>
          <w:tcPr>
            <w:tcW w:w="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3"/>
              </w:rPr>
              <w:t>2.00%</w:t>
            </w:r>
          </w:p>
        </w:tc>
        <w:tc>
          <w:tcPr>
            <w:tcW w:w="1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- 37.04% (2.68%)</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Non-Performance Spread</w:t>
            </w:r>
          </w:p>
        </w:tc>
        <w:tc>
          <w:tcPr>
            <w:tcW w:w="38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3"/>
              </w:rPr>
              <w:t>0.46%</w:t>
            </w:r>
          </w:p>
        </w:tc>
        <w:tc>
          <w:tcPr>
            <w:tcW w:w="19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- 0.95% (0.79%)</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254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8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Option Cost</w:t>
            </w:r>
          </w:p>
        </w:tc>
        <w:tc>
          <w:tcPr>
            <w:tcW w:w="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3"/>
              </w:rPr>
              <w:t>0.50%</w:t>
            </w:r>
          </w:p>
        </w:tc>
        <w:tc>
          <w:tcPr>
            <w:tcW w:w="1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- 5.55% (2.86%)</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1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Market risk benefits liability</w:t>
            </w:r>
          </w:p>
        </w:tc>
        <w:tc>
          <w:tcPr>
            <w:tcW w:w="13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906</w:t>
            </w:r>
          </w:p>
        </w:tc>
        <w:tc>
          <w:tcPr>
            <w:tcW w:w="120" w:type="dxa"/>
            <w:vAlign w:val="bottom"/>
          </w:tcPr>
          <w:p>
            <w:pPr>
              <w:spacing w:after="0"/>
              <w:rPr>
                <w:sz w:val="16"/>
                <w:szCs w:val="16"/>
                <w:color w:val="auto"/>
              </w:rPr>
            </w:pPr>
          </w:p>
        </w:tc>
        <w:tc>
          <w:tcPr>
            <w:tcW w:w="1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Discounted Cash Flow</w:t>
            </w:r>
          </w:p>
        </w:tc>
        <w:tc>
          <w:tcPr>
            <w:tcW w:w="1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Mortality Multiplier</w:t>
            </w:r>
          </w:p>
        </w:tc>
        <w:tc>
          <w:tcPr>
            <w:tcW w:w="2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75.00% - 120.00% (97.50%)</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254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8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Surrender Rates</w:t>
            </w:r>
          </w:p>
        </w:tc>
        <w:tc>
          <w:tcPr>
            <w:tcW w:w="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3"/>
              </w:rPr>
              <w:t>0.25%</w:t>
            </w:r>
          </w:p>
        </w:tc>
        <w:tc>
          <w:tcPr>
            <w:tcW w:w="1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- 30.00% (6.19%)</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Partial Withdrawal Rate</w:t>
            </w:r>
          </w:p>
        </w:tc>
        <w:tc>
          <w:tcPr>
            <w:tcW w:w="38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3"/>
              </w:rPr>
              <w:t>2.00%</w:t>
            </w:r>
          </w:p>
        </w:tc>
        <w:tc>
          <w:tcPr>
            <w:tcW w:w="19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- 27.03% (2.47%)</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254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8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Non-Performance Spread</w:t>
            </w:r>
          </w:p>
        </w:tc>
        <w:tc>
          <w:tcPr>
            <w:tcW w:w="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3"/>
              </w:rPr>
              <w:t>0.46%</w:t>
            </w:r>
          </w:p>
        </w:tc>
        <w:tc>
          <w:tcPr>
            <w:tcW w:w="1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- 0.95% (0.79%)</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GMWB Utilization</w:t>
            </w:r>
          </w:p>
        </w:tc>
        <w:tc>
          <w:tcPr>
            <w:tcW w:w="2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50.00% - 75.00% (63.63%)</w:t>
            </w:r>
          </w:p>
        </w:tc>
        <w:tc>
          <w:tcPr>
            <w:tcW w:w="0" w:type="dxa"/>
            <w:vAlign w:val="bottom"/>
          </w:tcPr>
          <w:p>
            <w:pPr>
              <w:spacing w:after="0"/>
              <w:rPr>
                <w:sz w:val="1"/>
                <w:szCs w:val="1"/>
                <w:color w:val="auto"/>
              </w:rPr>
            </w:pPr>
          </w:p>
        </w:tc>
      </w:tr>
      <w:tr>
        <w:trPr>
          <w:trHeight w:val="24"/>
        </w:trPr>
        <w:tc>
          <w:tcPr>
            <w:tcW w:w="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19"/>
                <w:szCs w:val="19"/>
                <w:color w:val="auto"/>
              </w:rPr>
            </w:pPr>
          </w:p>
        </w:tc>
        <w:tc>
          <w:tcPr>
            <w:tcW w:w="314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Total financial liabilities at fair value</w:t>
            </w:r>
          </w:p>
        </w:tc>
        <w:tc>
          <w:tcPr>
            <w:tcW w:w="1360" w:type="dxa"/>
            <w:vAlign w:val="bottom"/>
            <w:tcBorders>
              <w:bottom w:val="single" w:sz="8" w:color="auto"/>
            </w:tcBorders>
            <w:shd w:val="clear" w:color="auto" w:fill="CCEEFF"/>
          </w:tcPr>
          <w:p>
            <w:pPr>
              <w:jc w:val="right"/>
              <w:ind w:right="1209"/>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7,362</w:t>
            </w:r>
          </w:p>
        </w:tc>
        <w:tc>
          <w:tcPr>
            <w:tcW w:w="120" w:type="dxa"/>
            <w:vAlign w:val="bottom"/>
            <w:tcBorders>
              <w:bottom w:val="single" w:sz="8" w:color="CCEEFF"/>
            </w:tcBorders>
            <w:shd w:val="clear" w:color="auto" w:fill="CCEEFF"/>
          </w:tcPr>
          <w:p>
            <w:pPr>
              <w:spacing w:after="0"/>
              <w:rPr>
                <w:sz w:val="19"/>
                <w:szCs w:val="19"/>
                <w:color w:val="auto"/>
              </w:rPr>
            </w:pPr>
          </w:p>
        </w:tc>
        <w:tc>
          <w:tcPr>
            <w:tcW w:w="18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9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ind w:firstLine="6"/>
        <w:spacing w:after="0" w:line="271" w:lineRule="auto"/>
        <w:tabs>
          <w:tab w:leader="none" w:pos="192"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Assets of $14,312 million and liabilities of $19 million for which significant quantitative unobservable inputs are not developed internally and not readily available to the Company (primarily those valued using broker quotes and certain third-party pricing services) are excluded from the respective totals in the table above.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Fair Value as of</w:t>
            </w: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Range (Weighted average)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180" w:type="dxa"/>
            <w:vAlign w:val="bottom"/>
          </w:tcPr>
          <w:p>
            <w:pPr>
              <w:jc w:val="center"/>
              <w:ind w:left="32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Valuation Technique</w:t>
            </w:r>
          </w:p>
        </w:tc>
        <w:tc>
          <w:tcPr>
            <w:tcW w:w="206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400" w:type="dxa"/>
            <w:vAlign w:val="bottom"/>
          </w:tcPr>
          <w:p>
            <w:pPr>
              <w:spacing w:after="0"/>
              <w:rPr>
                <w:sz w:val="18"/>
                <w:szCs w:val="18"/>
                <w:color w:val="auto"/>
              </w:rPr>
            </w:pPr>
          </w:p>
        </w:tc>
        <w:tc>
          <w:tcPr>
            <w:tcW w:w="200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4"/>
        </w:trPr>
        <w:tc>
          <w:tcPr>
            <w:tcW w:w="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2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line="139" w:lineRule="exact"/>
              <w:rPr>
                <w:sz w:val="20"/>
                <w:szCs w:val="20"/>
                <w:color w:val="auto"/>
              </w:rPr>
            </w:pPr>
            <w:r>
              <w:rPr>
                <w:rFonts w:ascii="Times New Roman" w:cs="Times New Roman" w:eastAsia="Times New Roman" w:hAnsi="Times New Roman"/>
                <w:sz w:val="14"/>
                <w:szCs w:val="14"/>
                <w:b w:val="1"/>
                <w:bCs w:val="1"/>
                <w:color w:val="auto"/>
                <w:w w:val="96"/>
              </w:rPr>
              <w:t>Assets</w:t>
            </w:r>
          </w:p>
        </w:tc>
        <w:tc>
          <w:tcPr>
            <w:tcW w:w="2840" w:type="dxa"/>
            <w:vAlign w:val="bottom"/>
            <w:tcBorders>
              <w:bottom w:val="single" w:sz="8" w:color="CCEEFF"/>
            </w:tcBorders>
            <w:gridSpan w:val="2"/>
            <w:shd w:val="clear" w:color="auto" w:fill="CCEEFF"/>
          </w:tcPr>
          <w:p>
            <w:pPr>
              <w:spacing w:after="0"/>
              <w:rPr>
                <w:sz w:val="14"/>
                <w:szCs w:val="14"/>
                <w:color w:val="auto"/>
              </w:rPr>
            </w:pPr>
          </w:p>
        </w:tc>
        <w:tc>
          <w:tcPr>
            <w:tcW w:w="118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7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9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20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2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Asset-backed securities</w:t>
            </w:r>
          </w:p>
        </w:tc>
        <w:tc>
          <w:tcPr>
            <w:tcW w:w="1180" w:type="dxa"/>
            <w:vAlign w:val="bottom"/>
          </w:tcPr>
          <w:p>
            <w:pPr>
              <w:jc w:val="right"/>
              <w:ind w:right="102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00" w:type="dxa"/>
            <w:vAlign w:val="bottom"/>
          </w:tcPr>
          <w:p>
            <w:pPr>
              <w:spacing w:after="0"/>
              <w:rPr>
                <w:sz w:val="16"/>
                <w:szCs w:val="16"/>
                <w:color w:val="auto"/>
              </w:rPr>
            </w:pPr>
          </w:p>
        </w:tc>
        <w:tc>
          <w:tcPr>
            <w:tcW w:w="1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Third-Party Valuation</w:t>
            </w: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4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4.36%</w:t>
            </w:r>
          </w:p>
        </w:tc>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- 7.15% (5.80%)</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32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Corporates</w:t>
            </w:r>
          </w:p>
        </w:tc>
        <w:tc>
          <w:tcPr>
            <w:tcW w:w="11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Borders>
              <w:bottom w:val="single" w:sz="8" w:color="CCEEFF"/>
            </w:tcBorders>
            <w:shd w:val="clear" w:color="auto" w:fill="CCEEFF"/>
          </w:tcPr>
          <w:p>
            <w:pPr>
              <w:spacing w:after="0"/>
              <w:rPr>
                <w:sz w:val="16"/>
                <w:szCs w:val="16"/>
                <w:color w:val="auto"/>
              </w:rPr>
            </w:pPr>
          </w:p>
        </w:tc>
        <w:tc>
          <w:tcPr>
            <w:tcW w:w="1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Discounted Cash Flow</w:t>
            </w:r>
          </w:p>
        </w:tc>
        <w:tc>
          <w:tcPr>
            <w:tcW w:w="2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5.50%</w:t>
            </w:r>
          </w:p>
        </w:tc>
        <w:tc>
          <w:tcPr>
            <w:tcW w:w="2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- 100.00% (98.73%)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2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Corporates</w:t>
            </w:r>
          </w:p>
        </w:tc>
        <w:tc>
          <w:tcPr>
            <w:tcW w:w="11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661</w:t>
            </w:r>
          </w:p>
        </w:tc>
        <w:tc>
          <w:tcPr>
            <w:tcW w:w="100" w:type="dxa"/>
            <w:vAlign w:val="bottom"/>
          </w:tcPr>
          <w:p>
            <w:pPr>
              <w:spacing w:after="0"/>
              <w:rPr>
                <w:sz w:val="16"/>
                <w:szCs w:val="16"/>
                <w:color w:val="auto"/>
              </w:rPr>
            </w:pPr>
          </w:p>
        </w:tc>
        <w:tc>
          <w:tcPr>
            <w:tcW w:w="1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Third-Party Valuation</w:t>
            </w: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4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3.45%</w:t>
            </w:r>
          </w:p>
        </w:tc>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- 8.68% (5.84%)</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32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Residential mortgage-backed securities</w:t>
            </w:r>
          </w:p>
        </w:tc>
        <w:tc>
          <w:tcPr>
            <w:tcW w:w="11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shd w:val="clear" w:color="auto" w:fill="CCEEFF"/>
          </w:tcPr>
          <w:p>
            <w:pPr>
              <w:spacing w:after="0"/>
              <w:rPr>
                <w:sz w:val="16"/>
                <w:szCs w:val="16"/>
                <w:color w:val="auto"/>
              </w:rPr>
            </w:pPr>
          </w:p>
        </w:tc>
        <w:tc>
          <w:tcPr>
            <w:tcW w:w="1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Third-Party Valuation</w:t>
            </w:r>
          </w:p>
        </w:tc>
        <w:tc>
          <w:tcPr>
            <w:tcW w:w="2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5.41%</w:t>
            </w:r>
          </w:p>
        </w:tc>
        <w:tc>
          <w:tcPr>
            <w:tcW w:w="2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- 5.41% (5.41%)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2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Foreign Governments</w:t>
            </w:r>
          </w:p>
        </w:tc>
        <w:tc>
          <w:tcPr>
            <w:tcW w:w="11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1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Third-Party Valuation</w:t>
            </w: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4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5.73%</w:t>
            </w:r>
          </w:p>
        </w:tc>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- 5.73% (5.73%)</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32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Municipals</w:t>
            </w:r>
          </w:p>
        </w:tc>
        <w:tc>
          <w:tcPr>
            <w:tcW w:w="11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shd w:val="clear" w:color="auto" w:fill="CCEEFF"/>
          </w:tcPr>
          <w:p>
            <w:pPr>
              <w:spacing w:after="0"/>
              <w:rPr>
                <w:sz w:val="16"/>
                <w:szCs w:val="16"/>
                <w:color w:val="auto"/>
              </w:rPr>
            </w:pPr>
          </w:p>
        </w:tc>
        <w:tc>
          <w:tcPr>
            <w:tcW w:w="1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Third-Party Valuation</w:t>
            </w:r>
          </w:p>
        </w:tc>
        <w:tc>
          <w:tcPr>
            <w:tcW w:w="2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4.94%</w:t>
            </w:r>
          </w:p>
        </w:tc>
        <w:tc>
          <w:tcPr>
            <w:tcW w:w="2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- 4.94% (4.94%)</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2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Investments in unconsolidated affiliates</w:t>
            </w:r>
          </w:p>
        </w:tc>
        <w:tc>
          <w:tcPr>
            <w:tcW w:w="1180" w:type="dxa"/>
            <w:vAlign w:val="bottom"/>
          </w:tcPr>
          <w:p>
            <w:pPr>
              <w:spacing w:after="0"/>
              <w:rPr>
                <w:sz w:val="13"/>
                <w:szCs w:val="13"/>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100" w:type="dxa"/>
            <w:vAlign w:val="bottom"/>
          </w:tcPr>
          <w:p>
            <w:pPr>
              <w:spacing w:after="0"/>
              <w:rPr>
                <w:sz w:val="13"/>
                <w:szCs w:val="13"/>
                <w:color w:val="auto"/>
              </w:rPr>
            </w:pPr>
          </w:p>
        </w:tc>
        <w:tc>
          <w:tcPr>
            <w:tcW w:w="1860" w:type="dxa"/>
            <w:vAlign w:val="bottom"/>
            <w:gridSpan w:val="2"/>
          </w:tcPr>
          <w:p>
            <w:pPr>
              <w:ind w:left="20"/>
              <w:spacing w:after="0" w:line="150" w:lineRule="exact"/>
              <w:rPr>
                <w:sz w:val="20"/>
                <w:szCs w:val="20"/>
                <w:color w:val="auto"/>
              </w:rPr>
            </w:pPr>
            <w:r>
              <w:rPr>
                <w:rFonts w:ascii="Times New Roman" w:cs="Times New Roman" w:eastAsia="Times New Roman" w:hAnsi="Times New Roman"/>
                <w:sz w:val="14"/>
                <w:szCs w:val="14"/>
                <w:color w:val="auto"/>
              </w:rPr>
              <w:t>Market Comparable</w:t>
            </w:r>
          </w:p>
        </w:tc>
        <w:tc>
          <w:tcPr>
            <w:tcW w:w="2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EBITDA Multiple</w:t>
            </w:r>
          </w:p>
        </w:tc>
        <w:tc>
          <w:tcPr>
            <w:tcW w:w="2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7.4x - 15.5x (12.10x)</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220" w:type="dxa"/>
            <w:vAlign w:val="bottom"/>
            <w:gridSpan w:val="3"/>
            <w:vMerge w:val="continue"/>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Company Analysis</w:t>
            </w:r>
          </w:p>
        </w:tc>
        <w:tc>
          <w:tcPr>
            <w:tcW w:w="2060" w:type="dxa"/>
            <w:vAlign w:val="bottom"/>
            <w:gridSpan w:val="2"/>
            <w:vMerge w:val="continue"/>
          </w:tcPr>
          <w:p>
            <w:pPr>
              <w:spacing w:after="0"/>
              <w:rPr>
                <w:sz w:val="16"/>
                <w:szCs w:val="16"/>
                <w:color w:val="auto"/>
              </w:rPr>
            </w:pPr>
          </w:p>
        </w:tc>
        <w:tc>
          <w:tcPr>
            <w:tcW w:w="24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shd w:val="clear" w:color="auto" w:fill="CCEEFF"/>
          </w:tcPr>
          <w:p>
            <w:pPr>
              <w:spacing w:after="0"/>
              <w:rPr>
                <w:sz w:val="17"/>
                <w:szCs w:val="17"/>
                <w:color w:val="auto"/>
              </w:rPr>
            </w:pPr>
          </w:p>
        </w:tc>
        <w:tc>
          <w:tcPr>
            <w:tcW w:w="32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Preferred equity securities</w:t>
            </w:r>
          </w:p>
        </w:tc>
        <w:tc>
          <w:tcPr>
            <w:tcW w:w="11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7"/>
                <w:szCs w:val="17"/>
                <w:color w:val="auto"/>
              </w:rPr>
            </w:pPr>
          </w:p>
        </w:tc>
        <w:tc>
          <w:tcPr>
            <w:tcW w:w="1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Discounted Cash Flow</w:t>
            </w:r>
          </w:p>
        </w:tc>
        <w:tc>
          <w:tcPr>
            <w:tcW w:w="2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2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100.00% - 100.00% (100.00%)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2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Common equity securities</w:t>
            </w:r>
          </w:p>
        </w:tc>
        <w:tc>
          <w:tcPr>
            <w:tcW w:w="11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1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Discounted Cash Flow</w:t>
            </w: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4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8.10%</w:t>
            </w:r>
          </w:p>
        </w:tc>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- 14.00% (13.29%)</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32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MSRs</w:t>
            </w:r>
          </w:p>
        </w:tc>
        <w:tc>
          <w:tcPr>
            <w:tcW w:w="11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tcBorders>
              <w:bottom w:val="single" w:sz="8" w:color="CCEEFF"/>
            </w:tcBorders>
            <w:shd w:val="clear" w:color="auto" w:fill="CCEEFF"/>
          </w:tcPr>
          <w:p>
            <w:pPr>
              <w:spacing w:after="0"/>
              <w:rPr>
                <w:sz w:val="16"/>
                <w:szCs w:val="16"/>
                <w:color w:val="auto"/>
              </w:rPr>
            </w:pPr>
          </w:p>
        </w:tc>
        <w:tc>
          <w:tcPr>
            <w:tcW w:w="1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Discounted Cash Flow</w:t>
            </w:r>
          </w:p>
        </w:tc>
        <w:tc>
          <w:tcPr>
            <w:tcW w:w="2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6.38%</w:t>
            </w:r>
          </w:p>
        </w:tc>
        <w:tc>
          <w:tcPr>
            <w:tcW w:w="2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- 10.69% (8.00%)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Conditional Prepayment Rate</w:t>
            </w:r>
          </w:p>
        </w:tc>
        <w:tc>
          <w:tcPr>
            <w:tcW w:w="4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5.85%</w:t>
            </w:r>
          </w:p>
        </w:tc>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- 13.65% (7.77%)</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32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long-term investments:</w:t>
            </w:r>
          </w:p>
        </w:tc>
        <w:tc>
          <w:tcPr>
            <w:tcW w:w="11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7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9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20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220" w:type="dxa"/>
            <w:vAlign w:val="bottom"/>
            <w:gridSpan w:val="3"/>
            <w:vMerge w:val="restart"/>
          </w:tcPr>
          <w:p>
            <w:pPr>
              <w:ind w:left="220"/>
              <w:spacing w:after="0"/>
              <w:rPr>
                <w:sz w:val="20"/>
                <w:szCs w:val="20"/>
                <w:color w:val="auto"/>
              </w:rPr>
            </w:pPr>
            <w:r>
              <w:rPr>
                <w:rFonts w:ascii="Times New Roman" w:cs="Times New Roman" w:eastAsia="Times New Roman" w:hAnsi="Times New Roman"/>
                <w:sz w:val="14"/>
                <w:szCs w:val="14"/>
                <w:color w:val="auto"/>
              </w:rPr>
              <w:t>Available-for-sale embedded derivative</w:t>
            </w:r>
          </w:p>
        </w:tc>
        <w:tc>
          <w:tcPr>
            <w:tcW w:w="1180" w:type="dxa"/>
            <w:vAlign w:val="bottom"/>
          </w:tcPr>
          <w:p>
            <w:pPr>
              <w:spacing w:after="0"/>
              <w:rPr>
                <w:sz w:val="13"/>
                <w:szCs w:val="13"/>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13"/>
                <w:szCs w:val="13"/>
                <w:color w:val="auto"/>
              </w:rPr>
            </w:pPr>
          </w:p>
        </w:tc>
        <w:tc>
          <w:tcPr>
            <w:tcW w:w="1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Black Scholes Model</w:t>
            </w:r>
          </w:p>
        </w:tc>
        <w:tc>
          <w:tcPr>
            <w:tcW w:w="2060" w:type="dxa"/>
            <w:vAlign w:val="bottom"/>
            <w:gridSpan w:val="2"/>
          </w:tcPr>
          <w:p>
            <w:pPr>
              <w:ind w:left="20"/>
              <w:spacing w:after="0" w:line="150" w:lineRule="exact"/>
              <w:rPr>
                <w:sz w:val="20"/>
                <w:szCs w:val="20"/>
                <w:color w:val="auto"/>
              </w:rPr>
            </w:pPr>
            <w:r>
              <w:rPr>
                <w:rFonts w:ascii="Times New Roman" w:cs="Times New Roman" w:eastAsia="Times New Roman" w:hAnsi="Times New Roman"/>
                <w:sz w:val="14"/>
                <w:szCs w:val="14"/>
                <w:color w:val="auto"/>
              </w:rPr>
              <w:t>Market Value of AnchorPath</w:t>
            </w:r>
          </w:p>
        </w:tc>
        <w:tc>
          <w:tcPr>
            <w:tcW w:w="2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100.00%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220" w:type="dxa"/>
            <w:vAlign w:val="bottom"/>
            <w:gridSpan w:val="3"/>
            <w:vMerge w:val="continue"/>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gridSpan w:val="2"/>
            <w:vMerge w:val="continue"/>
          </w:tcPr>
          <w:p>
            <w:pPr>
              <w:spacing w:after="0"/>
              <w:rPr>
                <w:sz w:val="16"/>
                <w:szCs w:val="16"/>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Fund</w:t>
            </w:r>
          </w:p>
        </w:tc>
        <w:tc>
          <w:tcPr>
            <w:tcW w:w="24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shd w:val="clear" w:color="auto" w:fill="CCEEFF"/>
          </w:tcPr>
          <w:p>
            <w:pPr>
              <w:spacing w:after="0"/>
              <w:rPr>
                <w:sz w:val="17"/>
                <w:szCs w:val="17"/>
                <w:color w:val="auto"/>
              </w:rPr>
            </w:pPr>
          </w:p>
        </w:tc>
        <w:tc>
          <w:tcPr>
            <w:tcW w:w="32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Reinsurance recoverable:</w:t>
            </w:r>
          </w:p>
        </w:tc>
        <w:tc>
          <w:tcPr>
            <w:tcW w:w="11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9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20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22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Indexed annuities/IUL ceded embedded derivatives</w:t>
            </w:r>
          </w:p>
        </w:tc>
        <w:tc>
          <w:tcPr>
            <w:tcW w:w="11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100" w:type="dxa"/>
            <w:vAlign w:val="bottom"/>
          </w:tcPr>
          <w:p>
            <w:pPr>
              <w:spacing w:after="0"/>
              <w:rPr>
                <w:sz w:val="16"/>
                <w:szCs w:val="16"/>
                <w:color w:val="auto"/>
              </w:rPr>
            </w:pPr>
          </w:p>
        </w:tc>
        <w:tc>
          <w:tcPr>
            <w:tcW w:w="1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Discounted Cash Flow</w:t>
            </w: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Market Value of Option</w:t>
            </w:r>
          </w:p>
        </w:tc>
        <w:tc>
          <w:tcPr>
            <w:tcW w:w="4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0.00%</w:t>
            </w:r>
          </w:p>
        </w:tc>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- 31.77% (2.74%)</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262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7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Mortality Multiplier</w:t>
            </w:r>
          </w:p>
        </w:tc>
        <w:tc>
          <w:tcPr>
            <w:tcW w:w="2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80.00% - 115.00% (100.00%)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Surrender Rates</w:t>
            </w:r>
          </w:p>
        </w:tc>
        <w:tc>
          <w:tcPr>
            <w:tcW w:w="4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0.25%</w:t>
            </w:r>
          </w:p>
        </w:tc>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- 50.00% (3.33%)</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262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7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Partial Withdrawal Rate</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2.00%</w:t>
            </w:r>
          </w:p>
        </w:tc>
        <w:tc>
          <w:tcPr>
            <w:tcW w:w="2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- 6.50% (2.22%)</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Non-Performance Spread</w:t>
            </w:r>
          </w:p>
        </w:tc>
        <w:tc>
          <w:tcPr>
            <w:tcW w:w="4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0.53%</w:t>
            </w:r>
          </w:p>
        </w:tc>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- 1.15% (0.90%)</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262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7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Option Cost</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1.39%</w:t>
            </w:r>
          </w:p>
        </w:tc>
        <w:tc>
          <w:tcPr>
            <w:tcW w:w="2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- 5.30% (1.98%)</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2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322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Loan receivable</w:t>
            </w:r>
          </w:p>
        </w:tc>
        <w:tc>
          <w:tcPr>
            <w:tcW w:w="11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Borders>
              <w:bottom w:val="single" w:sz="8" w:color="CCEEFF"/>
            </w:tcBorders>
            <w:shd w:val="clear" w:color="auto" w:fill="CCEEFF"/>
          </w:tcPr>
          <w:p>
            <w:pPr>
              <w:spacing w:after="0"/>
              <w:rPr>
                <w:sz w:val="16"/>
                <w:szCs w:val="16"/>
                <w:color w:val="auto"/>
              </w:rPr>
            </w:pPr>
          </w:p>
        </w:tc>
        <w:tc>
          <w:tcPr>
            <w:tcW w:w="1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Discounted Cash Flow</w:t>
            </w:r>
          </w:p>
        </w:tc>
        <w:tc>
          <w:tcPr>
            <w:tcW w:w="2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Risk-Adjusted Discount Rate</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6.35%</w:t>
            </w:r>
          </w:p>
        </w:tc>
        <w:tc>
          <w:tcPr>
            <w:tcW w:w="2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- 6.35% (6.35%)</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Collateral Volatility</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35.00% - 35.00% (35.00%)</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32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Market risk benefits asset</w:t>
            </w:r>
          </w:p>
        </w:tc>
        <w:tc>
          <w:tcPr>
            <w:tcW w:w="11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100" w:type="dxa"/>
            <w:vAlign w:val="bottom"/>
            <w:tcBorders>
              <w:bottom w:val="single" w:sz="8" w:color="CCEEFF"/>
            </w:tcBorders>
            <w:shd w:val="clear" w:color="auto" w:fill="CCEEFF"/>
          </w:tcPr>
          <w:p>
            <w:pPr>
              <w:spacing w:after="0"/>
              <w:rPr>
                <w:sz w:val="16"/>
                <w:szCs w:val="16"/>
                <w:color w:val="auto"/>
              </w:rPr>
            </w:pPr>
          </w:p>
        </w:tc>
        <w:tc>
          <w:tcPr>
            <w:tcW w:w="1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Discounted Cash Flow</w:t>
            </w:r>
          </w:p>
        </w:tc>
        <w:tc>
          <w:tcPr>
            <w:tcW w:w="2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Mortality</w:t>
            </w:r>
          </w:p>
        </w:tc>
        <w:tc>
          <w:tcPr>
            <w:tcW w:w="2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80.00% - 115.00% (100.00%)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Surrender Rates</w:t>
            </w:r>
          </w:p>
        </w:tc>
        <w:tc>
          <w:tcPr>
            <w:tcW w:w="4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0.25%</w:t>
            </w:r>
          </w:p>
        </w:tc>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- 30.00% (5.33%)</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262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7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Partial Withdrawal Rates</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0.00%</w:t>
            </w:r>
          </w:p>
        </w:tc>
        <w:tc>
          <w:tcPr>
            <w:tcW w:w="2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-25.64% (2.47%)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Non-Performance Spread</w:t>
            </w:r>
          </w:p>
        </w:tc>
        <w:tc>
          <w:tcPr>
            <w:tcW w:w="4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0.43%</w:t>
            </w:r>
          </w:p>
        </w:tc>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- 0.85% (0.64%)</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62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7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GMWB Utilization</w:t>
            </w:r>
          </w:p>
        </w:tc>
        <w:tc>
          <w:tcPr>
            <w:tcW w:w="2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50.00% -75.00% (63.03%)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Total financial assets at fair value (a)</w:t>
            </w:r>
          </w:p>
        </w:tc>
        <w:tc>
          <w:tcPr>
            <w:tcW w:w="1180" w:type="dxa"/>
            <w:vAlign w:val="bottom"/>
            <w:tcBorders>
              <w:top w:val="single" w:sz="8" w:color="auto"/>
              <w:bottom w:val="single" w:sz="8" w:color="auto"/>
            </w:tcBorders>
          </w:tcPr>
          <w:p>
            <w:pPr>
              <w:jc w:val="right"/>
              <w:ind w:right="102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1,933</w:t>
            </w: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6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20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shd w:val="clear" w:color="auto" w:fill="CCEEFF"/>
          </w:tcPr>
          <w:p>
            <w:pPr>
              <w:spacing w:after="0"/>
              <w:rPr>
                <w:sz w:val="10"/>
                <w:szCs w:val="10"/>
                <w:color w:val="auto"/>
              </w:rPr>
            </w:pPr>
          </w:p>
        </w:tc>
        <w:tc>
          <w:tcPr>
            <w:tcW w:w="3220" w:type="dxa"/>
            <w:vAlign w:val="bottom"/>
            <w:gridSpan w:val="3"/>
            <w:shd w:val="clear" w:color="auto" w:fill="CCEEFF"/>
          </w:tcPr>
          <w:p>
            <w:pPr>
              <w:spacing w:after="0" w:line="126"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11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33"/>
        </w:trPr>
        <w:tc>
          <w:tcPr>
            <w:tcW w:w="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auto"/>
            </w:tcBorders>
            <w:shd w:val="clear" w:color="auto" w:fill="CCEEFF"/>
          </w:tcPr>
          <w:p>
            <w:pPr>
              <w:spacing w:after="0"/>
              <w:rPr>
                <w:sz w:val="2"/>
                <w:szCs w:val="2"/>
                <w:color w:val="auto"/>
              </w:rPr>
            </w:pPr>
          </w:p>
        </w:tc>
        <w:tc>
          <w:tcPr>
            <w:tcW w:w="220" w:type="dxa"/>
            <w:vAlign w:val="bottom"/>
            <w:tcBorders>
              <w:top w:val="single" w:sz="8" w:color="auto"/>
            </w:tcBorders>
            <w:shd w:val="clear" w:color="auto" w:fill="CCEEFF"/>
          </w:tcPr>
          <w:p>
            <w:pPr>
              <w:spacing w:after="0"/>
              <w:rPr>
                <w:sz w:val="2"/>
                <w:szCs w:val="2"/>
                <w:color w:val="auto"/>
              </w:rPr>
            </w:pPr>
          </w:p>
        </w:tc>
        <w:tc>
          <w:tcPr>
            <w:tcW w:w="2620" w:type="dxa"/>
            <w:vAlign w:val="bottom"/>
            <w:tcBorders>
              <w:top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7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9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0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32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Derivatives:</w:t>
            </w: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shd w:val="clear" w:color="auto" w:fill="CCEEFF"/>
          </w:tcPr>
          <w:p>
            <w:pPr>
              <w:spacing w:after="0"/>
              <w:rPr>
                <w:sz w:val="13"/>
                <w:szCs w:val="13"/>
                <w:color w:val="auto"/>
              </w:rPr>
            </w:pPr>
          </w:p>
        </w:tc>
        <w:tc>
          <w:tcPr>
            <w:tcW w:w="3220" w:type="dxa"/>
            <w:vAlign w:val="bottom"/>
            <w:gridSpan w:val="3"/>
            <w:shd w:val="clear" w:color="auto" w:fill="CCEEFF"/>
          </w:tcPr>
          <w:p>
            <w:pPr>
              <w:ind w:left="220"/>
              <w:spacing w:after="0" w:line="150" w:lineRule="exact"/>
              <w:rPr>
                <w:sz w:val="20"/>
                <w:szCs w:val="20"/>
                <w:color w:val="auto"/>
              </w:rPr>
            </w:pPr>
            <w:r>
              <w:rPr>
                <w:rFonts w:ascii="Times New Roman" w:cs="Times New Roman" w:eastAsia="Times New Roman" w:hAnsi="Times New Roman"/>
                <w:sz w:val="14"/>
                <w:szCs w:val="14"/>
                <w:color w:val="auto"/>
              </w:rPr>
              <w:t>Indexed annuities/ IUL embedded derivatives,</w:t>
            </w:r>
          </w:p>
        </w:tc>
        <w:tc>
          <w:tcPr>
            <w:tcW w:w="1180" w:type="dxa"/>
            <w:vAlign w:val="bottom"/>
            <w:vMerge w:val="restart"/>
            <w:shd w:val="clear" w:color="auto" w:fill="CCEEFF"/>
          </w:tcPr>
          <w:p>
            <w:pPr>
              <w:jc w:val="right"/>
              <w:ind w:right="102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6,542</w:t>
            </w:r>
          </w:p>
        </w:tc>
        <w:tc>
          <w:tcPr>
            <w:tcW w:w="100" w:type="dxa"/>
            <w:vAlign w:val="bottom"/>
            <w:shd w:val="clear" w:color="auto" w:fill="CCEEFF"/>
          </w:tcPr>
          <w:p>
            <w:pPr>
              <w:spacing w:after="0"/>
              <w:rPr>
                <w:sz w:val="13"/>
                <w:szCs w:val="13"/>
                <w:color w:val="auto"/>
              </w:rPr>
            </w:pPr>
          </w:p>
        </w:tc>
        <w:tc>
          <w:tcPr>
            <w:tcW w:w="18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Discounted Cash Flow</w:t>
            </w:r>
          </w:p>
        </w:tc>
        <w:tc>
          <w:tcPr>
            <w:tcW w:w="20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Market Value of Option</w:t>
            </w:r>
          </w:p>
        </w:tc>
        <w:tc>
          <w:tcPr>
            <w:tcW w:w="4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0.00%</w:t>
            </w:r>
          </w:p>
        </w:tc>
        <w:tc>
          <w:tcPr>
            <w:tcW w:w="20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- 40.13% (3.84%)</w:t>
            </w:r>
          </w:p>
        </w:tc>
        <w:tc>
          <w:tcPr>
            <w:tcW w:w="0" w:type="dxa"/>
            <w:vAlign w:val="bottom"/>
          </w:tcPr>
          <w:p>
            <w:pPr>
              <w:spacing w:after="0"/>
              <w:rPr>
                <w:sz w:val="1"/>
                <w:szCs w:val="1"/>
                <w:color w:val="auto"/>
              </w:rPr>
            </w:pPr>
          </w:p>
        </w:tc>
      </w:tr>
      <w:tr>
        <w:trPr>
          <w:trHeight w:val="195"/>
        </w:trPr>
        <w:tc>
          <w:tcPr>
            <w:tcW w:w="20" w:type="dxa"/>
            <w:vAlign w:val="bottom"/>
            <w:shd w:val="clear" w:color="auto" w:fill="CCEEFF"/>
          </w:tcPr>
          <w:p>
            <w:pPr>
              <w:spacing w:after="0"/>
              <w:rPr>
                <w:sz w:val="16"/>
                <w:szCs w:val="16"/>
                <w:color w:val="auto"/>
              </w:rPr>
            </w:pPr>
          </w:p>
        </w:tc>
        <w:tc>
          <w:tcPr>
            <w:tcW w:w="32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included in Contractholder funds</w:t>
            </w:r>
          </w:p>
        </w:tc>
        <w:tc>
          <w:tcPr>
            <w:tcW w:w="1180" w:type="dxa"/>
            <w:vAlign w:val="bottom"/>
            <w:vMerge w:val="continue"/>
            <w:shd w:val="clear" w:color="auto" w:fill="CCEEFF"/>
          </w:tcPr>
          <w:p>
            <w:pPr>
              <w:spacing w:after="0"/>
              <w:rPr>
                <w:sz w:val="16"/>
                <w:szCs w:val="16"/>
                <w:color w:val="auto"/>
              </w:rPr>
            </w:pPr>
          </w:p>
        </w:tc>
        <w:tc>
          <w:tcPr>
            <w:tcW w:w="4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60" w:type="dxa"/>
            <w:vAlign w:val="bottom"/>
            <w:gridSpan w:val="2"/>
            <w:vMerge w:val="continue"/>
            <w:shd w:val="clear" w:color="auto" w:fill="CCEEFF"/>
          </w:tcPr>
          <w:p>
            <w:pPr>
              <w:spacing w:after="0"/>
              <w:rPr>
                <w:sz w:val="16"/>
                <w:szCs w:val="16"/>
                <w:color w:val="auto"/>
              </w:rPr>
            </w:pPr>
          </w:p>
        </w:tc>
        <w:tc>
          <w:tcPr>
            <w:tcW w:w="2060" w:type="dxa"/>
            <w:vAlign w:val="bottom"/>
            <w:gridSpan w:val="2"/>
            <w:vMerge w:val="continue"/>
            <w:shd w:val="clear" w:color="auto" w:fill="CCEEFF"/>
          </w:tcPr>
          <w:p>
            <w:pPr>
              <w:spacing w:after="0"/>
              <w:rPr>
                <w:sz w:val="16"/>
                <w:szCs w:val="16"/>
                <w:color w:val="auto"/>
              </w:rPr>
            </w:pPr>
          </w:p>
        </w:tc>
        <w:tc>
          <w:tcPr>
            <w:tcW w:w="400" w:type="dxa"/>
            <w:vAlign w:val="bottom"/>
            <w:vMerge w:val="continue"/>
            <w:shd w:val="clear" w:color="auto" w:fill="CCEEFF"/>
          </w:tcPr>
          <w:p>
            <w:pPr>
              <w:spacing w:after="0"/>
              <w:rPr>
                <w:sz w:val="16"/>
                <w:szCs w:val="16"/>
                <w:color w:val="auto"/>
              </w:rPr>
            </w:pPr>
          </w:p>
        </w:tc>
        <w:tc>
          <w:tcPr>
            <w:tcW w:w="20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Mortality Multiplier</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80.00% - 115.00% (100.00%)</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262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7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Surrender Rates</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0.25%</w:t>
            </w:r>
          </w:p>
        </w:tc>
        <w:tc>
          <w:tcPr>
            <w:tcW w:w="2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- 50.00% (6.68%)</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Partial Withdrawal Rate</w:t>
            </w:r>
          </w:p>
        </w:tc>
        <w:tc>
          <w:tcPr>
            <w:tcW w:w="4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2.00%</w:t>
            </w:r>
          </w:p>
        </w:tc>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- 35.71% (2.69%)</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262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7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Non-Performance Spread</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0.43%</w:t>
            </w:r>
          </w:p>
        </w:tc>
        <w:tc>
          <w:tcPr>
            <w:tcW w:w="2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- 0.85% (0.64%)</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Option Cost</w:t>
            </w:r>
          </w:p>
        </w:tc>
        <w:tc>
          <w:tcPr>
            <w:tcW w:w="4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0.50%</w:t>
            </w:r>
          </w:p>
        </w:tc>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- 6.09% (2.78%)</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shd w:val="clear" w:color="auto" w:fill="CCEEFF"/>
          </w:tcPr>
          <w:p>
            <w:pPr>
              <w:spacing w:after="0"/>
              <w:rPr>
                <w:sz w:val="13"/>
                <w:szCs w:val="13"/>
                <w:color w:val="auto"/>
              </w:rPr>
            </w:pPr>
          </w:p>
        </w:tc>
        <w:tc>
          <w:tcPr>
            <w:tcW w:w="3220" w:type="dxa"/>
            <w:vAlign w:val="bottom"/>
            <w:gridSpan w:val="3"/>
            <w:shd w:val="clear" w:color="auto" w:fill="CCEEFF"/>
          </w:tcPr>
          <w:p>
            <w:pPr>
              <w:spacing w:after="0" w:line="150" w:lineRule="exact"/>
              <w:rPr>
                <w:sz w:val="20"/>
                <w:szCs w:val="20"/>
                <w:color w:val="auto"/>
              </w:rPr>
            </w:pPr>
            <w:r>
              <w:rPr>
                <w:rFonts w:ascii="Times New Roman" w:cs="Times New Roman" w:eastAsia="Times New Roman" w:hAnsi="Times New Roman"/>
                <w:sz w:val="14"/>
                <w:szCs w:val="14"/>
                <w:color w:val="auto"/>
              </w:rPr>
              <w:t>Contingent consideration, included in Accounts payable</w:t>
            </w:r>
          </w:p>
        </w:tc>
        <w:tc>
          <w:tcPr>
            <w:tcW w:w="1180" w:type="dxa"/>
            <w:vAlign w:val="bottom"/>
            <w:shd w:val="clear" w:color="auto" w:fill="CCEEFF"/>
          </w:tcPr>
          <w:p>
            <w:pPr>
              <w:spacing w:after="0"/>
              <w:rPr>
                <w:sz w:val="13"/>
                <w:szCs w:val="13"/>
                <w:color w:val="auto"/>
              </w:rPr>
            </w:pP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shd w:val="clear" w:color="auto" w:fill="CCEEFF"/>
          </w:tcPr>
          <w:p>
            <w:pPr>
              <w:spacing w:after="0"/>
              <w:rPr>
                <w:sz w:val="13"/>
                <w:szCs w:val="13"/>
                <w:color w:val="auto"/>
              </w:rPr>
            </w:pPr>
          </w:p>
        </w:tc>
        <w:tc>
          <w:tcPr>
            <w:tcW w:w="18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Discounted Cash Flow</w:t>
            </w:r>
          </w:p>
        </w:tc>
        <w:tc>
          <w:tcPr>
            <w:tcW w:w="20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Risk-Adjusted Discount Rate</w:t>
            </w:r>
          </w:p>
        </w:tc>
        <w:tc>
          <w:tcPr>
            <w:tcW w:w="24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11.50% - 11.50% (11.50%)</w:t>
            </w:r>
          </w:p>
        </w:tc>
        <w:tc>
          <w:tcPr>
            <w:tcW w:w="0" w:type="dxa"/>
            <w:vAlign w:val="bottom"/>
          </w:tcPr>
          <w:p>
            <w:pPr>
              <w:spacing w:after="0"/>
              <w:rPr>
                <w:sz w:val="1"/>
                <w:szCs w:val="1"/>
                <w:color w:val="auto"/>
              </w:rPr>
            </w:pPr>
          </w:p>
        </w:tc>
      </w:tr>
      <w:tr>
        <w:trPr>
          <w:trHeight w:val="195"/>
        </w:trPr>
        <w:tc>
          <w:tcPr>
            <w:tcW w:w="20" w:type="dxa"/>
            <w:vAlign w:val="bottom"/>
            <w:shd w:val="clear" w:color="auto" w:fill="CCEEFF"/>
          </w:tcPr>
          <w:p>
            <w:pPr>
              <w:spacing w:after="0"/>
              <w:rPr>
                <w:sz w:val="16"/>
                <w:szCs w:val="16"/>
                <w:color w:val="auto"/>
              </w:rPr>
            </w:pPr>
          </w:p>
        </w:tc>
        <w:tc>
          <w:tcPr>
            <w:tcW w:w="3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and accrued liabilities</w:t>
            </w:r>
          </w:p>
        </w:tc>
        <w:tc>
          <w:tcPr>
            <w:tcW w:w="1180" w:type="dxa"/>
            <w:vAlign w:val="bottom"/>
            <w:shd w:val="clear" w:color="auto" w:fill="CCEEFF"/>
          </w:tcPr>
          <w:p>
            <w:pPr>
              <w:spacing w:after="0"/>
              <w:rPr>
                <w:sz w:val="16"/>
                <w:szCs w:val="16"/>
                <w:color w:val="auto"/>
              </w:rPr>
            </w:pPr>
          </w:p>
        </w:tc>
        <w:tc>
          <w:tcPr>
            <w:tcW w:w="4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60" w:type="dxa"/>
            <w:vAlign w:val="bottom"/>
            <w:gridSpan w:val="2"/>
            <w:vMerge w:val="continue"/>
            <w:shd w:val="clear" w:color="auto" w:fill="CCEEFF"/>
          </w:tcPr>
          <w:p>
            <w:pPr>
              <w:spacing w:after="0"/>
              <w:rPr>
                <w:sz w:val="16"/>
                <w:szCs w:val="16"/>
                <w:color w:val="auto"/>
              </w:rPr>
            </w:pPr>
          </w:p>
        </w:tc>
        <w:tc>
          <w:tcPr>
            <w:tcW w:w="2060" w:type="dxa"/>
            <w:vAlign w:val="bottom"/>
            <w:gridSpan w:val="2"/>
            <w:vMerge w:val="continue"/>
            <w:shd w:val="clear" w:color="auto" w:fill="CCEEFF"/>
          </w:tcPr>
          <w:p>
            <w:pPr>
              <w:spacing w:after="0"/>
              <w:rPr>
                <w:sz w:val="16"/>
                <w:szCs w:val="16"/>
                <w:color w:val="auto"/>
              </w:rPr>
            </w:pPr>
          </w:p>
        </w:tc>
        <w:tc>
          <w:tcPr>
            <w:tcW w:w="240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EBITDA Volatility</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35.00% - 35.00% (35.00%)</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262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7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Counterparty Discount Rate</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6.30%</w:t>
            </w:r>
          </w:p>
        </w:tc>
        <w:tc>
          <w:tcPr>
            <w:tcW w:w="2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- 6.30% (6.30%)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2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Market risk benefits liability</w:t>
            </w:r>
          </w:p>
        </w:tc>
        <w:tc>
          <w:tcPr>
            <w:tcW w:w="11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903</w:t>
            </w:r>
          </w:p>
        </w:tc>
        <w:tc>
          <w:tcPr>
            <w:tcW w:w="100" w:type="dxa"/>
            <w:vAlign w:val="bottom"/>
          </w:tcPr>
          <w:p>
            <w:pPr>
              <w:spacing w:after="0"/>
              <w:rPr>
                <w:sz w:val="16"/>
                <w:szCs w:val="16"/>
                <w:color w:val="auto"/>
              </w:rPr>
            </w:pPr>
          </w:p>
        </w:tc>
        <w:tc>
          <w:tcPr>
            <w:tcW w:w="1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Discounted Cash Flow</w:t>
            </w: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Mortality Multiplier</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80.00% - 115.00% (100.00%)</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262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7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Surrender Rates</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0.25%</w:t>
            </w:r>
          </w:p>
        </w:tc>
        <w:tc>
          <w:tcPr>
            <w:tcW w:w="2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- 30.00% (5.33%)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Partial Withdrawal Rate</w:t>
            </w:r>
          </w:p>
        </w:tc>
        <w:tc>
          <w:tcPr>
            <w:tcW w:w="4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0.00%</w:t>
            </w:r>
          </w:p>
        </w:tc>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- 25.64% (2.47%)</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262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7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Non-Performance Spread</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0.43%</w:t>
            </w:r>
          </w:p>
        </w:tc>
        <w:tc>
          <w:tcPr>
            <w:tcW w:w="2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- 0.85% (0.64%)</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GMWB Utilization</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50.00% - 75.00% (63.03%)</w:t>
            </w:r>
          </w:p>
        </w:tc>
        <w:tc>
          <w:tcPr>
            <w:tcW w:w="0" w:type="dxa"/>
            <w:vAlign w:val="bottom"/>
          </w:tcPr>
          <w:p>
            <w:pPr>
              <w:spacing w:after="0"/>
              <w:rPr>
                <w:sz w:val="1"/>
                <w:szCs w:val="1"/>
                <w:color w:val="auto"/>
              </w:rPr>
            </w:pPr>
          </w:p>
        </w:tc>
      </w:tr>
      <w:tr>
        <w:trPr>
          <w:trHeight w:val="24"/>
        </w:trPr>
        <w:tc>
          <w:tcPr>
            <w:tcW w:w="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284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Total financial liabilities at fair value</w:t>
            </w:r>
          </w:p>
        </w:tc>
        <w:tc>
          <w:tcPr>
            <w:tcW w:w="1180" w:type="dxa"/>
            <w:vAlign w:val="bottom"/>
            <w:tcBorders>
              <w:bottom w:val="single" w:sz="8" w:color="auto"/>
            </w:tcBorders>
            <w:shd w:val="clear" w:color="auto" w:fill="CCEEFF"/>
          </w:tcPr>
          <w:p>
            <w:pPr>
              <w:jc w:val="right"/>
              <w:ind w:right="102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7,517</w:t>
            </w:r>
          </w:p>
        </w:tc>
        <w:tc>
          <w:tcPr>
            <w:tcW w:w="100" w:type="dxa"/>
            <w:vAlign w:val="bottom"/>
            <w:tcBorders>
              <w:bottom w:val="single" w:sz="8" w:color="CCEEFF"/>
            </w:tcBorders>
            <w:shd w:val="clear" w:color="auto" w:fill="CCEEFF"/>
          </w:tcPr>
          <w:p>
            <w:pPr>
              <w:spacing w:after="0"/>
              <w:rPr>
                <w:sz w:val="19"/>
                <w:szCs w:val="19"/>
                <w:color w:val="auto"/>
              </w:rPr>
            </w:pPr>
          </w:p>
        </w:tc>
        <w:tc>
          <w:tcPr>
            <w:tcW w:w="1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9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20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ind w:firstLine="6"/>
        <w:spacing w:after="0" w:line="271" w:lineRule="auto"/>
        <w:tabs>
          <w:tab w:leader="none" w:pos="192"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Assets of $12,597 million and liabilities of $9 million for which significant quantitative unobservable inputs are not developed internally and not readily available to the Company (primarily those valued using broker quotes and certain third-party pricing services) are excluded from the respective totals in the table above.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following tables summarize changes to the Company’s financial instruments carried at fair value and classified within Level 3 of the fair value hierarchy for the three and nine months ended September 30, 2026 and 2025. The gains and losses below may include changes in fair value due in part to observable inputs that are a component of the valuation methodology.</w:t>
      </w:r>
    </w:p>
    <w:p>
      <w:pPr>
        <w:spacing w:after="0" w:line="158"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20" w:type="dxa"/>
            <w:vAlign w:val="bottom"/>
            <w:gridSpan w:val="8"/>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2026</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vMerge w:val="restart"/>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w w:val="98"/>
              </w:rPr>
              <w:t>Balance at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Total Gains (Losses)</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Net transfer</w:t>
            </w:r>
          </w:p>
        </w:tc>
        <w:tc>
          <w:tcPr>
            <w:tcW w:w="100" w:type="dxa"/>
            <w:vAlign w:val="bottom"/>
          </w:tcPr>
          <w:p>
            <w:pPr>
              <w:spacing w:after="0"/>
              <w:rPr>
                <w:sz w:val="24"/>
                <w:szCs w:val="24"/>
                <w:color w:val="auto"/>
              </w:rPr>
            </w:pPr>
          </w:p>
        </w:tc>
        <w:tc>
          <w:tcPr>
            <w:tcW w:w="72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b w:val="1"/>
                <w:bCs w:val="1"/>
                <w:color w:val="auto"/>
                <w:w w:val="98"/>
              </w:rPr>
              <w:t>Balance at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Included in</w:t>
            </w:r>
          </w:p>
        </w:tc>
        <w:tc>
          <w:tcPr>
            <w:tcW w:w="9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Included in</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29"/>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29"/>
              <w:spacing w:after="0" w:line="146"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10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Purchases</w:t>
            </w:r>
          </w:p>
        </w:tc>
        <w:tc>
          <w:tcPr>
            <w:tcW w:w="100" w:type="dxa"/>
            <w:vAlign w:val="bottom"/>
          </w:tcPr>
          <w:p>
            <w:pPr>
              <w:spacing w:after="0"/>
              <w:rPr>
                <w:sz w:val="12"/>
                <w:szCs w:val="12"/>
                <w:color w:val="auto"/>
              </w:rPr>
            </w:pPr>
          </w:p>
        </w:tc>
        <w:tc>
          <w:tcPr>
            <w:tcW w:w="8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20" w:type="dxa"/>
            <w:vAlign w:val="bottom"/>
          </w:tcPr>
          <w:p>
            <w:pPr>
              <w:spacing w:after="0"/>
              <w:rPr>
                <w:sz w:val="12"/>
                <w:szCs w:val="12"/>
                <w:color w:val="auto"/>
              </w:rPr>
            </w:pPr>
          </w:p>
        </w:tc>
        <w:tc>
          <w:tcPr>
            <w:tcW w:w="10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Settlements</w:t>
            </w:r>
          </w:p>
        </w:tc>
        <w:tc>
          <w:tcPr>
            <w:tcW w:w="100" w:type="dxa"/>
            <w:vAlign w:val="bottom"/>
          </w:tcPr>
          <w:p>
            <w:pPr>
              <w:spacing w:after="0"/>
              <w:rPr>
                <w:sz w:val="12"/>
                <w:szCs w:val="12"/>
                <w:color w:val="auto"/>
              </w:rPr>
            </w:pPr>
          </w:p>
        </w:tc>
        <w:tc>
          <w:tcPr>
            <w:tcW w:w="82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(Out) In</w:t>
            </w:r>
          </w:p>
        </w:tc>
        <w:tc>
          <w:tcPr>
            <w:tcW w:w="100" w:type="dxa"/>
            <w:vAlign w:val="bottom"/>
          </w:tcPr>
          <w:p>
            <w:pPr>
              <w:spacing w:after="0"/>
              <w:rPr>
                <w:sz w:val="12"/>
                <w:szCs w:val="12"/>
                <w:color w:val="auto"/>
              </w:rPr>
            </w:pPr>
          </w:p>
        </w:tc>
        <w:tc>
          <w:tcPr>
            <w:tcW w:w="720" w:type="dxa"/>
            <w:vAlign w:val="bottom"/>
          </w:tcPr>
          <w:p>
            <w:pPr>
              <w:jc w:val="right"/>
              <w:ind w:right="129"/>
              <w:spacing w:after="0" w:line="146" w:lineRule="exact"/>
              <w:rPr>
                <w:sz w:val="20"/>
                <w:szCs w:val="20"/>
                <w:color w:val="auto"/>
              </w:rPr>
            </w:pPr>
            <w:r>
              <w:rPr>
                <w:rFonts w:ascii="Times New Roman" w:cs="Times New Roman" w:eastAsia="Times New Roman" w:hAnsi="Times New Roman"/>
                <w:sz w:val="14"/>
                <w:szCs w:val="14"/>
                <w:b w:val="1"/>
                <w:bCs w:val="1"/>
                <w:color w:val="auto"/>
              </w:rPr>
              <w:t>End of</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49"/>
              <w:spacing w:after="0" w:line="146" w:lineRule="exact"/>
              <w:rPr>
                <w:sz w:val="20"/>
                <w:szCs w:val="20"/>
                <w:color w:val="auto"/>
              </w:rPr>
            </w:pPr>
            <w:r>
              <w:rPr>
                <w:rFonts w:ascii="Times New Roman" w:cs="Times New Roman" w:eastAsia="Times New Roman" w:hAnsi="Times New Roman"/>
                <w:sz w:val="14"/>
                <w:szCs w:val="14"/>
                <w:b w:val="1"/>
                <w:bCs w:val="1"/>
                <w:color w:val="auto"/>
                <w:w w:val="99"/>
              </w:rPr>
              <w:t>Included in</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w w:val="98"/>
              </w:rPr>
              <w:t>of Period</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Earnings</w:t>
            </w: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AOCL</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Level 3 (a)</w:t>
            </w: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w w:val="98"/>
              </w:rPr>
              <w:t>OCI</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00" w:type="dxa"/>
            <w:vAlign w:val="bottom"/>
            <w:gridSpan w:val="3"/>
          </w:tcPr>
          <w:p>
            <w:pPr>
              <w:spacing w:after="0" w:line="159" w:lineRule="exact"/>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spacing w:after="0" w:line="159"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shd w:val="clear" w:color="auto" w:fill="CCEEFF"/>
          </w:tcPr>
          <w:p>
            <w:pPr>
              <w:spacing w:after="0"/>
              <w:rPr>
                <w:sz w:val="12"/>
                <w:szCs w:val="12"/>
                <w:color w:val="auto"/>
              </w:rPr>
            </w:pPr>
          </w:p>
        </w:tc>
        <w:tc>
          <w:tcPr>
            <w:tcW w:w="2400" w:type="dxa"/>
            <w:vAlign w:val="bottom"/>
            <w:gridSpan w:val="3"/>
            <w:shd w:val="clear" w:color="auto" w:fill="CCEEFF"/>
          </w:tcPr>
          <w:p>
            <w:pPr>
              <w:spacing w:after="0" w:line="146" w:lineRule="exact"/>
              <w:rPr>
                <w:sz w:val="20"/>
                <w:szCs w:val="20"/>
                <w:color w:val="auto"/>
              </w:rPr>
            </w:pPr>
            <w:r>
              <w:rPr>
                <w:rFonts w:ascii="Times New Roman" w:cs="Times New Roman" w:eastAsia="Times New Roman" w:hAnsi="Times New Roman"/>
                <w:sz w:val="14"/>
                <w:szCs w:val="14"/>
                <w:color w:val="auto"/>
              </w:rPr>
              <w:t>Fixed maturity securities available-for-</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2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sale:</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40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Asset-backed securities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10,495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center"/>
              <w:ind w:left="329"/>
              <w:spacing w:after="0"/>
              <w:rPr>
                <w:sz w:val="20"/>
                <w:szCs w:val="20"/>
                <w:color w:val="auto"/>
              </w:rPr>
            </w:pPr>
            <w:r>
              <w:rPr>
                <w:rFonts w:ascii="Times New Roman" w:cs="Times New Roman" w:eastAsia="Times New Roman" w:hAnsi="Times New Roman"/>
                <w:sz w:val="14"/>
                <w:szCs w:val="14"/>
                <w:color w:val="auto"/>
                <w:w w:val="99"/>
              </w:rPr>
              <w:t>24</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989</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11,207</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center"/>
              <w:ind w:left="509"/>
              <w:spacing w:after="0"/>
              <w:rPr>
                <w:sz w:val="20"/>
                <w:szCs w:val="20"/>
                <w:color w:val="auto"/>
              </w:rPr>
            </w:pPr>
            <w:r>
              <w:rPr>
                <w:rFonts w:ascii="Times New Roman" w:cs="Times New Roman" w:eastAsia="Times New Roman" w:hAnsi="Times New Roman"/>
                <w:sz w:val="14"/>
                <w:szCs w:val="14"/>
                <w:color w:val="auto"/>
                <w:w w:val="99"/>
              </w:rPr>
              <w:t>23</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shd w:val="clear" w:color="auto" w:fill="CCEEFF"/>
          </w:tcPr>
          <w:p>
            <w:pPr>
              <w:spacing w:after="0"/>
              <w:rPr>
                <w:sz w:val="12"/>
                <w:szCs w:val="12"/>
                <w:color w:val="auto"/>
              </w:rPr>
            </w:pPr>
          </w:p>
        </w:tc>
        <w:tc>
          <w:tcPr>
            <w:tcW w:w="2400" w:type="dxa"/>
            <w:vAlign w:val="bottom"/>
            <w:gridSpan w:val="3"/>
            <w:shd w:val="clear" w:color="auto" w:fill="CCEEFF"/>
          </w:tcPr>
          <w:p>
            <w:pPr>
              <w:ind w:left="200"/>
              <w:spacing w:after="0" w:line="146" w:lineRule="exact"/>
              <w:rPr>
                <w:sz w:val="20"/>
                <w:szCs w:val="20"/>
                <w:color w:val="auto"/>
              </w:rPr>
            </w:pPr>
            <w:r>
              <w:rPr>
                <w:rFonts w:ascii="Times New Roman" w:cs="Times New Roman" w:eastAsia="Times New Roman" w:hAnsi="Times New Roman"/>
                <w:sz w:val="14"/>
                <w:szCs w:val="14"/>
                <w:color w:val="auto"/>
              </w:rPr>
              <w:t>Commercial mortgage-backed</w:t>
            </w:r>
          </w:p>
        </w:tc>
        <w:tc>
          <w:tcPr>
            <w:tcW w:w="1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center"/>
              <w:ind w:left="209"/>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center"/>
              <w:ind w:left="509"/>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24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securities</w:t>
            </w:r>
          </w:p>
        </w:tc>
        <w:tc>
          <w:tcPr>
            <w:tcW w:w="10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40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Corporates</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center"/>
              <w:ind w:left="309"/>
              <w:spacing w:after="0"/>
              <w:rPr>
                <w:sz w:val="20"/>
                <w:szCs w:val="20"/>
                <w:color w:val="auto"/>
              </w:rPr>
            </w:pPr>
            <w:r>
              <w:rPr>
                <w:rFonts w:ascii="Times New Roman" w:cs="Times New Roman" w:eastAsia="Times New Roman" w:hAnsi="Times New Roman"/>
                <w:sz w:val="14"/>
                <w:szCs w:val="14"/>
                <w:color w:val="auto"/>
              </w:rPr>
              <w:t>(62)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center"/>
              <w:ind w:left="489"/>
              <w:spacing w:after="0"/>
              <w:rPr>
                <w:sz w:val="20"/>
                <w:szCs w:val="20"/>
                <w:color w:val="auto"/>
              </w:rPr>
            </w:pPr>
            <w:r>
              <w:rPr>
                <w:rFonts w:ascii="Times New Roman" w:cs="Times New Roman" w:eastAsia="Times New Roman" w:hAnsi="Times New Roman"/>
                <w:sz w:val="14"/>
                <w:szCs w:val="14"/>
                <w:color w:val="auto"/>
              </w:rPr>
              <w:t>(62)</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2400" w:type="dxa"/>
            <w:vAlign w:val="bottom"/>
            <w:tcBorders>
              <w:bottom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Hybrids</w:t>
            </w:r>
          </w:p>
        </w:tc>
        <w:tc>
          <w:tcPr>
            <w:tcW w:w="1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center"/>
              <w:ind w:left="209"/>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center"/>
              <w:ind w:left="509"/>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40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Municipals</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80" w:type="dxa"/>
            <w:vAlign w:val="bottom"/>
            <w:gridSpan w:val="2"/>
          </w:tcPr>
          <w:p>
            <w:pPr>
              <w:jc w:val="center"/>
              <w:ind w:left="209"/>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center"/>
              <w:ind w:left="509"/>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2400" w:type="dxa"/>
            <w:vAlign w:val="bottom"/>
            <w:tcBorders>
              <w:bottom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Foreign Governments</w:t>
            </w:r>
          </w:p>
        </w:tc>
        <w:tc>
          <w:tcPr>
            <w:tcW w:w="1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center"/>
              <w:ind w:left="209"/>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center"/>
              <w:ind w:left="509"/>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4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Preferred equity securities</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80" w:type="dxa"/>
            <w:vAlign w:val="bottom"/>
            <w:gridSpan w:val="2"/>
          </w:tcPr>
          <w:p>
            <w:pPr>
              <w:jc w:val="center"/>
              <w:ind w:left="209"/>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center"/>
              <w:ind w:left="509"/>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24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equity securities</w:t>
            </w:r>
          </w:p>
        </w:tc>
        <w:tc>
          <w:tcPr>
            <w:tcW w:w="1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center"/>
              <w:ind w:left="209"/>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center"/>
              <w:ind w:left="509"/>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4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Derivative investments</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center"/>
              <w:ind w:left="209"/>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center"/>
              <w:ind w:left="509"/>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24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Investments in unconsolidated affiliates</w:t>
            </w:r>
          </w:p>
        </w:tc>
        <w:tc>
          <w:tcPr>
            <w:tcW w:w="1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center"/>
              <w:ind w:left="209"/>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center"/>
              <w:ind w:left="509"/>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4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Short term investments</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80" w:type="dxa"/>
            <w:vAlign w:val="bottom"/>
            <w:gridSpan w:val="2"/>
          </w:tcPr>
          <w:p>
            <w:pPr>
              <w:jc w:val="center"/>
              <w:ind w:left="209"/>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center"/>
              <w:ind w:left="509"/>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24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Reinsurance recoverable:</w:t>
            </w:r>
          </w:p>
        </w:tc>
        <w:tc>
          <w:tcPr>
            <w:tcW w:w="1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400" w:type="dxa"/>
            <w:vAlign w:val="bottom"/>
            <w:gridSpan w:val="3"/>
          </w:tcPr>
          <w:p>
            <w:pPr>
              <w:ind w:left="200"/>
              <w:spacing w:after="0" w:line="146" w:lineRule="exact"/>
              <w:rPr>
                <w:sz w:val="20"/>
                <w:szCs w:val="20"/>
                <w:color w:val="auto"/>
              </w:rPr>
            </w:pPr>
            <w:r>
              <w:rPr>
                <w:rFonts w:ascii="Times New Roman" w:cs="Times New Roman" w:eastAsia="Times New Roman" w:hAnsi="Times New Roman"/>
                <w:sz w:val="14"/>
                <w:szCs w:val="14"/>
                <w:color w:val="auto"/>
              </w:rPr>
              <w:t>Indexed annuities/IUL ceded</w:t>
            </w:r>
          </w:p>
        </w:tc>
        <w:tc>
          <w:tcPr>
            <w:tcW w:w="1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831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vMerge w:val="restart"/>
          </w:tcPr>
          <w:p>
            <w:pPr>
              <w:jc w:val="center"/>
              <w:ind w:left="209"/>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947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restart"/>
          </w:tcPr>
          <w:p>
            <w:pPr>
              <w:jc w:val="center"/>
              <w:ind w:left="509"/>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40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embedded derivatives</w:t>
            </w: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4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MSRs</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center"/>
              <w:ind w:left="209"/>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center"/>
              <w:ind w:left="509"/>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4"/>
        </w:trPr>
        <w:tc>
          <w:tcPr>
            <w:tcW w:w="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20" w:type="dxa"/>
            <w:vAlign w:val="bottom"/>
            <w:shd w:val="clear" w:color="auto" w:fill="CCEEFF"/>
          </w:tcPr>
          <w:p>
            <w:pPr>
              <w:spacing w:after="0"/>
              <w:rPr>
                <w:sz w:val="10"/>
                <w:szCs w:val="10"/>
                <w:color w:val="auto"/>
              </w:rPr>
            </w:pPr>
          </w:p>
        </w:tc>
        <w:tc>
          <w:tcPr>
            <w:tcW w:w="2400" w:type="dxa"/>
            <w:vAlign w:val="bottom"/>
            <w:gridSpan w:val="3"/>
            <w:shd w:val="clear" w:color="auto" w:fill="CCEEFF"/>
          </w:tcPr>
          <w:p>
            <w:pPr>
              <w:ind w:left="320"/>
              <w:spacing w:after="0" w:line="126" w:lineRule="exact"/>
              <w:rPr>
                <w:sz w:val="20"/>
                <w:szCs w:val="20"/>
                <w:color w:val="auto"/>
              </w:rPr>
            </w:pPr>
            <w:r>
              <w:rPr>
                <w:rFonts w:ascii="Times New Roman" w:cs="Times New Roman" w:eastAsia="Times New Roman" w:hAnsi="Times New Roman"/>
                <w:sz w:val="14"/>
                <w:szCs w:val="14"/>
                <w:b w:val="1"/>
                <w:bCs w:val="1"/>
                <w:color w:val="auto"/>
              </w:rPr>
              <w:t>Subtotal Level 3 assets at fair</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15,654</w:t>
            </w: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shd w:val="clear" w:color="auto" w:fill="CCEEFF"/>
          </w:tcPr>
          <w:p>
            <w:pPr>
              <w:spacing w:after="0"/>
              <w:rPr>
                <w:sz w:val="10"/>
                <w:szCs w:val="10"/>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center"/>
              <w:ind w:left="309"/>
              <w:spacing w:after="0"/>
              <w:rPr>
                <w:sz w:val="20"/>
                <w:szCs w:val="20"/>
                <w:color w:val="auto"/>
              </w:rPr>
            </w:pPr>
            <w:r>
              <w:rPr>
                <w:rFonts w:ascii="Times New Roman" w:cs="Times New Roman" w:eastAsia="Times New Roman" w:hAnsi="Times New Roman"/>
                <w:sz w:val="14"/>
                <w:szCs w:val="14"/>
                <w:color w:val="auto"/>
              </w:rPr>
              <w:t>(38)</w:t>
            </w:r>
          </w:p>
        </w:tc>
        <w:tc>
          <w:tcPr>
            <w:tcW w:w="12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1,484</w:t>
            </w:r>
          </w:p>
        </w:tc>
        <w:tc>
          <w:tcPr>
            <w:tcW w:w="12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12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w:t>
            </w:r>
          </w:p>
        </w:tc>
        <w:tc>
          <w:tcPr>
            <w:tcW w:w="10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16,461</w:t>
            </w:r>
          </w:p>
        </w:tc>
        <w:tc>
          <w:tcPr>
            <w:tcW w:w="2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shd w:val="clear" w:color="auto" w:fill="CCEEFF"/>
          </w:tcPr>
          <w:p>
            <w:pPr>
              <w:jc w:val="center"/>
              <w:ind w:left="489"/>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240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200" w:type="dxa"/>
            <w:vAlign w:val="bottom"/>
            <w:gridSpan w:val="2"/>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220" w:type="dxa"/>
            <w:vAlign w:val="bottom"/>
            <w:gridSpan w:val="2"/>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4"/>
                <w:szCs w:val="14"/>
                <w:color w:val="auto"/>
              </w:rPr>
              <w:t>Market risk benefits asset (b)</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240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19"/>
                <w:szCs w:val="19"/>
                <w:color w:val="auto"/>
              </w:rPr>
            </w:pPr>
          </w:p>
        </w:tc>
        <w:tc>
          <w:tcPr>
            <w:tcW w:w="240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4"/>
                <w:szCs w:val="14"/>
                <w:b w:val="1"/>
                <w:bCs w:val="1"/>
                <w:color w:val="auto"/>
              </w:rPr>
              <w:t>Total Level 3 assets at fair value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16,018</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16,804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2400" w:type="dxa"/>
            <w:vAlign w:val="bottom"/>
            <w:tcBorders>
              <w:top w:val="single" w:sz="8" w:color="CCEEFF"/>
              <w:bottom w:val="single" w:sz="8" w:color="CCEEFF"/>
            </w:tcBorders>
            <w:gridSpan w:val="3"/>
            <w:vMerge w:val="restart"/>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20" w:type="dxa"/>
            <w:vAlign w:val="bottom"/>
            <w:vMerge w:val="continue"/>
          </w:tcPr>
          <w:p>
            <w:pPr>
              <w:spacing w:after="0"/>
              <w:rPr>
                <w:sz w:val="9"/>
                <w:szCs w:val="9"/>
                <w:color w:val="auto"/>
              </w:rPr>
            </w:pPr>
          </w:p>
        </w:tc>
        <w:tc>
          <w:tcPr>
            <w:tcW w:w="240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24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Derivatives:</w:t>
            </w:r>
          </w:p>
        </w:tc>
        <w:tc>
          <w:tcPr>
            <w:tcW w:w="1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400" w:type="dxa"/>
            <w:vAlign w:val="bottom"/>
            <w:gridSpan w:val="3"/>
          </w:tcPr>
          <w:p>
            <w:pPr>
              <w:ind w:left="80"/>
              <w:spacing w:after="0" w:line="146" w:lineRule="exact"/>
              <w:rPr>
                <w:sz w:val="20"/>
                <w:szCs w:val="20"/>
                <w:color w:val="auto"/>
              </w:rPr>
            </w:pPr>
            <w:r>
              <w:rPr>
                <w:rFonts w:ascii="Times New Roman" w:cs="Times New Roman" w:eastAsia="Times New Roman" w:hAnsi="Times New Roman"/>
                <w:sz w:val="14"/>
                <w:szCs w:val="14"/>
                <w:color w:val="auto"/>
              </w:rPr>
              <w:t>Indexed annuities/IUL embedded</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00" w:type="dxa"/>
            <w:vAlign w:val="bottom"/>
            <w:gridSpan w:val="3"/>
          </w:tcPr>
          <w:p>
            <w:pPr>
              <w:ind w:left="80"/>
              <w:spacing w:after="0" w:line="137" w:lineRule="exact"/>
              <w:rPr>
                <w:sz w:val="20"/>
                <w:szCs w:val="20"/>
                <w:color w:val="auto"/>
              </w:rPr>
            </w:pPr>
            <w:r>
              <w:rPr>
                <w:rFonts w:ascii="Times New Roman" w:cs="Times New Roman" w:eastAsia="Times New Roman" w:hAnsi="Times New Roman"/>
                <w:sz w:val="14"/>
                <w:szCs w:val="14"/>
                <w:color w:val="auto"/>
              </w:rPr>
              <w:t>derivatives, included in Contractholder</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7,080</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(822)</w:t>
            </w:r>
          </w:p>
        </w:tc>
        <w:tc>
          <w:tcPr>
            <w:tcW w:w="100" w:type="dxa"/>
            <w:vAlign w:val="bottom"/>
          </w:tcPr>
          <w:p>
            <w:pPr>
              <w:spacing w:after="0"/>
              <w:rPr>
                <w:sz w:val="11"/>
                <w:szCs w:val="1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center"/>
              <w:ind w:left="209"/>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346</w:t>
            </w:r>
          </w:p>
        </w:tc>
        <w:tc>
          <w:tcPr>
            <w:tcW w:w="12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10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6,456</w:t>
            </w:r>
          </w:p>
        </w:tc>
        <w:tc>
          <w:tcPr>
            <w:tcW w:w="2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tcPr>
          <w:p>
            <w:pPr>
              <w:jc w:val="center"/>
              <w:ind w:left="509"/>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40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funds</w:t>
            </w:r>
          </w:p>
        </w:tc>
        <w:tc>
          <w:tcPr>
            <w:tcW w:w="10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shd w:val="clear" w:color="auto" w:fill="CCEEFF"/>
          </w:tcPr>
          <w:p>
            <w:pPr>
              <w:spacing w:after="0"/>
              <w:rPr>
                <w:sz w:val="12"/>
                <w:szCs w:val="12"/>
                <w:color w:val="auto"/>
              </w:rPr>
            </w:pPr>
          </w:p>
        </w:tc>
        <w:tc>
          <w:tcPr>
            <w:tcW w:w="2400" w:type="dxa"/>
            <w:vAlign w:val="bottom"/>
            <w:gridSpan w:val="3"/>
            <w:shd w:val="clear" w:color="auto" w:fill="CCEEFF"/>
          </w:tcPr>
          <w:p>
            <w:pPr>
              <w:ind w:left="80"/>
              <w:spacing w:after="0" w:line="146" w:lineRule="exact"/>
              <w:rPr>
                <w:sz w:val="20"/>
                <w:szCs w:val="20"/>
                <w:color w:val="auto"/>
              </w:rPr>
            </w:pPr>
            <w:r>
              <w:rPr>
                <w:rFonts w:ascii="Times New Roman" w:cs="Times New Roman" w:eastAsia="Times New Roman" w:hAnsi="Times New Roman"/>
                <w:sz w:val="14"/>
                <w:szCs w:val="14"/>
                <w:color w:val="auto"/>
              </w:rPr>
              <w:t>Foreign currency swaps, included in</w:t>
            </w:r>
          </w:p>
        </w:tc>
        <w:tc>
          <w:tcPr>
            <w:tcW w:w="1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center"/>
              <w:ind w:left="209"/>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center"/>
              <w:ind w:left="509"/>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24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Accounts payable and accrued liabilities</w:t>
            </w:r>
          </w:p>
        </w:tc>
        <w:tc>
          <w:tcPr>
            <w:tcW w:w="10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400" w:type="dxa"/>
            <w:vAlign w:val="bottom"/>
            <w:gridSpan w:val="3"/>
          </w:tcPr>
          <w:p>
            <w:pPr>
              <w:spacing w:after="0" w:line="146" w:lineRule="exact"/>
              <w:rPr>
                <w:sz w:val="20"/>
                <w:szCs w:val="20"/>
                <w:color w:val="auto"/>
              </w:rPr>
            </w:pPr>
            <w:r>
              <w:rPr>
                <w:rFonts w:ascii="Times New Roman" w:cs="Times New Roman" w:eastAsia="Times New Roman" w:hAnsi="Times New Roman"/>
                <w:sz w:val="14"/>
                <w:szCs w:val="14"/>
                <w:color w:val="auto"/>
              </w:rPr>
              <w:t>Contingent consideration, included in</w:t>
            </w:r>
          </w:p>
        </w:tc>
        <w:tc>
          <w:tcPr>
            <w:tcW w:w="1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vMerge w:val="restart"/>
          </w:tcPr>
          <w:p>
            <w:pPr>
              <w:jc w:val="center"/>
              <w:ind w:left="329"/>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restart"/>
          </w:tcPr>
          <w:p>
            <w:pPr>
              <w:jc w:val="center"/>
              <w:ind w:left="509"/>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tcPr>
          <w:p>
            <w:pPr>
              <w:spacing w:after="0"/>
              <w:rPr>
                <w:sz w:val="16"/>
                <w:szCs w:val="16"/>
                <w:color w:val="auto"/>
              </w:rPr>
            </w:pPr>
          </w:p>
        </w:tc>
        <w:tc>
          <w:tcPr>
            <w:tcW w:w="24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4"/>
                <w:szCs w:val="14"/>
                <w:color w:val="auto"/>
              </w:rPr>
              <w:t>Accounts payable and accrued liabilities</w:t>
            </w: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 w:type="dxa"/>
            <w:vAlign w:val="bottom"/>
            <w:shd w:val="clear" w:color="auto" w:fill="CCEEFF"/>
          </w:tcPr>
          <w:p>
            <w:pPr>
              <w:spacing w:after="0"/>
              <w:rPr>
                <w:sz w:val="11"/>
                <w:szCs w:val="11"/>
                <w:color w:val="auto"/>
              </w:rPr>
            </w:pPr>
          </w:p>
        </w:tc>
        <w:tc>
          <w:tcPr>
            <w:tcW w:w="2400" w:type="dxa"/>
            <w:vAlign w:val="bottom"/>
            <w:gridSpan w:val="3"/>
            <w:shd w:val="clear" w:color="auto" w:fill="CCEEFF"/>
          </w:tcPr>
          <w:p>
            <w:pPr>
              <w:ind w:left="320"/>
              <w:spacing w:after="0" w:line="133" w:lineRule="exact"/>
              <w:rPr>
                <w:sz w:val="20"/>
                <w:szCs w:val="20"/>
                <w:color w:val="auto"/>
              </w:rPr>
            </w:pPr>
            <w:r>
              <w:rPr>
                <w:rFonts w:ascii="Times New Roman" w:cs="Times New Roman" w:eastAsia="Times New Roman" w:hAnsi="Times New Roman"/>
                <w:sz w:val="14"/>
                <w:szCs w:val="14"/>
                <w:b w:val="1"/>
                <w:bCs w:val="1"/>
                <w:color w:val="auto"/>
              </w:rPr>
              <w:t>Subtotal Level 3 liabilities at fair</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7,146</w:t>
            </w: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(806)</w:t>
            </w:r>
          </w:p>
        </w:tc>
        <w:tc>
          <w:tcPr>
            <w:tcW w:w="10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center"/>
              <w:ind w:left="209"/>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w:t>
            </w:r>
          </w:p>
        </w:tc>
        <w:tc>
          <w:tcPr>
            <w:tcW w:w="12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10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6,475</w:t>
            </w:r>
          </w:p>
        </w:tc>
        <w:tc>
          <w:tcPr>
            <w:tcW w:w="2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shd w:val="clear" w:color="auto" w:fill="CCEEFF"/>
          </w:tcPr>
          <w:p>
            <w:pPr>
              <w:jc w:val="center"/>
              <w:ind w:left="509"/>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240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200" w:type="dxa"/>
            <w:vAlign w:val="bottom"/>
            <w:gridSpan w:val="2"/>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220" w:type="dxa"/>
            <w:vAlign w:val="bottom"/>
            <w:gridSpan w:val="2"/>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4"/>
                <w:szCs w:val="14"/>
                <w:color w:val="auto"/>
              </w:rPr>
              <w:t>Market risk benefits liability (b)</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240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20" w:type="dxa"/>
            <w:vAlign w:val="bottom"/>
            <w:shd w:val="clear" w:color="auto" w:fill="CCEEFF"/>
          </w:tcPr>
          <w:p>
            <w:pPr>
              <w:spacing w:after="0"/>
              <w:rPr>
                <w:sz w:val="10"/>
                <w:szCs w:val="10"/>
                <w:color w:val="auto"/>
              </w:rPr>
            </w:pPr>
          </w:p>
        </w:tc>
        <w:tc>
          <w:tcPr>
            <w:tcW w:w="2400" w:type="dxa"/>
            <w:vAlign w:val="bottom"/>
            <w:gridSpan w:val="3"/>
            <w:shd w:val="clear" w:color="auto" w:fill="CCEEFF"/>
          </w:tcPr>
          <w:p>
            <w:pPr>
              <w:ind w:left="320"/>
              <w:spacing w:after="0" w:line="126" w:lineRule="exact"/>
              <w:rPr>
                <w:sz w:val="20"/>
                <w:szCs w:val="20"/>
                <w:color w:val="auto"/>
              </w:rPr>
            </w:pPr>
            <w:r>
              <w:rPr>
                <w:rFonts w:ascii="Times New Roman" w:cs="Times New Roman" w:eastAsia="Times New Roman" w:hAnsi="Times New Roman"/>
                <w:sz w:val="14"/>
                <w:szCs w:val="14"/>
                <w:b w:val="1"/>
                <w:bCs w:val="1"/>
                <w:color w:val="auto"/>
              </w:rPr>
              <w:t>Total Level 3 liabilities at fair</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8,248</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7,381</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240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7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7" w:lineRule="exact"/>
        <w:rPr>
          <w:sz w:val="20"/>
          <w:szCs w:val="20"/>
          <w:color w:val="auto"/>
        </w:rPr>
      </w:pPr>
    </w:p>
    <w:p>
      <w:pPr>
        <w:ind w:left="200" w:hanging="194"/>
        <w:spacing w:after="0"/>
        <w:tabs>
          <w:tab w:leader="none" w:pos="2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net transfers (out) in of Level 3 during the three months ended September 30, 2026 were exclusively (into) from Level 2.</w:t>
      </w:r>
    </w:p>
    <w:p>
      <w:pPr>
        <w:spacing w:after="0" w:line="62" w:lineRule="exact"/>
        <w:rPr>
          <w:rFonts w:ascii="Times New Roman" w:cs="Times New Roman" w:eastAsia="Times New Roman" w:hAnsi="Times New Roman"/>
          <w:sz w:val="14"/>
          <w:szCs w:val="14"/>
          <w:color w:val="auto"/>
        </w:rPr>
      </w:pPr>
    </w:p>
    <w:p>
      <w:pPr>
        <w:ind w:left="200" w:hanging="194"/>
        <w:spacing w:after="0"/>
        <w:tabs>
          <w:tab w:leader="none" w:pos="2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Refer to Note N </w:t>
      </w:r>
      <w:r>
        <w:rPr>
          <w:rFonts w:ascii="Times New Roman" w:cs="Times New Roman" w:eastAsia="Times New Roman" w:hAnsi="Times New Roman"/>
          <w:sz w:val="14"/>
          <w:szCs w:val="14"/>
          <w:i w:val="1"/>
          <w:iCs w:val="1"/>
          <w:color w:val="auto"/>
        </w:rPr>
        <w:t>Market Risk Benefits</w:t>
      </w:r>
      <w:r>
        <w:rPr>
          <w:rFonts w:ascii="Times New Roman" w:cs="Times New Roman" w:eastAsia="Times New Roman" w:hAnsi="Times New Roman"/>
          <w:sz w:val="14"/>
          <w:szCs w:val="14"/>
          <w:color w:val="auto"/>
        </w:rPr>
        <w:t xml:space="preserve"> for roll forward activity of the net Market Risk Benefits Asset and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40" w:type="dxa"/>
            <w:vAlign w:val="bottom"/>
            <w:gridSpan w:val="8"/>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4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Total Gains (Losses)</w:t>
            </w: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vMerge w:val="restart"/>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Net transfer</w:t>
            </w:r>
          </w:p>
        </w:tc>
        <w:tc>
          <w:tcPr>
            <w:tcW w:w="80" w:type="dxa"/>
            <w:vAlign w:val="bottom"/>
          </w:tcPr>
          <w:p>
            <w:pPr>
              <w:spacing w:after="0"/>
              <w:rPr>
                <w:sz w:val="13"/>
                <w:szCs w:val="13"/>
                <w:color w:val="auto"/>
              </w:rPr>
            </w:pPr>
          </w:p>
        </w:tc>
        <w:tc>
          <w:tcPr>
            <w:tcW w:w="74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w w:val="98"/>
              </w:rPr>
              <w:t>Balance at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center"/>
              <w:ind w:right="49"/>
              <w:spacing w:after="0" w:line="159" w:lineRule="exact"/>
              <w:rPr>
                <w:sz w:val="20"/>
                <w:szCs w:val="20"/>
                <w:color w:val="auto"/>
              </w:rPr>
            </w:pPr>
            <w:r>
              <w:rPr>
                <w:rFonts w:ascii="Times New Roman" w:cs="Times New Roman" w:eastAsia="Times New Roman" w:hAnsi="Times New Roman"/>
                <w:sz w:val="14"/>
                <w:szCs w:val="14"/>
                <w:b w:val="1"/>
                <w:bCs w:val="1"/>
                <w:color w:val="auto"/>
              </w:rPr>
              <w:t>Change in</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Included in</w:t>
            </w:r>
          </w:p>
        </w:tc>
        <w:tc>
          <w:tcPr>
            <w:tcW w:w="9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Included in</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49"/>
              <w:spacing w:after="0" w:line="144"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69"/>
              <w:spacing w:after="0" w:line="146"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10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Purchases</w:t>
            </w:r>
          </w:p>
        </w:tc>
        <w:tc>
          <w:tcPr>
            <w:tcW w:w="120" w:type="dxa"/>
            <w:vAlign w:val="bottom"/>
          </w:tcPr>
          <w:p>
            <w:pPr>
              <w:spacing w:after="0"/>
              <w:rPr>
                <w:sz w:val="12"/>
                <w:szCs w:val="12"/>
                <w:color w:val="auto"/>
              </w:rPr>
            </w:pPr>
          </w:p>
        </w:tc>
        <w:tc>
          <w:tcPr>
            <w:tcW w:w="7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40" w:type="dxa"/>
            <w:vAlign w:val="bottom"/>
          </w:tcPr>
          <w:p>
            <w:pPr>
              <w:spacing w:after="0"/>
              <w:rPr>
                <w:sz w:val="12"/>
                <w:szCs w:val="12"/>
                <w:color w:val="auto"/>
              </w:rPr>
            </w:pP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Settlements</w:t>
            </w:r>
          </w:p>
        </w:tc>
        <w:tc>
          <w:tcPr>
            <w:tcW w:w="80" w:type="dxa"/>
            <w:vAlign w:val="bottom"/>
          </w:tcPr>
          <w:p>
            <w:pPr>
              <w:spacing w:after="0"/>
              <w:rPr>
                <w:sz w:val="12"/>
                <w:szCs w:val="12"/>
                <w:color w:val="auto"/>
              </w:rPr>
            </w:pPr>
          </w:p>
        </w:tc>
        <w:tc>
          <w:tcPr>
            <w:tcW w:w="86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w w:val="98"/>
              </w:rPr>
              <w:t>Out of</w:t>
            </w:r>
          </w:p>
        </w:tc>
        <w:tc>
          <w:tcPr>
            <w:tcW w:w="80" w:type="dxa"/>
            <w:vAlign w:val="bottom"/>
          </w:tcPr>
          <w:p>
            <w:pPr>
              <w:spacing w:after="0"/>
              <w:rPr>
                <w:sz w:val="12"/>
                <w:szCs w:val="12"/>
                <w:color w:val="auto"/>
              </w:rPr>
            </w:pPr>
          </w:p>
        </w:tc>
        <w:tc>
          <w:tcPr>
            <w:tcW w:w="740" w:type="dxa"/>
            <w:vAlign w:val="bottom"/>
          </w:tcPr>
          <w:p>
            <w:pPr>
              <w:jc w:val="right"/>
              <w:ind w:right="149"/>
              <w:spacing w:after="0" w:line="146" w:lineRule="exact"/>
              <w:rPr>
                <w:sz w:val="20"/>
                <w:szCs w:val="20"/>
                <w:color w:val="auto"/>
              </w:rPr>
            </w:pPr>
            <w:r>
              <w:rPr>
                <w:rFonts w:ascii="Times New Roman" w:cs="Times New Roman" w:eastAsia="Times New Roman" w:hAnsi="Times New Roman"/>
                <w:sz w:val="14"/>
                <w:szCs w:val="14"/>
                <w:b w:val="1"/>
                <w:bCs w:val="1"/>
                <w:color w:val="auto"/>
              </w:rPr>
              <w:t>End of</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49"/>
              <w:spacing w:after="0" w:line="146" w:lineRule="exact"/>
              <w:rPr>
                <w:sz w:val="20"/>
                <w:szCs w:val="20"/>
                <w:color w:val="auto"/>
              </w:rPr>
            </w:pPr>
            <w:r>
              <w:rPr>
                <w:rFonts w:ascii="Times New Roman" w:cs="Times New Roman" w:eastAsia="Times New Roman" w:hAnsi="Times New Roman"/>
                <w:sz w:val="14"/>
                <w:szCs w:val="14"/>
                <w:b w:val="1"/>
                <w:bCs w:val="1"/>
                <w:color w:val="auto"/>
              </w:rPr>
              <w:t>Included in</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Earnings</w:t>
            </w: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AOCL</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Level 3 (a)</w:t>
            </w:r>
          </w:p>
        </w:tc>
        <w:tc>
          <w:tcPr>
            <w:tcW w:w="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w w:val="98"/>
              </w:rPr>
              <w:t>OCI</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00" w:type="dxa"/>
            <w:vAlign w:val="bottom"/>
            <w:gridSpan w:val="3"/>
          </w:tcPr>
          <w:p>
            <w:pPr>
              <w:spacing w:after="0" w:line="159" w:lineRule="exact"/>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shd w:val="clear" w:color="auto" w:fill="CCEEFF"/>
          </w:tcPr>
          <w:p>
            <w:pPr>
              <w:spacing w:after="0"/>
              <w:rPr>
                <w:sz w:val="13"/>
                <w:szCs w:val="13"/>
                <w:color w:val="auto"/>
              </w:rPr>
            </w:pPr>
          </w:p>
        </w:tc>
        <w:tc>
          <w:tcPr>
            <w:tcW w:w="2400" w:type="dxa"/>
            <w:vAlign w:val="bottom"/>
            <w:gridSpan w:val="3"/>
            <w:shd w:val="clear" w:color="auto" w:fill="CCEEFF"/>
          </w:tcPr>
          <w:p>
            <w:pPr>
              <w:spacing w:after="0" w:line="150" w:lineRule="exact"/>
              <w:rPr>
                <w:sz w:val="20"/>
                <w:szCs w:val="20"/>
                <w:color w:val="auto"/>
              </w:rPr>
            </w:pPr>
            <w:r>
              <w:rPr>
                <w:rFonts w:ascii="Times New Roman" w:cs="Times New Roman" w:eastAsia="Times New Roman" w:hAnsi="Times New Roman"/>
                <w:sz w:val="14"/>
                <w:szCs w:val="14"/>
                <w:color w:val="auto"/>
              </w:rPr>
              <w:t>Fixed maturity securities available-for-</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0" w:type="dxa"/>
            <w:vAlign w:val="bottom"/>
            <w:shd w:val="clear" w:color="auto" w:fill="CCEEFF"/>
          </w:tcPr>
          <w:p>
            <w:pPr>
              <w:spacing w:after="0"/>
              <w:rPr>
                <w:sz w:val="16"/>
                <w:szCs w:val="16"/>
                <w:color w:val="auto"/>
              </w:rPr>
            </w:pPr>
          </w:p>
        </w:tc>
        <w:tc>
          <w:tcPr>
            <w:tcW w:w="2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sale:</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40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Asset-backed securities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9,361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863</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9,469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shd w:val="clear" w:color="auto" w:fill="CCEEFF"/>
          </w:tcPr>
          <w:p>
            <w:pPr>
              <w:spacing w:after="0"/>
              <w:rPr>
                <w:sz w:val="13"/>
                <w:szCs w:val="13"/>
                <w:color w:val="auto"/>
              </w:rPr>
            </w:pPr>
          </w:p>
        </w:tc>
        <w:tc>
          <w:tcPr>
            <w:tcW w:w="2400" w:type="dxa"/>
            <w:vAlign w:val="bottom"/>
            <w:gridSpan w:val="3"/>
            <w:shd w:val="clear" w:color="auto" w:fill="CCEEFF"/>
          </w:tcPr>
          <w:p>
            <w:pPr>
              <w:ind w:left="200"/>
              <w:spacing w:after="0" w:line="150" w:lineRule="exact"/>
              <w:rPr>
                <w:sz w:val="20"/>
                <w:szCs w:val="20"/>
                <w:color w:val="auto"/>
              </w:rPr>
            </w:pPr>
            <w:r>
              <w:rPr>
                <w:rFonts w:ascii="Times New Roman" w:cs="Times New Roman" w:eastAsia="Times New Roman" w:hAnsi="Times New Roman"/>
                <w:sz w:val="14"/>
                <w:szCs w:val="14"/>
                <w:color w:val="auto"/>
              </w:rPr>
              <w:t>Commercial mortgage-backed</w:t>
            </w:r>
          </w:p>
        </w:tc>
        <w:tc>
          <w:tcPr>
            <w:tcW w:w="12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0" w:type="dxa"/>
            <w:vAlign w:val="bottom"/>
            <w:shd w:val="clear" w:color="auto" w:fill="CCEEFF"/>
          </w:tcPr>
          <w:p>
            <w:pPr>
              <w:spacing w:after="0"/>
              <w:rPr>
                <w:sz w:val="16"/>
                <w:szCs w:val="16"/>
                <w:color w:val="auto"/>
              </w:rPr>
            </w:pPr>
          </w:p>
        </w:tc>
        <w:tc>
          <w:tcPr>
            <w:tcW w:w="24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securities</w:t>
            </w: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40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Corporates</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2400" w:type="dxa"/>
            <w:vAlign w:val="bottom"/>
            <w:tcBorders>
              <w:bottom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Hybrids</w:t>
            </w: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40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Municipals</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shd w:val="clear" w:color="auto" w:fill="CCEEFF"/>
          </w:tcPr>
          <w:p>
            <w:pPr>
              <w:spacing w:after="0"/>
              <w:rPr>
                <w:sz w:val="13"/>
                <w:szCs w:val="13"/>
                <w:color w:val="auto"/>
              </w:rPr>
            </w:pPr>
          </w:p>
        </w:tc>
        <w:tc>
          <w:tcPr>
            <w:tcW w:w="2400" w:type="dxa"/>
            <w:vAlign w:val="bottom"/>
            <w:gridSpan w:val="3"/>
            <w:shd w:val="clear" w:color="auto" w:fill="CCEEFF"/>
          </w:tcPr>
          <w:p>
            <w:pPr>
              <w:ind w:left="200"/>
              <w:spacing w:after="0" w:line="150" w:lineRule="exact"/>
              <w:rPr>
                <w:sz w:val="20"/>
                <w:szCs w:val="20"/>
                <w:color w:val="auto"/>
              </w:rPr>
            </w:pPr>
            <w:r>
              <w:rPr>
                <w:rFonts w:ascii="Times New Roman" w:cs="Times New Roman" w:eastAsia="Times New Roman" w:hAnsi="Times New Roman"/>
                <w:sz w:val="14"/>
                <w:szCs w:val="14"/>
                <w:color w:val="auto"/>
              </w:rPr>
              <w:t>Residential mortgage-backed</w:t>
            </w:r>
          </w:p>
        </w:tc>
        <w:tc>
          <w:tcPr>
            <w:tcW w:w="12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0" w:type="dxa"/>
            <w:vAlign w:val="bottom"/>
            <w:shd w:val="clear" w:color="auto" w:fill="CCEEFF"/>
          </w:tcPr>
          <w:p>
            <w:pPr>
              <w:spacing w:after="0"/>
              <w:rPr>
                <w:sz w:val="16"/>
                <w:szCs w:val="16"/>
                <w:color w:val="auto"/>
              </w:rPr>
            </w:pPr>
          </w:p>
        </w:tc>
        <w:tc>
          <w:tcPr>
            <w:tcW w:w="24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securities</w:t>
            </w: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40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Foreign Governments</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24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Preferred equity securities</w:t>
            </w: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4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Common equity securities</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24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Investments in unconsolidated affiliates</w:t>
            </w: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4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Short term investments</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24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long-term investments:</w:t>
            </w: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400" w:type="dxa"/>
            <w:vAlign w:val="bottom"/>
            <w:gridSpan w:val="3"/>
          </w:tcPr>
          <w:p>
            <w:pPr>
              <w:ind w:left="200"/>
              <w:spacing w:after="0" w:line="150" w:lineRule="exact"/>
              <w:rPr>
                <w:sz w:val="20"/>
                <w:szCs w:val="20"/>
                <w:color w:val="auto"/>
              </w:rPr>
            </w:pPr>
            <w:r>
              <w:rPr>
                <w:rFonts w:ascii="Times New Roman" w:cs="Times New Roman" w:eastAsia="Times New Roman" w:hAnsi="Times New Roman"/>
                <w:sz w:val="14"/>
                <w:szCs w:val="14"/>
                <w:color w:val="auto"/>
              </w:rPr>
              <w:t>Available-for-sale embedded</w:t>
            </w:r>
          </w:p>
        </w:tc>
        <w:tc>
          <w:tcPr>
            <w:tcW w:w="12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78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1000" w:type="dxa"/>
            <w:vAlign w:val="bottom"/>
            <w:gridSpan w:val="2"/>
            <w:vMerge w:val="restart"/>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86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0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derivative</w:t>
            </w: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Reinsurance recoverable:</w:t>
            </w: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400" w:type="dxa"/>
            <w:vAlign w:val="bottom"/>
            <w:gridSpan w:val="3"/>
          </w:tcPr>
          <w:p>
            <w:pPr>
              <w:ind w:left="200"/>
              <w:spacing w:after="0" w:line="150" w:lineRule="exact"/>
              <w:rPr>
                <w:sz w:val="20"/>
                <w:szCs w:val="20"/>
                <w:color w:val="auto"/>
              </w:rPr>
            </w:pPr>
            <w:r>
              <w:rPr>
                <w:rFonts w:ascii="Times New Roman" w:cs="Times New Roman" w:eastAsia="Times New Roman" w:hAnsi="Times New Roman"/>
                <w:sz w:val="14"/>
                <w:szCs w:val="14"/>
                <w:color w:val="auto"/>
              </w:rPr>
              <w:t>Indexed annuities/IUL ceded</w:t>
            </w:r>
          </w:p>
        </w:tc>
        <w:tc>
          <w:tcPr>
            <w:tcW w:w="12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0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embedded derivatives</w:t>
            </w: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4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Borders>
              <w:bottom w:val="single" w:sz="8" w:color="CCEEFF"/>
            </w:tcBorders>
            <w:shd w:val="clear" w:color="auto" w:fill="CCEEFF"/>
          </w:tcPr>
          <w:p>
            <w:pPr>
              <w:spacing w:after="0"/>
              <w:rPr>
                <w:sz w:val="18"/>
                <w:szCs w:val="18"/>
                <w:color w:val="auto"/>
              </w:rPr>
            </w:pPr>
          </w:p>
        </w:tc>
        <w:tc>
          <w:tcPr>
            <w:tcW w:w="2400" w:type="dxa"/>
            <w:vAlign w:val="bottom"/>
            <w:tcBorders>
              <w:bottom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Loan receivable</w:t>
            </w: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400" w:type="dxa"/>
            <w:vAlign w:val="bottom"/>
            <w:gridSpan w:val="3"/>
          </w:tcPr>
          <w:p>
            <w:pPr>
              <w:ind w:left="320"/>
              <w:spacing w:after="0" w:line="128" w:lineRule="exact"/>
              <w:rPr>
                <w:sz w:val="20"/>
                <w:szCs w:val="20"/>
                <w:color w:val="auto"/>
              </w:rPr>
            </w:pPr>
            <w:r>
              <w:rPr>
                <w:rFonts w:ascii="Times New Roman" w:cs="Times New Roman" w:eastAsia="Times New Roman" w:hAnsi="Times New Roman"/>
                <w:sz w:val="14"/>
                <w:szCs w:val="14"/>
                <w:b w:val="1"/>
                <w:bCs w:val="1"/>
                <w:color w:val="auto"/>
              </w:rPr>
              <w:t>Subtotal Level 3 assets at fair</w:t>
            </w: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13,238</w:t>
            </w:r>
          </w:p>
        </w:tc>
        <w:tc>
          <w:tcPr>
            <w:tcW w:w="100" w:type="dxa"/>
            <w:vAlign w:val="bottom"/>
            <w:vMerge w:val="restart"/>
          </w:tcPr>
          <w:p>
            <w:pPr>
              <w:spacing w:after="0"/>
              <w:rPr>
                <w:sz w:val="11"/>
                <w:szCs w:val="11"/>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1"/>
                <w:szCs w:val="11"/>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tcPr>
          <w:p>
            <w:pPr>
              <w:spacing w:after="0"/>
              <w:rPr>
                <w:sz w:val="11"/>
                <w:szCs w:val="11"/>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1,487</w:t>
            </w:r>
          </w:p>
        </w:tc>
        <w:tc>
          <w:tcPr>
            <w:tcW w:w="100" w:type="dxa"/>
            <w:vAlign w:val="bottom"/>
          </w:tcPr>
          <w:p>
            <w:pPr>
              <w:spacing w:after="0"/>
              <w:rPr>
                <w:sz w:val="11"/>
                <w:szCs w:val="11"/>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100" w:type="dxa"/>
            <w:vAlign w:val="bottom"/>
          </w:tcPr>
          <w:p>
            <w:pPr>
              <w:spacing w:after="0"/>
              <w:rPr>
                <w:sz w:val="11"/>
                <w:szCs w:val="11"/>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(596)</w:t>
            </w:r>
          </w:p>
        </w:tc>
        <w:tc>
          <w:tcPr>
            <w:tcW w:w="120" w:type="dxa"/>
            <w:vAlign w:val="bottom"/>
          </w:tcPr>
          <w:p>
            <w:pPr>
              <w:spacing w:after="0"/>
              <w:rPr>
                <w:sz w:val="11"/>
                <w:szCs w:val="11"/>
                <w:color w:val="auto"/>
              </w:rPr>
            </w:pPr>
          </w:p>
        </w:tc>
        <w:tc>
          <w:tcPr>
            <w:tcW w:w="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120" w:type="dxa"/>
            <w:vAlign w:val="bottom"/>
          </w:tcPr>
          <w:p>
            <w:pPr>
              <w:spacing w:after="0"/>
              <w:rPr>
                <w:sz w:val="11"/>
                <w:szCs w:val="11"/>
                <w:color w:val="auto"/>
              </w:rPr>
            </w:pPr>
          </w:p>
        </w:tc>
        <w:tc>
          <w:tcPr>
            <w:tcW w:w="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13,663</w:t>
            </w:r>
          </w:p>
        </w:tc>
        <w:tc>
          <w:tcPr>
            <w:tcW w:w="100" w:type="dxa"/>
            <w:vAlign w:val="bottom"/>
            <w:vMerge w:val="restart"/>
          </w:tcPr>
          <w:p>
            <w:pPr>
              <w:spacing w:after="0"/>
              <w:rPr>
                <w:sz w:val="11"/>
                <w:szCs w:val="11"/>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4"/>
                <w:szCs w:val="14"/>
                <w:color w:val="auto"/>
              </w:rPr>
            </w:pPr>
          </w:p>
        </w:tc>
        <w:tc>
          <w:tcPr>
            <w:tcW w:w="240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Borders>
              <w:bottom w:val="single" w:sz="8" w:color="auto"/>
            </w:tcBorders>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vMerge w:val="continue"/>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vMerge w:val="continue"/>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Market risk benefits asset (b)</w:t>
            </w: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40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Total Level 3 assets at fair value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13,451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13,905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shd w:val="clear" w:color="auto" w:fill="CCEEFF"/>
          </w:tcPr>
          <w:p>
            <w:pPr>
              <w:spacing w:after="0"/>
              <w:rPr>
                <w:sz w:val="10"/>
                <w:szCs w:val="10"/>
                <w:color w:val="auto"/>
              </w:rPr>
            </w:pPr>
          </w:p>
        </w:tc>
        <w:tc>
          <w:tcPr>
            <w:tcW w:w="2400" w:type="dxa"/>
            <w:vAlign w:val="bottom"/>
            <w:gridSpan w:val="3"/>
            <w:shd w:val="clear" w:color="auto" w:fill="CCEEFF"/>
          </w:tcPr>
          <w:p>
            <w:pPr>
              <w:spacing w:after="0" w:line="126"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33"/>
        </w:trPr>
        <w:tc>
          <w:tcPr>
            <w:tcW w:w="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auto"/>
            </w:tcBorders>
            <w:shd w:val="clear" w:color="auto" w:fill="CCEEFF"/>
          </w:tcPr>
          <w:p>
            <w:pPr>
              <w:spacing w:after="0"/>
              <w:rPr>
                <w:sz w:val="2"/>
                <w:szCs w:val="2"/>
                <w:color w:val="auto"/>
              </w:rPr>
            </w:pPr>
          </w:p>
        </w:tc>
        <w:tc>
          <w:tcPr>
            <w:tcW w:w="220" w:type="dxa"/>
            <w:vAlign w:val="bottom"/>
            <w:tcBorders>
              <w:top w:val="single" w:sz="8" w:color="auto"/>
            </w:tcBorders>
            <w:shd w:val="clear" w:color="auto" w:fill="CCEEFF"/>
          </w:tcPr>
          <w:p>
            <w:pPr>
              <w:spacing w:after="0"/>
              <w:rPr>
                <w:sz w:val="2"/>
                <w:szCs w:val="2"/>
                <w:color w:val="auto"/>
              </w:rPr>
            </w:pPr>
          </w:p>
        </w:tc>
        <w:tc>
          <w:tcPr>
            <w:tcW w:w="18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4" w:lineRule="exact"/>
        <w:rPr>
          <w:sz w:val="20"/>
          <w:szCs w:val="20"/>
          <w:color w:val="auto"/>
        </w:rPr>
      </w:pPr>
    </w:p>
    <w:p>
      <w:pPr>
        <w:sectPr>
          <w:pgSz w:w="11900" w:h="16838" w:orient="portrait"/>
          <w:cols w:equalWidth="0" w:num="1">
            <w:col w:w="11240"/>
          </w:cols>
          <w:pgMar w:left="320" w:top="121" w:right="339" w:bottom="1440" w:gutter="0" w:footer="0" w:header="0"/>
        </w:sectPr>
      </w:pPr>
    </w:p>
    <w:tbl>
      <w:tblPr>
        <w:tblLayout w:type="fixed"/>
        <w:tblInd w:w="20" w:type="dxa"/>
        <w:tblCellMar>
          <w:top w:w="0" w:type="dxa"/>
          <w:left w:w="0" w:type="dxa"/>
          <w:bottom w:w="0" w:type="dxa"/>
          <w:right w:w="0" w:type="dxa"/>
        </w:tblCellMar>
      </w:tblPr>
      <w:tr>
        <w:trPr>
          <w:trHeight w:val="184"/>
        </w:trPr>
        <w:tc>
          <w:tcPr>
            <w:tcW w:w="2360" w:type="dxa"/>
            <w:vAlign w:val="bottom"/>
          </w:tcPr>
          <w:p>
            <w:pPr>
              <w:spacing w:after="0"/>
              <w:rPr>
                <w:sz w:val="20"/>
                <w:szCs w:val="20"/>
                <w:color w:val="auto"/>
              </w:rPr>
            </w:pPr>
            <w:r>
              <w:rPr>
                <w:rFonts w:ascii="Times New Roman" w:cs="Times New Roman" w:eastAsia="Times New Roman" w:hAnsi="Times New Roman"/>
                <w:sz w:val="14"/>
                <w:szCs w:val="14"/>
                <w:color w:val="auto"/>
              </w:rPr>
              <w:t>Derivatives:</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3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Indexed annuities/IUL embedded</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36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color w:val="auto"/>
              </w:rPr>
              <w:t>derivatives, included in Contractholder</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4"/>
        </w:trPr>
        <w:tc>
          <w:tcPr>
            <w:tcW w:w="23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funds</w:t>
            </w: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100" w:right="120"/>
        <w:spacing w:after="0" w:line="251" w:lineRule="auto"/>
        <w:rPr>
          <w:sz w:val="20"/>
          <w:szCs w:val="20"/>
          <w:color w:val="auto"/>
        </w:rPr>
      </w:pPr>
      <w:r>
        <w:rPr>
          <w:rFonts w:ascii="Times New Roman" w:cs="Times New Roman" w:eastAsia="Times New Roman" w:hAnsi="Times New Roman"/>
          <w:sz w:val="14"/>
          <w:szCs w:val="14"/>
          <w:color w:val="auto"/>
        </w:rPr>
        <w:t>Foreign currency swaps, included in Accounts payable and accrued liabilities</w:t>
      </w:r>
    </w:p>
    <w:p>
      <w:pPr>
        <w:spacing w:after="0" w:line="8" w:lineRule="exact"/>
        <w:rPr>
          <w:sz w:val="20"/>
          <w:szCs w:val="20"/>
          <w:color w:val="auto"/>
        </w:rPr>
      </w:pPr>
    </w:p>
    <w:p>
      <w:pPr>
        <w:ind w:left="20" w:right="200"/>
        <w:spacing w:after="0" w:line="251" w:lineRule="auto"/>
        <w:rPr>
          <w:sz w:val="20"/>
          <w:szCs w:val="20"/>
          <w:color w:val="auto"/>
        </w:rPr>
      </w:pPr>
      <w:r>
        <w:rPr>
          <w:rFonts w:ascii="Times New Roman" w:cs="Times New Roman" w:eastAsia="Times New Roman" w:hAnsi="Times New Roman"/>
          <w:sz w:val="14"/>
          <w:szCs w:val="14"/>
          <w:color w:val="auto"/>
        </w:rPr>
        <w:t>Contingent consideration, included in Accounts payable and accrued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4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95"/>
              </w:rPr>
              <w:t>5,727</w:t>
            </w:r>
          </w:p>
        </w:tc>
        <w:tc>
          <w:tcPr>
            <w:tcW w:w="40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174</w:t>
            </w:r>
          </w:p>
        </w:tc>
        <w:tc>
          <w:tcPr>
            <w:tcW w:w="44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   $</w:t>
            </w:r>
          </w:p>
        </w:tc>
        <w:tc>
          <w:tcPr>
            <w:tcW w:w="5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315</w:t>
            </w:r>
          </w:p>
        </w:tc>
        <w:tc>
          <w:tcPr>
            <w:tcW w:w="40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(133)</w:t>
            </w:r>
          </w:p>
        </w:tc>
        <w:tc>
          <w:tcPr>
            <w:tcW w:w="42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   $</w:t>
            </w:r>
          </w:p>
        </w:tc>
        <w:tc>
          <w:tcPr>
            <w:tcW w:w="5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6,083</w:t>
            </w:r>
          </w:p>
        </w:tc>
        <w:tc>
          <w:tcPr>
            <w:tcW w:w="54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ind w:left="360"/>
              <w:spacing w:after="0"/>
              <w:rPr>
                <w:sz w:val="20"/>
                <w:szCs w:val="20"/>
                <w:color w:val="auto"/>
              </w:rPr>
            </w:pPr>
            <w:r>
              <w:rPr>
                <w:rFonts w:ascii="Times New Roman" w:cs="Times New Roman" w:eastAsia="Times New Roman" w:hAnsi="Times New Roman"/>
                <w:sz w:val="14"/>
                <w:szCs w:val="14"/>
                <w:color w:val="auto"/>
                <w:w w:val="85"/>
              </w:rPr>
              <w:t>—</w:t>
            </w:r>
          </w:p>
        </w:tc>
      </w:tr>
      <w:tr>
        <w:trPr>
          <w:trHeight w:val="345"/>
        </w:trPr>
        <w:tc>
          <w:tcPr>
            <w:tcW w:w="4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w:t>
            </w:r>
          </w:p>
        </w:tc>
        <w:tc>
          <w:tcPr>
            <w:tcW w:w="400" w:type="dxa"/>
            <w:vAlign w:val="bottom"/>
          </w:tcPr>
          <w:p>
            <w:pPr>
              <w:spacing w:after="0"/>
              <w:rPr>
                <w:sz w:val="24"/>
                <w:szCs w:val="24"/>
                <w:color w:val="auto"/>
              </w:rPr>
            </w:pPr>
          </w:p>
        </w:tc>
        <w:tc>
          <w:tcPr>
            <w:tcW w:w="5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w:t>
            </w:r>
          </w:p>
        </w:tc>
        <w:tc>
          <w:tcPr>
            <w:tcW w:w="440" w:type="dxa"/>
            <w:vAlign w:val="bottom"/>
          </w:tcPr>
          <w:p>
            <w:pPr>
              <w:spacing w:after="0"/>
              <w:rPr>
                <w:sz w:val="24"/>
                <w:szCs w:val="24"/>
                <w:color w:val="auto"/>
              </w:rPr>
            </w:pPr>
          </w:p>
        </w:tc>
        <w:tc>
          <w:tcPr>
            <w:tcW w:w="9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4"/>
                <w:szCs w:val="24"/>
                <w:color w:val="auto"/>
              </w:rPr>
            </w:pPr>
          </w:p>
        </w:tc>
        <w:tc>
          <w:tcPr>
            <w:tcW w:w="9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w:t>
            </w:r>
          </w:p>
        </w:tc>
        <w:tc>
          <w:tcPr>
            <w:tcW w:w="540" w:type="dxa"/>
            <w:vAlign w:val="bottom"/>
          </w:tcPr>
          <w:p>
            <w:pPr>
              <w:spacing w:after="0"/>
              <w:rPr>
                <w:sz w:val="24"/>
                <w:szCs w:val="24"/>
                <w:color w:val="auto"/>
              </w:rPr>
            </w:pPr>
          </w:p>
        </w:tc>
        <w:tc>
          <w:tcPr>
            <w:tcW w:w="500" w:type="dxa"/>
            <w:vAlign w:val="bottom"/>
          </w:tcPr>
          <w:p>
            <w:pPr>
              <w:ind w:left="360"/>
              <w:spacing w:after="0"/>
              <w:rPr>
                <w:sz w:val="20"/>
                <w:szCs w:val="20"/>
                <w:color w:val="auto"/>
              </w:rPr>
            </w:pPr>
            <w:r>
              <w:rPr>
                <w:rFonts w:ascii="Times New Roman" w:cs="Times New Roman" w:eastAsia="Times New Roman" w:hAnsi="Times New Roman"/>
                <w:sz w:val="14"/>
                <w:szCs w:val="14"/>
                <w:color w:val="auto"/>
                <w:w w:val="85"/>
              </w:rPr>
              <w:t>—</w:t>
            </w:r>
          </w:p>
        </w:tc>
      </w:tr>
      <w:tr>
        <w:trPr>
          <w:trHeight w:val="345"/>
        </w:trPr>
        <w:tc>
          <w:tcPr>
            <w:tcW w:w="4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67</w:t>
            </w:r>
          </w:p>
        </w:tc>
        <w:tc>
          <w:tcPr>
            <w:tcW w:w="400" w:type="dxa"/>
            <w:vAlign w:val="bottom"/>
          </w:tcPr>
          <w:p>
            <w:pPr>
              <w:spacing w:after="0"/>
              <w:rPr>
                <w:sz w:val="24"/>
                <w:szCs w:val="24"/>
                <w:color w:val="auto"/>
              </w:rPr>
            </w:pPr>
          </w:p>
        </w:tc>
        <w:tc>
          <w:tcPr>
            <w:tcW w:w="5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w:t>
            </w:r>
          </w:p>
        </w:tc>
        <w:tc>
          <w:tcPr>
            <w:tcW w:w="440" w:type="dxa"/>
            <w:vAlign w:val="bottom"/>
          </w:tcPr>
          <w:p>
            <w:pPr>
              <w:spacing w:after="0"/>
              <w:rPr>
                <w:sz w:val="24"/>
                <w:szCs w:val="24"/>
                <w:color w:val="auto"/>
              </w:rPr>
            </w:pPr>
          </w:p>
        </w:tc>
        <w:tc>
          <w:tcPr>
            <w:tcW w:w="9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4"/>
                <w:szCs w:val="24"/>
                <w:color w:val="auto"/>
              </w:rPr>
            </w:pPr>
          </w:p>
        </w:tc>
        <w:tc>
          <w:tcPr>
            <w:tcW w:w="9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72</w:t>
            </w:r>
          </w:p>
        </w:tc>
        <w:tc>
          <w:tcPr>
            <w:tcW w:w="540" w:type="dxa"/>
            <w:vAlign w:val="bottom"/>
          </w:tcPr>
          <w:p>
            <w:pPr>
              <w:spacing w:after="0"/>
              <w:rPr>
                <w:sz w:val="24"/>
                <w:szCs w:val="24"/>
                <w:color w:val="auto"/>
              </w:rPr>
            </w:pPr>
          </w:p>
        </w:tc>
        <w:tc>
          <w:tcPr>
            <w:tcW w:w="500" w:type="dxa"/>
            <w:vAlign w:val="bottom"/>
          </w:tcPr>
          <w:p>
            <w:pPr>
              <w:ind w:left="360"/>
              <w:spacing w:after="0"/>
              <w:rPr>
                <w:sz w:val="20"/>
                <w:szCs w:val="20"/>
                <w:color w:val="auto"/>
              </w:rPr>
            </w:pPr>
            <w:r>
              <w:rPr>
                <w:rFonts w:ascii="Times New Roman" w:cs="Times New Roman" w:eastAsia="Times New Roman" w:hAnsi="Times New Roman"/>
                <w:sz w:val="14"/>
                <w:szCs w:val="14"/>
                <w:color w:val="auto"/>
                <w:w w:val="85"/>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-1875155</wp:posOffset>
            </wp:positionH>
            <wp:positionV relativeFrom="paragraph">
              <wp:posOffset>-732790</wp:posOffset>
            </wp:positionV>
            <wp:extent cx="7134860" cy="3111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4860" cy="311150"/>
                    </a:xfrm>
                    <a:prstGeom prst="rect">
                      <a:avLst/>
                    </a:prstGeom>
                    <a:noFill/>
                  </pic:spPr>
                </pic:pic>
              </a:graphicData>
            </a:graphic>
          </wp:anchor>
        </w:drawing>
        <w:drawing>
          <wp:anchor simplePos="0" relativeHeight="251657728" behindDoc="1" locked="0" layoutInCell="0" allowOverlap="1">
            <wp:simplePos x="0" y="0"/>
            <wp:positionH relativeFrom="column">
              <wp:posOffset>-1875155</wp:posOffset>
            </wp:positionH>
            <wp:positionV relativeFrom="paragraph">
              <wp:posOffset>-202565</wp:posOffset>
            </wp:positionV>
            <wp:extent cx="7134860" cy="2190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4860" cy="219075"/>
                    </a:xfrm>
                    <a:prstGeom prst="rect">
                      <a:avLst/>
                    </a:prstGeom>
                    <a:noFill/>
                  </pic:spPr>
                </pic:pic>
              </a:graphicData>
            </a:graphic>
          </wp:anchor>
        </w:drawing>
      </w:r>
    </w:p>
    <w:p>
      <w:pPr>
        <w:spacing w:after="0" w:line="21" w:lineRule="exact"/>
        <w:rPr>
          <w:sz w:val="20"/>
          <w:szCs w:val="20"/>
          <w:color w:val="auto"/>
        </w:rPr>
      </w:pPr>
    </w:p>
    <w:p>
      <w:pPr>
        <w:sectPr>
          <w:pgSz w:w="11900" w:h="16838" w:orient="portrait"/>
          <w:cols w:equalWidth="0" w:num="2">
            <w:col w:w="2500" w:space="460"/>
            <w:col w:w="828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33"/>
        </w:trPr>
        <w:tc>
          <w:tcPr>
            <w:tcW w:w="2420" w:type="dxa"/>
            <w:vAlign w:val="bottom"/>
            <w:vMerge w:val="restart"/>
          </w:tcPr>
          <w:p>
            <w:pPr>
              <w:ind w:left="340"/>
              <w:spacing w:after="0" w:line="151" w:lineRule="exact"/>
              <w:rPr>
                <w:sz w:val="20"/>
                <w:szCs w:val="20"/>
                <w:color w:val="auto"/>
              </w:rPr>
            </w:pPr>
            <w:r>
              <w:rPr>
                <w:rFonts w:ascii="Times New Roman" w:cs="Times New Roman" w:eastAsia="Times New Roman" w:hAnsi="Times New Roman"/>
                <w:sz w:val="14"/>
                <w:szCs w:val="14"/>
                <w:b w:val="1"/>
                <w:bCs w:val="1"/>
                <w:color w:val="auto"/>
              </w:rPr>
              <w:t>Subtotal Level 3 liabilities at fair</w:t>
            </w:r>
          </w:p>
        </w:tc>
        <w:tc>
          <w:tcPr>
            <w:tcW w:w="3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9"/>
        </w:trPr>
        <w:tc>
          <w:tcPr>
            <w:tcW w:w="2420" w:type="dxa"/>
            <w:vAlign w:val="bottom"/>
            <w:vMerge w:val="continue"/>
          </w:tcPr>
          <w:p>
            <w:pPr>
              <w:spacing w:after="0"/>
              <w:rPr>
                <w:sz w:val="10"/>
                <w:szCs w:val="10"/>
                <w:color w:val="auto"/>
              </w:rPr>
            </w:pPr>
          </w:p>
        </w:tc>
        <w:tc>
          <w:tcPr>
            <w:tcW w:w="300" w:type="dxa"/>
            <w:vAlign w:val="bottom"/>
            <w:vMerge w:val="restart"/>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5,799</w:t>
            </w:r>
          </w:p>
        </w:tc>
        <w:tc>
          <w:tcPr>
            <w:tcW w:w="100" w:type="dxa"/>
            <w:vAlign w:val="bottom"/>
            <w:vMerge w:val="restart"/>
          </w:tcPr>
          <w:p>
            <w:pPr>
              <w:spacing w:after="0"/>
              <w:rPr>
                <w:sz w:val="10"/>
                <w:szCs w:val="10"/>
                <w:color w:val="auto"/>
              </w:rPr>
            </w:pPr>
          </w:p>
        </w:tc>
        <w:tc>
          <w:tcPr>
            <w:tcW w:w="320" w:type="dxa"/>
            <w:vAlign w:val="bottom"/>
            <w:vMerge w:val="restart"/>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100" w:type="dxa"/>
            <w:vAlign w:val="bottom"/>
          </w:tcPr>
          <w:p>
            <w:pPr>
              <w:spacing w:after="0"/>
              <w:rPr>
                <w:sz w:val="10"/>
                <w:szCs w:val="10"/>
                <w:color w:val="auto"/>
              </w:rPr>
            </w:pPr>
          </w:p>
        </w:tc>
        <w:tc>
          <w:tcPr>
            <w:tcW w:w="360" w:type="dxa"/>
            <w:vAlign w:val="bottom"/>
            <w:vMerge w:val="restart"/>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3"/>
            <w:vMerge w:val="restart"/>
          </w:tcPr>
          <w:p>
            <w:pPr>
              <w:ind w:left="260"/>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100" w:type="dxa"/>
            <w:vAlign w:val="bottom"/>
          </w:tcPr>
          <w:p>
            <w:pPr>
              <w:spacing w:after="0"/>
              <w:rPr>
                <w:sz w:val="10"/>
                <w:szCs w:val="10"/>
                <w:color w:val="auto"/>
              </w:rPr>
            </w:pPr>
          </w:p>
        </w:tc>
        <w:tc>
          <w:tcPr>
            <w:tcW w:w="340" w:type="dxa"/>
            <w:vAlign w:val="bottom"/>
            <w:vMerge w:val="restart"/>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3"/>
            <w:vMerge w:val="restart"/>
          </w:tcPr>
          <w:p>
            <w:pPr>
              <w:ind w:left="26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20" w:type="dxa"/>
            <w:vAlign w:val="bottom"/>
          </w:tcPr>
          <w:p>
            <w:pPr>
              <w:spacing w:after="0"/>
              <w:rPr>
                <w:sz w:val="10"/>
                <w:szCs w:val="10"/>
                <w:color w:val="auto"/>
              </w:rPr>
            </w:pPr>
          </w:p>
        </w:tc>
        <w:tc>
          <w:tcPr>
            <w:tcW w:w="360" w:type="dxa"/>
            <w:vAlign w:val="bottom"/>
            <w:vMerge w:val="restart"/>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3"/>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   $</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6,161</w:t>
            </w:r>
          </w:p>
        </w:tc>
        <w:tc>
          <w:tcPr>
            <w:tcW w:w="56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0"/>
        </w:trPr>
        <w:tc>
          <w:tcPr>
            <w:tcW w:w="242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30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Market risk benefits liability (b)</w:t>
            </w:r>
          </w:p>
        </w:tc>
        <w:tc>
          <w:tcPr>
            <w:tcW w:w="3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830</w:t>
            </w: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2420" w:type="dxa"/>
            <w:vAlign w:val="bottom"/>
          </w:tcPr>
          <w:p>
            <w:pPr>
              <w:ind w:left="340"/>
              <w:spacing w:after="0" w:line="128" w:lineRule="exact"/>
              <w:rPr>
                <w:sz w:val="20"/>
                <w:szCs w:val="20"/>
                <w:color w:val="auto"/>
              </w:rPr>
            </w:pPr>
            <w:r>
              <w:rPr>
                <w:rFonts w:ascii="Times New Roman" w:cs="Times New Roman" w:eastAsia="Times New Roman" w:hAnsi="Times New Roman"/>
                <w:sz w:val="14"/>
                <w:szCs w:val="14"/>
                <w:b w:val="1"/>
                <w:bCs w:val="1"/>
                <w:color w:val="auto"/>
              </w:rPr>
              <w:t>Total Level 3 liabilities at fair</w:t>
            </w:r>
          </w:p>
        </w:tc>
        <w:tc>
          <w:tcPr>
            <w:tcW w:w="300" w:type="dxa"/>
            <w:vAlign w:val="bottom"/>
            <w:tcBorders>
              <w:top w:val="single" w:sz="8" w:color="auto"/>
            </w:tcBorders>
            <w:vMerge w:val="restart"/>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6,510</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gridSpan w:val="2"/>
            <w:vMerge w:val="restart"/>
          </w:tcPr>
          <w:p>
            <w:pPr>
              <w:spacing w:after="0"/>
              <w:rPr>
                <w:sz w:val="11"/>
                <w:szCs w:val="11"/>
                <w:color w:val="auto"/>
              </w:rPr>
            </w:pPr>
          </w:p>
        </w:tc>
        <w:tc>
          <w:tcPr>
            <w:tcW w:w="260" w:type="dxa"/>
            <w:vAlign w:val="bottom"/>
            <w:tcBorders>
              <w:top w:val="single" w:sz="8" w:color="auto"/>
            </w:tcBorders>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6,991</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42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300" w:type="dxa"/>
            <w:vAlign w:val="bottom"/>
            <w:tcBorders>
              <w:bottom w:val="single" w:sz="8" w:color="auto"/>
            </w:tcBorders>
            <w:vMerge w:val="continue"/>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260" w:type="dxa"/>
            <w:vAlign w:val="bottom"/>
            <w:tcBorders>
              <w:bottom w:val="single" w:sz="8" w:color="auto"/>
            </w:tcBorders>
            <w:vMerge w:val="continue"/>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ind w:left="200" w:hanging="194"/>
        <w:spacing w:after="0"/>
        <w:tabs>
          <w:tab w:leader="none" w:pos="2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net transfers out of Level 3 during the three months ended September 30, 2025 were exclusively into Level 2.</w:t>
      </w:r>
    </w:p>
    <w:p>
      <w:pPr>
        <w:spacing w:after="0" w:line="49" w:lineRule="exact"/>
        <w:rPr>
          <w:rFonts w:ascii="Times New Roman" w:cs="Times New Roman" w:eastAsia="Times New Roman" w:hAnsi="Times New Roman"/>
          <w:sz w:val="14"/>
          <w:szCs w:val="14"/>
          <w:color w:val="auto"/>
        </w:rPr>
      </w:pPr>
    </w:p>
    <w:p>
      <w:pPr>
        <w:ind w:left="200" w:hanging="194"/>
        <w:spacing w:after="0"/>
        <w:tabs>
          <w:tab w:leader="none" w:pos="2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Refer to Note N </w:t>
      </w:r>
      <w:r>
        <w:rPr>
          <w:rFonts w:ascii="Times New Roman" w:cs="Times New Roman" w:eastAsia="Times New Roman" w:hAnsi="Times New Roman"/>
          <w:sz w:val="14"/>
          <w:szCs w:val="14"/>
          <w:i w:val="1"/>
          <w:iCs w:val="1"/>
          <w:color w:val="auto"/>
        </w:rPr>
        <w:t>Market Risk Benefits</w:t>
      </w:r>
      <w:r>
        <w:rPr>
          <w:rFonts w:ascii="Times New Roman" w:cs="Times New Roman" w:eastAsia="Times New Roman" w:hAnsi="Times New Roman"/>
          <w:sz w:val="14"/>
          <w:szCs w:val="14"/>
          <w:color w:val="auto"/>
        </w:rPr>
        <w:t xml:space="preserve"> for roll forward activity of the net Market Risk Benefits Asset and Liability.</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60" w:type="dxa"/>
            <w:vAlign w:val="bottom"/>
            <w:gridSpan w:val="8"/>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Nine Months Ended September 30, 2026</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vMerge w:val="restart"/>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Total Gains (Losses)</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Net transfer</w:t>
            </w:r>
          </w:p>
        </w:tc>
        <w:tc>
          <w:tcPr>
            <w:tcW w:w="100" w:type="dxa"/>
            <w:vAlign w:val="bottom"/>
          </w:tcPr>
          <w:p>
            <w:pPr>
              <w:spacing w:after="0"/>
              <w:rPr>
                <w:sz w:val="24"/>
                <w:szCs w:val="24"/>
                <w:color w:val="auto"/>
              </w:rPr>
            </w:pPr>
          </w:p>
        </w:tc>
        <w:tc>
          <w:tcPr>
            <w:tcW w:w="72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w w:val="95"/>
              </w:rPr>
              <w:t>Balance at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w w:val="98"/>
              </w:rPr>
              <w:t>Change in</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Included in</w:t>
            </w:r>
          </w:p>
        </w:tc>
        <w:tc>
          <w:tcPr>
            <w:tcW w:w="92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Included in</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29"/>
              <w:spacing w:after="0" w:line="144" w:lineRule="exact"/>
              <w:rPr>
                <w:sz w:val="20"/>
                <w:szCs w:val="20"/>
                <w:color w:val="auto"/>
              </w:rPr>
            </w:pPr>
            <w:r>
              <w:rPr>
                <w:rFonts w:ascii="Times New Roman" w:cs="Times New Roman" w:eastAsia="Times New Roman" w:hAnsi="Times New Roman"/>
                <w:sz w:val="14"/>
                <w:szCs w:val="14"/>
                <w:b w:val="1"/>
                <w:bCs w:val="1"/>
                <w:color w:val="auto"/>
                <w:w w:val="97"/>
              </w:rPr>
              <w:t>Unrealized</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49"/>
              <w:spacing w:after="0" w:line="146" w:lineRule="exact"/>
              <w:rPr>
                <w:sz w:val="20"/>
                <w:szCs w:val="20"/>
                <w:color w:val="auto"/>
              </w:rPr>
            </w:pPr>
            <w:r>
              <w:rPr>
                <w:rFonts w:ascii="Times New Roman" w:cs="Times New Roman" w:eastAsia="Times New Roman" w:hAnsi="Times New Roman"/>
                <w:sz w:val="14"/>
                <w:szCs w:val="14"/>
                <w:b w:val="1"/>
                <w:bCs w:val="1"/>
                <w:color w:val="auto"/>
                <w:w w:val="98"/>
              </w:rPr>
              <w:t>Beginning</w:t>
            </w:r>
          </w:p>
        </w:tc>
        <w:tc>
          <w:tcPr>
            <w:tcW w:w="10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Purchases</w:t>
            </w:r>
          </w:p>
        </w:tc>
        <w:tc>
          <w:tcPr>
            <w:tcW w:w="140" w:type="dxa"/>
            <w:vAlign w:val="bottom"/>
          </w:tcPr>
          <w:p>
            <w:pPr>
              <w:spacing w:after="0"/>
              <w:rPr>
                <w:sz w:val="12"/>
                <w:szCs w:val="12"/>
                <w:color w:val="auto"/>
              </w:rPr>
            </w:pPr>
          </w:p>
        </w:tc>
        <w:tc>
          <w:tcPr>
            <w:tcW w:w="7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20" w:type="dxa"/>
            <w:vAlign w:val="bottom"/>
          </w:tcPr>
          <w:p>
            <w:pPr>
              <w:spacing w:after="0"/>
              <w:rPr>
                <w:sz w:val="12"/>
                <w:szCs w:val="12"/>
                <w:color w:val="auto"/>
              </w:rPr>
            </w:pPr>
          </w:p>
        </w:tc>
        <w:tc>
          <w:tcPr>
            <w:tcW w:w="10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Settlements</w:t>
            </w:r>
          </w:p>
        </w:tc>
        <w:tc>
          <w:tcPr>
            <w:tcW w:w="100" w:type="dxa"/>
            <w:vAlign w:val="bottom"/>
          </w:tcPr>
          <w:p>
            <w:pPr>
              <w:spacing w:after="0"/>
              <w:rPr>
                <w:sz w:val="12"/>
                <w:szCs w:val="12"/>
                <w:color w:val="auto"/>
              </w:rPr>
            </w:pPr>
          </w:p>
        </w:tc>
        <w:tc>
          <w:tcPr>
            <w:tcW w:w="84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In (Out)</w:t>
            </w:r>
          </w:p>
        </w:tc>
        <w:tc>
          <w:tcPr>
            <w:tcW w:w="100" w:type="dxa"/>
            <w:vAlign w:val="bottom"/>
          </w:tcPr>
          <w:p>
            <w:pPr>
              <w:spacing w:after="0"/>
              <w:rPr>
                <w:sz w:val="12"/>
                <w:szCs w:val="12"/>
                <w:color w:val="auto"/>
              </w:rPr>
            </w:pPr>
          </w:p>
        </w:tc>
        <w:tc>
          <w:tcPr>
            <w:tcW w:w="720" w:type="dxa"/>
            <w:vAlign w:val="bottom"/>
          </w:tcPr>
          <w:p>
            <w:pPr>
              <w:jc w:val="right"/>
              <w:ind w:right="129"/>
              <w:spacing w:after="0" w:line="146" w:lineRule="exact"/>
              <w:rPr>
                <w:sz w:val="20"/>
                <w:szCs w:val="20"/>
                <w:color w:val="auto"/>
              </w:rPr>
            </w:pPr>
            <w:r>
              <w:rPr>
                <w:rFonts w:ascii="Times New Roman" w:cs="Times New Roman" w:eastAsia="Times New Roman" w:hAnsi="Times New Roman"/>
                <w:sz w:val="14"/>
                <w:szCs w:val="14"/>
                <w:b w:val="1"/>
                <w:bCs w:val="1"/>
                <w:color w:val="auto"/>
              </w:rPr>
              <w:t>End of</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29"/>
              <w:spacing w:after="0" w:line="146" w:lineRule="exact"/>
              <w:rPr>
                <w:sz w:val="20"/>
                <w:szCs w:val="20"/>
                <w:color w:val="auto"/>
              </w:rPr>
            </w:pPr>
            <w:r>
              <w:rPr>
                <w:rFonts w:ascii="Times New Roman" w:cs="Times New Roman" w:eastAsia="Times New Roman" w:hAnsi="Times New Roman"/>
                <w:sz w:val="14"/>
                <w:szCs w:val="14"/>
                <w:b w:val="1"/>
                <w:bCs w:val="1"/>
                <w:color w:val="auto"/>
                <w:w w:val="99"/>
              </w:rPr>
              <w:t>Included in</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Earnings</w:t>
            </w: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AOCL</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Level 3 (a)</w:t>
            </w: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OCI</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40" w:type="dxa"/>
            <w:vAlign w:val="bottom"/>
            <w:gridSpan w:val="3"/>
          </w:tcPr>
          <w:p>
            <w:pPr>
              <w:spacing w:after="0" w:line="159" w:lineRule="exact"/>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3"/>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25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Fixed maturity securities available-for-sale:</w:t>
            </w: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54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Asset-backed securities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10,094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2,134</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(949)</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11,207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2540" w:type="dxa"/>
            <w:vAlign w:val="bottom"/>
            <w:tcBorders>
              <w:bottom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Commercial mortgage-backed securities</w:t>
            </w: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54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Corporates</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2540" w:type="dxa"/>
            <w:vAlign w:val="bottom"/>
            <w:tcBorders>
              <w:bottom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Hybrids</w:t>
            </w: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54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Municipals</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2540" w:type="dxa"/>
            <w:vAlign w:val="bottom"/>
            <w:tcBorders>
              <w:bottom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Residential mortgage-backed securities</w:t>
            </w: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54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Foreign Governments</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25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invested assets</w:t>
            </w: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5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Preferred securities</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25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Equity securities</w:t>
            </w: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5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Derivative investments</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25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Investment in unconsolidated affiliates</w:t>
            </w: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5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Short-term investments</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25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long-term investments:</w:t>
            </w: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54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Available-for-sale embedded derivative</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25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Reinsurance recoverable:</w:t>
            </w: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540" w:type="dxa"/>
            <w:vAlign w:val="bottom"/>
            <w:gridSpan w:val="3"/>
          </w:tcPr>
          <w:p>
            <w:pPr>
              <w:ind w:left="200"/>
              <w:spacing w:after="0" w:line="150" w:lineRule="exact"/>
              <w:rPr>
                <w:sz w:val="20"/>
                <w:szCs w:val="20"/>
                <w:color w:val="auto"/>
              </w:rPr>
            </w:pPr>
            <w:r>
              <w:rPr>
                <w:rFonts w:ascii="Times New Roman" w:cs="Times New Roman" w:eastAsia="Times New Roman" w:hAnsi="Times New Roman"/>
                <w:sz w:val="14"/>
                <w:szCs w:val="14"/>
                <w:color w:val="auto"/>
              </w:rPr>
              <w:t>Indexed annuities/IUL ceded embedded</w:t>
            </w:r>
          </w:p>
        </w:tc>
        <w:tc>
          <w:tcPr>
            <w:tcW w:w="12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615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947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54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derivatives</w:t>
            </w: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shd w:val="clear" w:color="auto" w:fill="CCEEFF"/>
          </w:tcPr>
          <w:p>
            <w:pPr>
              <w:spacing w:after="0"/>
              <w:rPr>
                <w:sz w:val="17"/>
                <w:szCs w:val="17"/>
                <w:color w:val="auto"/>
              </w:rPr>
            </w:pPr>
          </w:p>
        </w:tc>
        <w:tc>
          <w:tcPr>
            <w:tcW w:w="25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54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Loan receivable</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Borders>
              <w:bottom w:val="single" w:sz="8" w:color="CCEEFF"/>
            </w:tcBorders>
            <w:shd w:val="clear" w:color="auto" w:fill="CCEEFF"/>
          </w:tcPr>
          <w:p>
            <w:pPr>
              <w:spacing w:after="0"/>
              <w:rPr>
                <w:sz w:val="18"/>
                <w:szCs w:val="18"/>
                <w:color w:val="auto"/>
              </w:rPr>
            </w:pPr>
          </w:p>
        </w:tc>
        <w:tc>
          <w:tcPr>
            <w:tcW w:w="25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MSRs</w:t>
            </w: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54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Subtotal Level 3 assets at fair value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14,245</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4,161</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(515)</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(1,339)</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16,461</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Borders>
              <w:bottom w:val="single" w:sz="8" w:color="CCEEFF"/>
            </w:tcBorders>
            <w:shd w:val="clear" w:color="auto" w:fill="CCEEFF"/>
          </w:tcPr>
          <w:p>
            <w:pPr>
              <w:spacing w:after="0"/>
              <w:rPr>
                <w:sz w:val="17"/>
                <w:szCs w:val="17"/>
                <w:color w:val="auto"/>
              </w:rPr>
            </w:pPr>
          </w:p>
        </w:tc>
        <w:tc>
          <w:tcPr>
            <w:tcW w:w="25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Market risk benefits asset (b)</w:t>
            </w: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54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Total Level 3 assets at fair value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14,530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16,804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shd w:val="clear" w:color="auto" w:fill="CCEEFF"/>
          </w:tcPr>
          <w:p>
            <w:pPr>
              <w:spacing w:after="0"/>
              <w:rPr>
                <w:sz w:val="10"/>
                <w:szCs w:val="10"/>
                <w:color w:val="auto"/>
              </w:rPr>
            </w:pPr>
          </w:p>
        </w:tc>
        <w:tc>
          <w:tcPr>
            <w:tcW w:w="2540" w:type="dxa"/>
            <w:vAlign w:val="bottom"/>
            <w:gridSpan w:val="3"/>
            <w:shd w:val="clear" w:color="auto" w:fill="CCEEFF"/>
          </w:tcPr>
          <w:p>
            <w:pPr>
              <w:spacing w:after="0" w:line="126"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33"/>
        </w:trPr>
        <w:tc>
          <w:tcPr>
            <w:tcW w:w="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auto"/>
            </w:tcBorders>
            <w:shd w:val="clear" w:color="auto" w:fill="CCEEFF"/>
          </w:tcPr>
          <w:p>
            <w:pPr>
              <w:spacing w:after="0"/>
              <w:rPr>
                <w:sz w:val="2"/>
                <w:szCs w:val="2"/>
                <w:color w:val="auto"/>
              </w:rPr>
            </w:pPr>
          </w:p>
        </w:tc>
        <w:tc>
          <w:tcPr>
            <w:tcW w:w="220" w:type="dxa"/>
            <w:vAlign w:val="bottom"/>
            <w:tcBorders>
              <w:top w:val="single" w:sz="8" w:color="auto"/>
            </w:tcBorders>
            <w:shd w:val="clear" w:color="auto" w:fill="CCEEFF"/>
          </w:tcPr>
          <w:p>
            <w:pPr>
              <w:spacing w:after="0"/>
              <w:rPr>
                <w:sz w:val="2"/>
                <w:szCs w:val="2"/>
                <w:color w:val="auto"/>
              </w:rPr>
            </w:pPr>
          </w:p>
        </w:tc>
        <w:tc>
          <w:tcPr>
            <w:tcW w:w="19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21" w:right="339" w:bottom="1440" w:gutter="0" w:footer="0" w:header="0"/>
        </w:sectPr>
      </w:pPr>
    </w:p>
    <w:tbl>
      <w:tblPr>
        <w:tblLayout w:type="fixed"/>
        <w:tblInd w:w="220" w:type="dxa"/>
        <w:tblCellMar>
          <w:top w:w="0" w:type="dxa"/>
          <w:left w:w="0" w:type="dxa"/>
          <w:bottom w:w="0" w:type="dxa"/>
          <w:right w:w="0" w:type="dxa"/>
        </w:tblCellMar>
      </w:tblPr>
      <w:tr>
        <w:trPr>
          <w:trHeight w:val="150"/>
        </w:trPr>
        <w:tc>
          <w:tcPr>
            <w:tcW w:w="226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Indexed annuity/ IUL embedded</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2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derivatives, included in contractholder</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4"/>
        </w:trPr>
        <w:tc>
          <w:tcPr>
            <w:tcW w:w="2260" w:type="dxa"/>
            <w:vAlign w:val="bottom"/>
          </w:tcPr>
          <w:p>
            <w:pPr>
              <w:spacing w:after="0"/>
              <w:rPr>
                <w:sz w:val="20"/>
                <w:szCs w:val="20"/>
                <w:color w:val="auto"/>
              </w:rPr>
            </w:pPr>
            <w:r>
              <w:rPr>
                <w:rFonts w:ascii="Times New Roman" w:cs="Times New Roman" w:eastAsia="Times New Roman" w:hAnsi="Times New Roman"/>
                <w:sz w:val="14"/>
                <w:szCs w:val="14"/>
                <w:color w:val="auto"/>
              </w:rPr>
              <w:t>funds</w:t>
            </w:r>
          </w:p>
        </w:tc>
        <w:tc>
          <w:tcPr>
            <w:tcW w:w="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220" w:right="160"/>
        <w:spacing w:after="0" w:line="251" w:lineRule="auto"/>
        <w:rPr>
          <w:sz w:val="20"/>
          <w:szCs w:val="20"/>
          <w:color w:val="auto"/>
        </w:rPr>
      </w:pPr>
      <w:r>
        <w:rPr>
          <w:rFonts w:ascii="Times New Roman" w:cs="Times New Roman" w:eastAsia="Times New Roman" w:hAnsi="Times New Roman"/>
          <w:sz w:val="14"/>
          <w:szCs w:val="14"/>
          <w:color w:val="auto"/>
        </w:rPr>
        <w:t>Foreign currency swaps, included in Accounts payable and accrued liabilities</w:t>
      </w:r>
    </w:p>
    <w:p>
      <w:pPr>
        <w:spacing w:after="0" w:line="8" w:lineRule="exact"/>
        <w:rPr>
          <w:sz w:val="20"/>
          <w:szCs w:val="20"/>
          <w:color w:val="auto"/>
        </w:rPr>
      </w:pPr>
    </w:p>
    <w:p>
      <w:pPr>
        <w:ind w:left="20" w:right="360"/>
        <w:spacing w:after="0" w:line="251" w:lineRule="auto"/>
        <w:rPr>
          <w:sz w:val="20"/>
          <w:szCs w:val="20"/>
          <w:color w:val="auto"/>
        </w:rPr>
      </w:pPr>
      <w:r>
        <w:rPr>
          <w:rFonts w:ascii="Times New Roman" w:cs="Times New Roman" w:eastAsia="Times New Roman" w:hAnsi="Times New Roman"/>
          <w:sz w:val="14"/>
          <w:szCs w:val="14"/>
          <w:color w:val="auto"/>
        </w:rPr>
        <w:t>Contingent consideration, included in Accounts payable and accrued liabilities</w:t>
      </w:r>
    </w:p>
    <w:p>
      <w:pPr>
        <w:spacing w:after="0" w:line="20" w:lineRule="exact"/>
        <w:rPr>
          <w:sz w:val="20"/>
          <w:szCs w:val="20"/>
          <w:color w:val="auto"/>
        </w:rPr>
      </w:pPr>
      <w:r>
        <w:rPr>
          <w:sz w:val="20"/>
          <w:szCs w:val="20"/>
          <w:color w:val="auto"/>
        </w:rPr>
        <w:br w:type="column"/>
      </w:r>
    </w:p>
    <w:p>
      <w:pPr>
        <w:spacing w:after="0" w:line="2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4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95"/>
              </w:rPr>
              <w:t>6,542</w:t>
            </w:r>
          </w:p>
        </w:tc>
        <w:tc>
          <w:tcPr>
            <w:tcW w:w="36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(569)</w:t>
            </w:r>
          </w:p>
        </w:tc>
        <w:tc>
          <w:tcPr>
            <w:tcW w:w="40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   $</w:t>
            </w:r>
          </w:p>
        </w:tc>
        <w:tc>
          <w:tcPr>
            <w:tcW w:w="5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904</w:t>
            </w:r>
          </w:p>
        </w:tc>
        <w:tc>
          <w:tcPr>
            <w:tcW w:w="38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(421)</w:t>
            </w:r>
          </w:p>
        </w:tc>
        <w:tc>
          <w:tcPr>
            <w:tcW w:w="40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6,456</w:t>
            </w:r>
          </w:p>
        </w:tc>
        <w:tc>
          <w:tcPr>
            <w:tcW w:w="50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ind w:left="340"/>
              <w:spacing w:after="0"/>
              <w:rPr>
                <w:sz w:val="20"/>
                <w:szCs w:val="20"/>
                <w:color w:val="auto"/>
              </w:rPr>
            </w:pPr>
            <w:r>
              <w:rPr>
                <w:rFonts w:ascii="Times New Roman" w:cs="Times New Roman" w:eastAsia="Times New Roman" w:hAnsi="Times New Roman"/>
                <w:sz w:val="14"/>
                <w:szCs w:val="14"/>
                <w:color w:val="auto"/>
                <w:w w:val="85"/>
              </w:rPr>
              <w:t>—</w:t>
            </w:r>
          </w:p>
        </w:tc>
      </w:tr>
      <w:tr>
        <w:trPr>
          <w:trHeight w:val="345"/>
        </w:trPr>
        <w:tc>
          <w:tcPr>
            <w:tcW w:w="4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9</w:t>
            </w:r>
          </w:p>
        </w:tc>
        <w:tc>
          <w:tcPr>
            <w:tcW w:w="360" w:type="dxa"/>
            <w:vAlign w:val="bottom"/>
          </w:tcPr>
          <w:p>
            <w:pPr>
              <w:spacing w:after="0"/>
              <w:rPr>
                <w:sz w:val="24"/>
                <w:szCs w:val="24"/>
                <w:color w:val="auto"/>
              </w:rPr>
            </w:pPr>
          </w:p>
        </w:tc>
        <w:tc>
          <w:tcPr>
            <w:tcW w:w="6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10</w:t>
            </w:r>
          </w:p>
        </w:tc>
        <w:tc>
          <w:tcPr>
            <w:tcW w:w="400" w:type="dxa"/>
            <w:vAlign w:val="bottom"/>
          </w:tcPr>
          <w:p>
            <w:pPr>
              <w:spacing w:after="0"/>
              <w:rPr>
                <w:sz w:val="24"/>
                <w:szCs w:val="24"/>
                <w:color w:val="auto"/>
              </w:rPr>
            </w:pPr>
          </w:p>
        </w:tc>
        <w:tc>
          <w:tcPr>
            <w:tcW w:w="9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24"/>
                <w:szCs w:val="24"/>
                <w:color w:val="auto"/>
              </w:rPr>
            </w:pPr>
          </w:p>
        </w:tc>
        <w:tc>
          <w:tcPr>
            <w:tcW w:w="9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4"/>
                <w:szCs w:val="24"/>
                <w:color w:val="auto"/>
              </w:rPr>
            </w:pPr>
          </w:p>
        </w:tc>
        <w:tc>
          <w:tcPr>
            <w:tcW w:w="5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4"/>
                <w:szCs w:val="24"/>
                <w:color w:val="auto"/>
              </w:rPr>
            </w:pPr>
          </w:p>
        </w:tc>
        <w:tc>
          <w:tcPr>
            <w:tcW w:w="5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19</w:t>
            </w:r>
          </w:p>
        </w:tc>
        <w:tc>
          <w:tcPr>
            <w:tcW w:w="500" w:type="dxa"/>
            <w:vAlign w:val="bottom"/>
          </w:tcPr>
          <w:p>
            <w:pPr>
              <w:spacing w:after="0"/>
              <w:rPr>
                <w:sz w:val="24"/>
                <w:szCs w:val="24"/>
                <w:color w:val="auto"/>
              </w:rPr>
            </w:pPr>
          </w:p>
        </w:tc>
        <w:tc>
          <w:tcPr>
            <w:tcW w:w="480" w:type="dxa"/>
            <w:vAlign w:val="bottom"/>
          </w:tcPr>
          <w:p>
            <w:pPr>
              <w:ind w:left="340"/>
              <w:spacing w:after="0"/>
              <w:rPr>
                <w:sz w:val="20"/>
                <w:szCs w:val="20"/>
                <w:color w:val="auto"/>
              </w:rPr>
            </w:pPr>
            <w:r>
              <w:rPr>
                <w:rFonts w:ascii="Times New Roman" w:cs="Times New Roman" w:eastAsia="Times New Roman" w:hAnsi="Times New Roman"/>
                <w:sz w:val="14"/>
                <w:szCs w:val="14"/>
                <w:color w:val="auto"/>
                <w:w w:val="85"/>
              </w:rPr>
              <w:t>—</w:t>
            </w:r>
          </w:p>
        </w:tc>
      </w:tr>
      <w:tr>
        <w:trPr>
          <w:trHeight w:val="344"/>
        </w:trPr>
        <w:tc>
          <w:tcPr>
            <w:tcW w:w="4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72</w:t>
            </w:r>
          </w:p>
        </w:tc>
        <w:tc>
          <w:tcPr>
            <w:tcW w:w="360" w:type="dxa"/>
            <w:vAlign w:val="bottom"/>
          </w:tcPr>
          <w:p>
            <w:pPr>
              <w:spacing w:after="0"/>
              <w:rPr>
                <w:sz w:val="24"/>
                <w:szCs w:val="24"/>
                <w:color w:val="auto"/>
              </w:rPr>
            </w:pPr>
          </w:p>
        </w:tc>
        <w:tc>
          <w:tcPr>
            <w:tcW w:w="6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w:t>
            </w:r>
          </w:p>
        </w:tc>
        <w:tc>
          <w:tcPr>
            <w:tcW w:w="400" w:type="dxa"/>
            <w:vAlign w:val="bottom"/>
          </w:tcPr>
          <w:p>
            <w:pPr>
              <w:spacing w:after="0"/>
              <w:rPr>
                <w:sz w:val="24"/>
                <w:szCs w:val="24"/>
                <w:color w:val="auto"/>
              </w:rPr>
            </w:pPr>
          </w:p>
        </w:tc>
        <w:tc>
          <w:tcPr>
            <w:tcW w:w="9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24"/>
                <w:szCs w:val="24"/>
                <w:color w:val="auto"/>
              </w:rPr>
            </w:pPr>
          </w:p>
        </w:tc>
        <w:tc>
          <w:tcPr>
            <w:tcW w:w="9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(12)</w:t>
            </w:r>
          </w:p>
        </w:tc>
        <w:tc>
          <w:tcPr>
            <w:tcW w:w="400" w:type="dxa"/>
            <w:vAlign w:val="bottom"/>
          </w:tcPr>
          <w:p>
            <w:pPr>
              <w:spacing w:after="0"/>
              <w:rPr>
                <w:sz w:val="24"/>
                <w:szCs w:val="24"/>
                <w:color w:val="auto"/>
              </w:rPr>
            </w:pPr>
          </w:p>
        </w:tc>
        <w:tc>
          <w:tcPr>
            <w:tcW w:w="860" w:type="dxa"/>
            <w:vAlign w:val="bottom"/>
            <w:gridSpan w:val="2"/>
          </w:tcPr>
          <w:p>
            <w:pPr>
              <w:jc w:val="right"/>
              <w:ind w:right="329"/>
              <w:spacing w:after="0"/>
              <w:rPr>
                <w:sz w:val="20"/>
                <w:szCs w:val="20"/>
                <w:color w:val="auto"/>
              </w:rPr>
            </w:pPr>
            <w:r>
              <w:rPr>
                <w:rFonts w:ascii="Times New Roman" w:cs="Times New Roman" w:eastAsia="Times New Roman" w:hAnsi="Times New Roman"/>
                <w:sz w:val="14"/>
                <w:szCs w:val="14"/>
                <w:color w:val="auto"/>
              </w:rPr>
              <w:t>(63)</w:t>
            </w:r>
          </w:p>
        </w:tc>
        <w:tc>
          <w:tcPr>
            <w:tcW w:w="5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24"/>
                <w:szCs w:val="24"/>
                <w:color w:val="auto"/>
              </w:rPr>
            </w:pPr>
          </w:p>
        </w:tc>
        <w:tc>
          <w:tcPr>
            <w:tcW w:w="480" w:type="dxa"/>
            <w:vAlign w:val="bottom"/>
          </w:tcPr>
          <w:p>
            <w:pPr>
              <w:ind w:left="340"/>
              <w:spacing w:after="0"/>
              <w:rPr>
                <w:sz w:val="20"/>
                <w:szCs w:val="20"/>
                <w:color w:val="auto"/>
              </w:rPr>
            </w:pPr>
            <w:r>
              <w:rPr>
                <w:rFonts w:ascii="Times New Roman" w:cs="Times New Roman" w:eastAsia="Times New Roman" w:hAnsi="Times New Roman"/>
                <w:sz w:val="14"/>
                <w:szCs w:val="14"/>
                <w:color w:val="auto"/>
                <w:w w:val="85"/>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-1964055</wp:posOffset>
            </wp:positionH>
            <wp:positionV relativeFrom="paragraph">
              <wp:posOffset>-421640</wp:posOffset>
            </wp:positionV>
            <wp:extent cx="7134860" cy="2190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4860" cy="219075"/>
                    </a:xfrm>
                    <a:prstGeom prst="rect">
                      <a:avLst/>
                    </a:prstGeom>
                    <a:noFill/>
                  </pic:spPr>
                </pic:pic>
              </a:graphicData>
            </a:graphic>
          </wp:anchor>
        </w:drawing>
      </w:r>
    </w:p>
    <w:p>
      <w:pPr>
        <w:spacing w:after="0" w:line="21" w:lineRule="exact"/>
        <w:rPr>
          <w:sz w:val="20"/>
          <w:szCs w:val="20"/>
          <w:color w:val="auto"/>
        </w:rPr>
      </w:pPr>
    </w:p>
    <w:p>
      <w:pPr>
        <w:sectPr>
          <w:pgSz w:w="11900" w:h="16838" w:orient="portrait"/>
          <w:cols w:equalWidth="0" w:num="2">
            <w:col w:w="2660" w:space="440"/>
            <w:col w:w="814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33"/>
        </w:trPr>
        <w:tc>
          <w:tcPr>
            <w:tcW w:w="2560" w:type="dxa"/>
            <w:vAlign w:val="bottom"/>
            <w:vMerge w:val="restart"/>
            <w:shd w:val="clear" w:color="auto" w:fill="CCEEFF"/>
          </w:tcPr>
          <w:p>
            <w:pPr>
              <w:ind w:left="340"/>
              <w:spacing w:after="0" w:line="151" w:lineRule="exact"/>
              <w:rPr>
                <w:sz w:val="20"/>
                <w:szCs w:val="20"/>
                <w:color w:val="auto"/>
              </w:rPr>
            </w:pPr>
            <w:r>
              <w:rPr>
                <w:rFonts w:ascii="Times New Roman" w:cs="Times New Roman" w:eastAsia="Times New Roman" w:hAnsi="Times New Roman"/>
                <w:sz w:val="14"/>
                <w:szCs w:val="14"/>
                <w:b w:val="1"/>
                <w:bCs w:val="1"/>
                <w:color w:val="auto"/>
              </w:rPr>
              <w:t>Subtotal Level 3 liabilities at fair</w:t>
            </w:r>
          </w:p>
        </w:tc>
        <w:tc>
          <w:tcPr>
            <w:tcW w:w="3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9"/>
        </w:trPr>
        <w:tc>
          <w:tcPr>
            <w:tcW w:w="2560" w:type="dxa"/>
            <w:vAlign w:val="bottom"/>
            <w:vMerge w:val="continue"/>
            <w:shd w:val="clear" w:color="auto" w:fill="CCEEFF"/>
          </w:tcPr>
          <w:p>
            <w:pPr>
              <w:spacing w:after="0"/>
              <w:rPr>
                <w:sz w:val="10"/>
                <w:szCs w:val="10"/>
                <w:color w:val="auto"/>
              </w:rPr>
            </w:pPr>
          </w:p>
        </w:tc>
        <w:tc>
          <w:tcPr>
            <w:tcW w:w="320" w:type="dxa"/>
            <w:vAlign w:val="bottom"/>
            <w:vMerge w:val="restart"/>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6,623</w:t>
            </w:r>
          </w:p>
        </w:tc>
        <w:tc>
          <w:tcPr>
            <w:tcW w:w="100" w:type="dxa"/>
            <w:vAlign w:val="bottom"/>
            <w:vMerge w:val="restart"/>
            <w:shd w:val="clear" w:color="auto" w:fill="CCEEFF"/>
          </w:tcPr>
          <w:p>
            <w:pPr>
              <w:spacing w:after="0"/>
              <w:rPr>
                <w:sz w:val="10"/>
                <w:szCs w:val="10"/>
                <w:color w:val="auto"/>
              </w:rPr>
            </w:pPr>
          </w:p>
        </w:tc>
        <w:tc>
          <w:tcPr>
            <w:tcW w:w="280" w:type="dxa"/>
            <w:vAlign w:val="bottom"/>
            <w:vMerge w:val="restart"/>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w:t>
            </w:r>
          </w:p>
        </w:tc>
        <w:tc>
          <w:tcPr>
            <w:tcW w:w="120" w:type="dxa"/>
            <w:vAlign w:val="bottom"/>
            <w:shd w:val="clear" w:color="auto" w:fill="CCEEFF"/>
          </w:tcPr>
          <w:p>
            <w:pPr>
              <w:spacing w:after="0"/>
              <w:rPr>
                <w:sz w:val="10"/>
                <w:szCs w:val="10"/>
                <w:color w:val="auto"/>
              </w:rPr>
            </w:pPr>
          </w:p>
        </w:tc>
        <w:tc>
          <w:tcPr>
            <w:tcW w:w="340" w:type="dxa"/>
            <w:vAlign w:val="bottom"/>
            <w:vMerge w:val="restart"/>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3"/>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   $</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904</w:t>
            </w:r>
          </w:p>
        </w:tc>
        <w:tc>
          <w:tcPr>
            <w:tcW w:w="100" w:type="dxa"/>
            <w:vAlign w:val="bottom"/>
            <w:shd w:val="clear" w:color="auto" w:fill="CCEEFF"/>
          </w:tcPr>
          <w:p>
            <w:pPr>
              <w:spacing w:after="0"/>
              <w:rPr>
                <w:sz w:val="10"/>
                <w:szCs w:val="10"/>
                <w:color w:val="auto"/>
              </w:rPr>
            </w:pPr>
          </w:p>
        </w:tc>
        <w:tc>
          <w:tcPr>
            <w:tcW w:w="300" w:type="dxa"/>
            <w:vAlign w:val="bottom"/>
            <w:vMerge w:val="restart"/>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3"/>
            <w:vMerge w:val="restart"/>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w:t>
            </w:r>
          </w:p>
        </w:tc>
        <w:tc>
          <w:tcPr>
            <w:tcW w:w="100" w:type="dxa"/>
            <w:vAlign w:val="bottom"/>
            <w:shd w:val="clear" w:color="auto" w:fill="CCEEFF"/>
          </w:tcPr>
          <w:p>
            <w:pPr>
              <w:spacing w:after="0"/>
              <w:rPr>
                <w:sz w:val="10"/>
                <w:szCs w:val="10"/>
                <w:color w:val="auto"/>
              </w:rPr>
            </w:pPr>
          </w:p>
        </w:tc>
        <w:tc>
          <w:tcPr>
            <w:tcW w:w="340" w:type="dxa"/>
            <w:vAlign w:val="bottom"/>
            <w:vMerge w:val="restart"/>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shd w:val="clear" w:color="auto" w:fill="CCEEFF"/>
          </w:tcPr>
          <w:p>
            <w:pPr>
              <w:spacing w:after="0"/>
              <w:rPr>
                <w:sz w:val="10"/>
                <w:szCs w:val="10"/>
                <w:color w:val="auto"/>
              </w:rPr>
            </w:pPr>
          </w:p>
        </w:tc>
        <w:tc>
          <w:tcPr>
            <w:tcW w:w="260" w:type="dxa"/>
            <w:vAlign w:val="bottom"/>
            <w:vMerge w:val="restart"/>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6,475</w:t>
            </w:r>
          </w:p>
        </w:tc>
        <w:tc>
          <w:tcPr>
            <w:tcW w:w="520" w:type="dxa"/>
            <w:vAlign w:val="bottom"/>
            <w:gridSpan w:val="2"/>
            <w:vMerge w:val="restart"/>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2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320" w:type="dxa"/>
            <w:vAlign w:val="bottom"/>
            <w:vMerge w:val="continue"/>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280" w:type="dxa"/>
            <w:vAlign w:val="bottom"/>
            <w:vMerge w:val="continue"/>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vMerge w:val="continue"/>
            <w:shd w:val="clear" w:color="auto" w:fill="CCEEFF"/>
          </w:tcPr>
          <w:p>
            <w:pPr>
              <w:spacing w:after="0"/>
              <w:rPr>
                <w:sz w:val="16"/>
                <w:szCs w:val="16"/>
                <w:color w:val="auto"/>
              </w:rPr>
            </w:pPr>
          </w:p>
        </w:tc>
        <w:tc>
          <w:tcPr>
            <w:tcW w:w="940" w:type="dxa"/>
            <w:vAlign w:val="bottom"/>
            <w:gridSpan w:val="3"/>
            <w:vMerge w:val="continue"/>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vMerge w:val="continue"/>
            <w:shd w:val="clear" w:color="auto" w:fill="CCEEFF"/>
          </w:tcPr>
          <w:p>
            <w:pPr>
              <w:spacing w:after="0"/>
              <w:rPr>
                <w:sz w:val="16"/>
                <w:szCs w:val="16"/>
                <w:color w:val="auto"/>
              </w:rPr>
            </w:pPr>
          </w:p>
        </w:tc>
        <w:tc>
          <w:tcPr>
            <w:tcW w:w="920" w:type="dxa"/>
            <w:vAlign w:val="bottom"/>
            <w:gridSpan w:val="3"/>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vMerge w:val="continue"/>
            <w:shd w:val="clear" w:color="auto" w:fill="CCEEFF"/>
          </w:tcPr>
          <w:p>
            <w:pPr>
              <w:spacing w:after="0"/>
              <w:rPr>
                <w:sz w:val="16"/>
                <w:szCs w:val="16"/>
                <w:color w:val="auto"/>
              </w:rPr>
            </w:pPr>
          </w:p>
        </w:tc>
        <w:tc>
          <w:tcPr>
            <w:tcW w:w="5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vMerge w:val="continue"/>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520" w:type="dxa"/>
            <w:vAlign w:val="bottom"/>
            <w:gridSpan w:val="2"/>
            <w:vMerge w:val="continue"/>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5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Market risk benefits liability (b)</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56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903</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906</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2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5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b w:val="1"/>
                <w:bCs w:val="1"/>
                <w:color w:val="auto"/>
              </w:rPr>
              <w:t>Total Level 3 liabilities at fair value</w:t>
            </w: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7,526</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7,381</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ind w:left="200" w:hanging="194"/>
        <w:spacing w:after="0"/>
        <w:tabs>
          <w:tab w:leader="none" w:pos="2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net transfers in (out) of Level 3 during the nine months ended September 30, 2026 were exclusively from (into) Level 2.</w:t>
      </w:r>
    </w:p>
    <w:p>
      <w:pPr>
        <w:spacing w:after="0" w:line="49" w:lineRule="exact"/>
        <w:rPr>
          <w:rFonts w:ascii="Times New Roman" w:cs="Times New Roman" w:eastAsia="Times New Roman" w:hAnsi="Times New Roman"/>
          <w:sz w:val="14"/>
          <w:szCs w:val="14"/>
          <w:color w:val="auto"/>
        </w:rPr>
      </w:pPr>
    </w:p>
    <w:p>
      <w:pPr>
        <w:ind w:left="200" w:hanging="194"/>
        <w:spacing w:after="0"/>
        <w:tabs>
          <w:tab w:leader="none" w:pos="2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Refer to Note N </w:t>
      </w:r>
      <w:r>
        <w:rPr>
          <w:rFonts w:ascii="Times New Roman" w:cs="Times New Roman" w:eastAsia="Times New Roman" w:hAnsi="Times New Roman"/>
          <w:sz w:val="14"/>
          <w:szCs w:val="14"/>
          <w:i w:val="1"/>
          <w:iCs w:val="1"/>
          <w:color w:val="auto"/>
        </w:rPr>
        <w:t>Market Risk Benefits</w:t>
      </w:r>
      <w:r>
        <w:rPr>
          <w:rFonts w:ascii="Times New Roman" w:cs="Times New Roman" w:eastAsia="Times New Roman" w:hAnsi="Times New Roman"/>
          <w:sz w:val="14"/>
          <w:szCs w:val="14"/>
          <w:color w:val="auto"/>
        </w:rPr>
        <w:t xml:space="preserve"> for roll forward activity of the net Market Risk Benefits Asset and Liability.</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40" w:type="dxa"/>
            <w:vAlign w:val="bottom"/>
            <w:gridSpan w:val="8"/>
          </w:tcPr>
          <w:p>
            <w:pPr>
              <w:ind w:left="200"/>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4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Total (Losses) Gains</w:t>
            </w: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vMerge w:val="restart"/>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vMerge w:val="restart"/>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Net Transfer</w:t>
            </w:r>
          </w:p>
        </w:tc>
        <w:tc>
          <w:tcPr>
            <w:tcW w:w="80" w:type="dxa"/>
            <w:vAlign w:val="bottom"/>
          </w:tcPr>
          <w:p>
            <w:pPr>
              <w:spacing w:after="0"/>
              <w:rPr>
                <w:sz w:val="4"/>
                <w:szCs w:val="4"/>
                <w:color w:val="auto"/>
              </w:rPr>
            </w:pPr>
          </w:p>
        </w:tc>
        <w:tc>
          <w:tcPr>
            <w:tcW w:w="74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w w:val="98"/>
              </w:rPr>
              <w:t>Balance at</w:t>
            </w: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Included in</w:t>
            </w:r>
          </w:p>
        </w:tc>
        <w:tc>
          <w:tcPr>
            <w:tcW w:w="9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Included in</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49"/>
              <w:spacing w:after="0" w:line="144"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69"/>
              <w:spacing w:after="0" w:line="146"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10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Purchases</w:t>
            </w:r>
          </w:p>
        </w:tc>
        <w:tc>
          <w:tcPr>
            <w:tcW w:w="120" w:type="dxa"/>
            <w:vAlign w:val="bottom"/>
          </w:tcPr>
          <w:p>
            <w:pPr>
              <w:spacing w:after="0"/>
              <w:rPr>
                <w:sz w:val="12"/>
                <w:szCs w:val="12"/>
                <w:color w:val="auto"/>
              </w:rPr>
            </w:pPr>
          </w:p>
        </w:tc>
        <w:tc>
          <w:tcPr>
            <w:tcW w:w="7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40" w:type="dxa"/>
            <w:vAlign w:val="bottom"/>
          </w:tcPr>
          <w:p>
            <w:pPr>
              <w:spacing w:after="0"/>
              <w:rPr>
                <w:sz w:val="12"/>
                <w:szCs w:val="12"/>
                <w:color w:val="auto"/>
              </w:rPr>
            </w:pP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Settlements</w:t>
            </w:r>
          </w:p>
        </w:tc>
        <w:tc>
          <w:tcPr>
            <w:tcW w:w="80" w:type="dxa"/>
            <w:vAlign w:val="bottom"/>
          </w:tcPr>
          <w:p>
            <w:pPr>
              <w:spacing w:after="0"/>
              <w:rPr>
                <w:sz w:val="12"/>
                <w:szCs w:val="12"/>
                <w:color w:val="auto"/>
              </w:rPr>
            </w:pPr>
          </w:p>
        </w:tc>
        <w:tc>
          <w:tcPr>
            <w:tcW w:w="860" w:type="dxa"/>
            <w:vAlign w:val="bottom"/>
            <w:gridSpan w:val="2"/>
          </w:tcPr>
          <w:p>
            <w:pPr>
              <w:ind w:left="160"/>
              <w:spacing w:after="0" w:line="146" w:lineRule="exact"/>
              <w:rPr>
                <w:sz w:val="20"/>
                <w:szCs w:val="20"/>
                <w:color w:val="auto"/>
              </w:rPr>
            </w:pPr>
            <w:r>
              <w:rPr>
                <w:rFonts w:ascii="Times New Roman" w:cs="Times New Roman" w:eastAsia="Times New Roman" w:hAnsi="Times New Roman"/>
                <w:sz w:val="14"/>
                <w:szCs w:val="14"/>
                <w:b w:val="1"/>
                <w:bCs w:val="1"/>
                <w:color w:val="auto"/>
              </w:rPr>
              <w:t>out of</w:t>
            </w:r>
          </w:p>
        </w:tc>
        <w:tc>
          <w:tcPr>
            <w:tcW w:w="80" w:type="dxa"/>
            <w:vAlign w:val="bottom"/>
          </w:tcPr>
          <w:p>
            <w:pPr>
              <w:spacing w:after="0"/>
              <w:rPr>
                <w:sz w:val="12"/>
                <w:szCs w:val="12"/>
                <w:color w:val="auto"/>
              </w:rPr>
            </w:pPr>
          </w:p>
        </w:tc>
        <w:tc>
          <w:tcPr>
            <w:tcW w:w="740" w:type="dxa"/>
            <w:vAlign w:val="bottom"/>
          </w:tcPr>
          <w:p>
            <w:pPr>
              <w:jc w:val="right"/>
              <w:ind w:right="149"/>
              <w:spacing w:after="0" w:line="146" w:lineRule="exact"/>
              <w:rPr>
                <w:sz w:val="20"/>
                <w:szCs w:val="20"/>
                <w:color w:val="auto"/>
              </w:rPr>
            </w:pPr>
            <w:r>
              <w:rPr>
                <w:rFonts w:ascii="Times New Roman" w:cs="Times New Roman" w:eastAsia="Times New Roman" w:hAnsi="Times New Roman"/>
                <w:sz w:val="14"/>
                <w:szCs w:val="14"/>
                <w:b w:val="1"/>
                <w:bCs w:val="1"/>
                <w:color w:val="auto"/>
              </w:rPr>
              <w:t>End of</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49"/>
              <w:spacing w:after="0" w:line="146" w:lineRule="exact"/>
              <w:rPr>
                <w:sz w:val="20"/>
                <w:szCs w:val="20"/>
                <w:color w:val="auto"/>
              </w:rPr>
            </w:pPr>
            <w:r>
              <w:rPr>
                <w:rFonts w:ascii="Times New Roman" w:cs="Times New Roman" w:eastAsia="Times New Roman" w:hAnsi="Times New Roman"/>
                <w:sz w:val="14"/>
                <w:szCs w:val="14"/>
                <w:b w:val="1"/>
                <w:bCs w:val="1"/>
                <w:color w:val="auto"/>
              </w:rPr>
              <w:t>Included in</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Earnings</w:t>
            </w: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AOCL</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Level 3 (a)</w:t>
            </w:r>
          </w:p>
        </w:tc>
        <w:tc>
          <w:tcPr>
            <w:tcW w:w="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w w:val="98"/>
              </w:rPr>
              <w:t>OCI</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00" w:type="dxa"/>
            <w:vAlign w:val="bottom"/>
            <w:gridSpan w:val="3"/>
          </w:tcPr>
          <w:p>
            <w:pPr>
              <w:spacing w:after="0" w:line="159" w:lineRule="exact"/>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shd w:val="clear" w:color="auto" w:fill="CCEEFF"/>
          </w:tcPr>
          <w:p>
            <w:pPr>
              <w:spacing w:after="0"/>
              <w:rPr>
                <w:sz w:val="13"/>
                <w:szCs w:val="13"/>
                <w:color w:val="auto"/>
              </w:rPr>
            </w:pPr>
          </w:p>
        </w:tc>
        <w:tc>
          <w:tcPr>
            <w:tcW w:w="2400" w:type="dxa"/>
            <w:vAlign w:val="bottom"/>
            <w:gridSpan w:val="3"/>
            <w:shd w:val="clear" w:color="auto" w:fill="CCEEFF"/>
          </w:tcPr>
          <w:p>
            <w:pPr>
              <w:spacing w:after="0" w:line="150" w:lineRule="exact"/>
              <w:rPr>
                <w:sz w:val="20"/>
                <w:szCs w:val="20"/>
                <w:color w:val="auto"/>
              </w:rPr>
            </w:pPr>
            <w:r>
              <w:rPr>
                <w:rFonts w:ascii="Times New Roman" w:cs="Times New Roman" w:eastAsia="Times New Roman" w:hAnsi="Times New Roman"/>
                <w:sz w:val="14"/>
                <w:szCs w:val="14"/>
                <w:color w:val="auto"/>
              </w:rPr>
              <w:t>Fixed maturity securities available-for-</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0" w:type="dxa"/>
            <w:vAlign w:val="bottom"/>
            <w:shd w:val="clear" w:color="auto" w:fill="CCEEFF"/>
          </w:tcPr>
          <w:p>
            <w:pPr>
              <w:spacing w:after="0"/>
              <w:rPr>
                <w:sz w:val="16"/>
                <w:szCs w:val="16"/>
                <w:color w:val="auto"/>
              </w:rPr>
            </w:pPr>
          </w:p>
        </w:tc>
        <w:tc>
          <w:tcPr>
            <w:tcW w:w="2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sale:</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40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Asset-backed securities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8,143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2,586</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(882)</w:t>
            </w:r>
          </w:p>
        </w:tc>
        <w:tc>
          <w:tcPr>
            <w:tcW w:w="120" w:type="dxa"/>
            <w:vAlign w:val="bottom"/>
          </w:tcPr>
          <w:p>
            <w:pPr>
              <w:spacing w:after="0"/>
              <w:rPr>
                <w:sz w:val="16"/>
                <w:szCs w:val="16"/>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9,469</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shd w:val="clear" w:color="auto" w:fill="CCEEFF"/>
          </w:tcPr>
          <w:p>
            <w:pPr>
              <w:spacing w:after="0"/>
              <w:rPr>
                <w:sz w:val="13"/>
                <w:szCs w:val="13"/>
                <w:color w:val="auto"/>
              </w:rPr>
            </w:pPr>
          </w:p>
        </w:tc>
        <w:tc>
          <w:tcPr>
            <w:tcW w:w="2400" w:type="dxa"/>
            <w:vAlign w:val="bottom"/>
            <w:gridSpan w:val="3"/>
            <w:shd w:val="clear" w:color="auto" w:fill="CCEEFF"/>
          </w:tcPr>
          <w:p>
            <w:pPr>
              <w:ind w:left="200"/>
              <w:spacing w:after="0" w:line="150" w:lineRule="exact"/>
              <w:rPr>
                <w:sz w:val="20"/>
                <w:szCs w:val="20"/>
                <w:color w:val="auto"/>
              </w:rPr>
            </w:pPr>
            <w:r>
              <w:rPr>
                <w:rFonts w:ascii="Times New Roman" w:cs="Times New Roman" w:eastAsia="Times New Roman" w:hAnsi="Times New Roman"/>
                <w:sz w:val="14"/>
                <w:szCs w:val="14"/>
                <w:color w:val="auto"/>
              </w:rPr>
              <w:t>Commercial mortgage-backed</w:t>
            </w:r>
          </w:p>
        </w:tc>
        <w:tc>
          <w:tcPr>
            <w:tcW w:w="12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0" w:type="dxa"/>
            <w:vAlign w:val="bottom"/>
            <w:shd w:val="clear" w:color="auto" w:fill="CCEEFF"/>
          </w:tcPr>
          <w:p>
            <w:pPr>
              <w:spacing w:after="0"/>
              <w:rPr>
                <w:sz w:val="16"/>
                <w:szCs w:val="16"/>
                <w:color w:val="auto"/>
              </w:rPr>
            </w:pPr>
          </w:p>
        </w:tc>
        <w:tc>
          <w:tcPr>
            <w:tcW w:w="24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securities</w:t>
            </w: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40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Corporates</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2400" w:type="dxa"/>
            <w:vAlign w:val="bottom"/>
            <w:tcBorders>
              <w:bottom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Hybrids</w:t>
            </w: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40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Municipals</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shd w:val="clear" w:color="auto" w:fill="CCEEFF"/>
          </w:tcPr>
          <w:p>
            <w:pPr>
              <w:spacing w:after="0"/>
              <w:rPr>
                <w:sz w:val="13"/>
                <w:szCs w:val="13"/>
                <w:color w:val="auto"/>
              </w:rPr>
            </w:pPr>
          </w:p>
        </w:tc>
        <w:tc>
          <w:tcPr>
            <w:tcW w:w="2400" w:type="dxa"/>
            <w:vAlign w:val="bottom"/>
            <w:gridSpan w:val="3"/>
            <w:shd w:val="clear" w:color="auto" w:fill="CCEEFF"/>
          </w:tcPr>
          <w:p>
            <w:pPr>
              <w:ind w:left="200"/>
              <w:spacing w:after="0" w:line="150" w:lineRule="exact"/>
              <w:rPr>
                <w:sz w:val="20"/>
                <w:szCs w:val="20"/>
                <w:color w:val="auto"/>
              </w:rPr>
            </w:pPr>
            <w:r>
              <w:rPr>
                <w:rFonts w:ascii="Times New Roman" w:cs="Times New Roman" w:eastAsia="Times New Roman" w:hAnsi="Times New Roman"/>
                <w:sz w:val="14"/>
                <w:szCs w:val="14"/>
                <w:color w:val="auto"/>
              </w:rPr>
              <w:t>Residential mortgage-backed</w:t>
            </w:r>
          </w:p>
        </w:tc>
        <w:tc>
          <w:tcPr>
            <w:tcW w:w="12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0" w:type="dxa"/>
            <w:vAlign w:val="bottom"/>
            <w:shd w:val="clear" w:color="auto" w:fill="CCEEFF"/>
          </w:tcPr>
          <w:p>
            <w:pPr>
              <w:spacing w:after="0"/>
              <w:rPr>
                <w:sz w:val="16"/>
                <w:szCs w:val="16"/>
                <w:color w:val="auto"/>
              </w:rPr>
            </w:pPr>
          </w:p>
        </w:tc>
        <w:tc>
          <w:tcPr>
            <w:tcW w:w="24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securities</w:t>
            </w: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40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Foreign Governments</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24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Preferred equity securities</w:t>
            </w: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4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Common equity securities</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24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Derivative investments</w:t>
            </w: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4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Investment in unconsolidated affiliates</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24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Short term investments</w:t>
            </w: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4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Other long-term investments:</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shd w:val="clear" w:color="auto" w:fill="CCEEFF"/>
          </w:tcPr>
          <w:p>
            <w:pPr>
              <w:spacing w:after="0"/>
              <w:rPr>
                <w:sz w:val="13"/>
                <w:szCs w:val="13"/>
                <w:color w:val="auto"/>
              </w:rPr>
            </w:pPr>
          </w:p>
        </w:tc>
        <w:tc>
          <w:tcPr>
            <w:tcW w:w="2400" w:type="dxa"/>
            <w:vAlign w:val="bottom"/>
            <w:gridSpan w:val="3"/>
            <w:shd w:val="clear" w:color="auto" w:fill="CCEEFF"/>
          </w:tcPr>
          <w:p>
            <w:pPr>
              <w:ind w:left="200"/>
              <w:spacing w:after="0" w:line="150" w:lineRule="exact"/>
              <w:rPr>
                <w:sz w:val="20"/>
                <w:szCs w:val="20"/>
                <w:color w:val="auto"/>
              </w:rPr>
            </w:pPr>
            <w:r>
              <w:rPr>
                <w:rFonts w:ascii="Times New Roman" w:cs="Times New Roman" w:eastAsia="Times New Roman" w:hAnsi="Times New Roman"/>
                <w:sz w:val="14"/>
                <w:szCs w:val="14"/>
                <w:color w:val="auto"/>
              </w:rPr>
              <w:t>Available-for-sale embedded</w:t>
            </w:r>
          </w:p>
        </w:tc>
        <w:tc>
          <w:tcPr>
            <w:tcW w:w="12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95"/>
        </w:trPr>
        <w:tc>
          <w:tcPr>
            <w:tcW w:w="20" w:type="dxa"/>
            <w:vAlign w:val="bottom"/>
            <w:shd w:val="clear" w:color="auto" w:fill="CCEEFF"/>
          </w:tcPr>
          <w:p>
            <w:pPr>
              <w:spacing w:after="0"/>
              <w:rPr>
                <w:sz w:val="16"/>
                <w:szCs w:val="16"/>
                <w:color w:val="auto"/>
              </w:rPr>
            </w:pPr>
          </w:p>
        </w:tc>
        <w:tc>
          <w:tcPr>
            <w:tcW w:w="24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derivative</w:t>
            </w: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4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Reinsurance recoverable:</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shd w:val="clear" w:color="auto" w:fill="CCEEFF"/>
          </w:tcPr>
          <w:p>
            <w:pPr>
              <w:spacing w:after="0"/>
              <w:rPr>
                <w:sz w:val="13"/>
                <w:szCs w:val="13"/>
                <w:color w:val="auto"/>
              </w:rPr>
            </w:pPr>
          </w:p>
        </w:tc>
        <w:tc>
          <w:tcPr>
            <w:tcW w:w="2400" w:type="dxa"/>
            <w:vAlign w:val="bottom"/>
            <w:gridSpan w:val="3"/>
            <w:shd w:val="clear" w:color="auto" w:fill="CCEEFF"/>
          </w:tcPr>
          <w:p>
            <w:pPr>
              <w:ind w:left="200"/>
              <w:spacing w:after="0" w:line="150" w:lineRule="exact"/>
              <w:rPr>
                <w:sz w:val="20"/>
                <w:szCs w:val="20"/>
                <w:color w:val="auto"/>
              </w:rPr>
            </w:pPr>
            <w:r>
              <w:rPr>
                <w:rFonts w:ascii="Times New Roman" w:cs="Times New Roman" w:eastAsia="Times New Roman" w:hAnsi="Times New Roman"/>
                <w:sz w:val="14"/>
                <w:szCs w:val="14"/>
                <w:color w:val="auto"/>
              </w:rPr>
              <w:t>Indexed annuities/IUL ceded</w:t>
            </w:r>
          </w:p>
        </w:tc>
        <w:tc>
          <w:tcPr>
            <w:tcW w:w="12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0" w:type="dxa"/>
            <w:vAlign w:val="bottom"/>
            <w:shd w:val="clear" w:color="auto" w:fill="CCEEFF"/>
          </w:tcPr>
          <w:p>
            <w:pPr>
              <w:spacing w:after="0"/>
              <w:rPr>
                <w:sz w:val="16"/>
                <w:szCs w:val="16"/>
                <w:color w:val="auto"/>
              </w:rPr>
            </w:pPr>
          </w:p>
        </w:tc>
        <w:tc>
          <w:tcPr>
            <w:tcW w:w="24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embedded derivatives</w:t>
            </w: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4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2400" w:type="dxa"/>
            <w:vAlign w:val="bottom"/>
            <w:tcBorders>
              <w:bottom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Loan receivable (b)</w:t>
            </w: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4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MSRs</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0" w:type="dxa"/>
            <w:vAlign w:val="bottom"/>
            <w:shd w:val="clear" w:color="auto" w:fill="CCEEFF"/>
          </w:tcPr>
          <w:p>
            <w:pPr>
              <w:spacing w:after="0"/>
              <w:rPr>
                <w:sz w:val="11"/>
                <w:szCs w:val="11"/>
                <w:color w:val="auto"/>
              </w:rPr>
            </w:pPr>
          </w:p>
        </w:tc>
        <w:tc>
          <w:tcPr>
            <w:tcW w:w="2400" w:type="dxa"/>
            <w:vAlign w:val="bottom"/>
            <w:gridSpan w:val="3"/>
            <w:shd w:val="clear" w:color="auto" w:fill="CCEEFF"/>
          </w:tcPr>
          <w:p>
            <w:pPr>
              <w:ind w:left="320"/>
              <w:spacing w:after="0" w:line="128" w:lineRule="exact"/>
              <w:rPr>
                <w:sz w:val="20"/>
                <w:szCs w:val="20"/>
                <w:color w:val="auto"/>
              </w:rPr>
            </w:pPr>
            <w:r>
              <w:rPr>
                <w:rFonts w:ascii="Times New Roman" w:cs="Times New Roman" w:eastAsia="Times New Roman" w:hAnsi="Times New Roman"/>
                <w:sz w:val="14"/>
                <w:szCs w:val="14"/>
                <w:b w:val="1"/>
                <w:bCs w:val="1"/>
                <w:color w:val="auto"/>
              </w:rPr>
              <w:t>Subtotal Level 3 assets at fair</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11,643</w:t>
            </w:r>
          </w:p>
        </w:tc>
        <w:tc>
          <w:tcPr>
            <w:tcW w:w="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10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4,134</w:t>
            </w:r>
          </w:p>
        </w:tc>
        <w:tc>
          <w:tcPr>
            <w:tcW w:w="10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(876)</w:t>
            </w:r>
          </w:p>
        </w:tc>
        <w:tc>
          <w:tcPr>
            <w:tcW w:w="10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(1,240)</w:t>
            </w:r>
          </w:p>
        </w:tc>
        <w:tc>
          <w:tcPr>
            <w:tcW w:w="120" w:type="dxa"/>
            <w:vAlign w:val="bottom"/>
            <w:shd w:val="clear" w:color="auto" w:fill="CCEEFF"/>
          </w:tcPr>
          <w:p>
            <w:pPr>
              <w:spacing w:after="0"/>
              <w:rPr>
                <w:sz w:val="11"/>
                <w:szCs w:val="11"/>
                <w:color w:val="auto"/>
              </w:rPr>
            </w:pPr>
          </w:p>
        </w:tc>
        <w:tc>
          <w:tcPr>
            <w:tcW w:w="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120" w:type="dxa"/>
            <w:vAlign w:val="bottom"/>
            <w:shd w:val="clear" w:color="auto" w:fill="CCEEFF"/>
          </w:tcPr>
          <w:p>
            <w:pPr>
              <w:spacing w:after="0"/>
              <w:rPr>
                <w:sz w:val="11"/>
                <w:szCs w:val="11"/>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13,663</w:t>
            </w:r>
          </w:p>
        </w:tc>
        <w:tc>
          <w:tcPr>
            <w:tcW w:w="2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0" w:type="dxa"/>
            <w:vAlign w:val="bottom"/>
          </w:tcPr>
          <w:p>
            <w:pPr>
              <w:spacing w:after="0"/>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240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220" w:type="dxa"/>
            <w:vAlign w:val="bottom"/>
            <w:gridSpan w:val="2"/>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220" w:type="dxa"/>
            <w:vAlign w:val="bottom"/>
            <w:gridSpan w:val="2"/>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4"/>
                <w:szCs w:val="14"/>
                <w:color w:val="auto"/>
              </w:rPr>
              <w:t>Market risk benefits asset (c)</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240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19"/>
                <w:szCs w:val="19"/>
                <w:color w:val="auto"/>
              </w:rPr>
            </w:pPr>
          </w:p>
        </w:tc>
        <w:tc>
          <w:tcPr>
            <w:tcW w:w="240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4"/>
                <w:szCs w:val="14"/>
                <w:b w:val="1"/>
                <w:bCs w:val="1"/>
                <w:color w:val="auto"/>
              </w:rPr>
              <w:t>Total Level 3 assets at fair value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11,832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13,905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2400" w:type="dxa"/>
            <w:vAlign w:val="bottom"/>
            <w:tcBorders>
              <w:top w:val="single" w:sz="8" w:color="CCEEFF"/>
              <w:bottom w:val="single" w:sz="8" w:color="CCEEFF"/>
            </w:tcBorders>
            <w:gridSpan w:val="3"/>
            <w:vMerge w:val="restart"/>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20" w:type="dxa"/>
            <w:vAlign w:val="bottom"/>
            <w:vMerge w:val="continue"/>
          </w:tcPr>
          <w:p>
            <w:pPr>
              <w:spacing w:after="0"/>
              <w:rPr>
                <w:sz w:val="9"/>
                <w:szCs w:val="9"/>
                <w:color w:val="auto"/>
              </w:rPr>
            </w:pPr>
          </w:p>
        </w:tc>
        <w:tc>
          <w:tcPr>
            <w:tcW w:w="240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shd w:val="clear" w:color="auto" w:fill="CCEEFF"/>
          </w:tcPr>
          <w:p>
            <w:pPr>
              <w:spacing w:after="0"/>
              <w:rPr>
                <w:sz w:val="13"/>
                <w:szCs w:val="13"/>
                <w:color w:val="auto"/>
              </w:rPr>
            </w:pPr>
          </w:p>
        </w:tc>
        <w:tc>
          <w:tcPr>
            <w:tcW w:w="2400" w:type="dxa"/>
            <w:vAlign w:val="bottom"/>
            <w:gridSpan w:val="3"/>
            <w:shd w:val="clear" w:color="auto" w:fill="CCEEFF"/>
          </w:tcPr>
          <w:p>
            <w:pPr>
              <w:spacing w:after="0" w:line="150" w:lineRule="exact"/>
              <w:rPr>
                <w:sz w:val="20"/>
                <w:szCs w:val="20"/>
                <w:color w:val="auto"/>
              </w:rPr>
            </w:pPr>
            <w:r>
              <w:rPr>
                <w:rFonts w:ascii="Times New Roman" w:cs="Times New Roman" w:eastAsia="Times New Roman" w:hAnsi="Times New Roman"/>
                <w:sz w:val="14"/>
                <w:szCs w:val="14"/>
                <w:color w:val="auto"/>
              </w:rPr>
              <w:t>Indexed annuity/IUL embedded</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400" w:type="dxa"/>
            <w:vAlign w:val="bottom"/>
            <w:gridSpan w:val="3"/>
            <w:shd w:val="clear" w:color="auto" w:fill="CCEEFF"/>
          </w:tcPr>
          <w:p>
            <w:pPr>
              <w:ind w:left="160"/>
              <w:spacing w:after="0" w:line="142" w:lineRule="exact"/>
              <w:rPr>
                <w:sz w:val="20"/>
                <w:szCs w:val="20"/>
                <w:color w:val="auto"/>
              </w:rPr>
            </w:pPr>
            <w:r>
              <w:rPr>
                <w:rFonts w:ascii="Times New Roman" w:cs="Times New Roman" w:eastAsia="Times New Roman" w:hAnsi="Times New Roman"/>
                <w:sz w:val="14"/>
                <w:szCs w:val="14"/>
                <w:color w:val="auto"/>
              </w:rPr>
              <w:t>derivatives, included in contractholder</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5,220</w:t>
            </w:r>
          </w:p>
        </w:tc>
        <w:tc>
          <w:tcPr>
            <w:tcW w:w="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899</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w:t>
            </w:r>
          </w:p>
        </w:tc>
        <w:tc>
          <w:tcPr>
            <w:tcW w:w="120" w:type="dxa"/>
            <w:vAlign w:val="bottom"/>
            <w:shd w:val="clear" w:color="auto" w:fill="CCEEFF"/>
          </w:tcPr>
          <w:p>
            <w:pPr>
              <w:spacing w:after="0"/>
              <w:rPr>
                <w:sz w:val="12"/>
                <w:szCs w:val="12"/>
                <w:color w:val="auto"/>
              </w:rPr>
            </w:pPr>
          </w:p>
        </w:tc>
        <w:tc>
          <w:tcPr>
            <w:tcW w:w="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6,083</w:t>
            </w:r>
          </w:p>
        </w:tc>
        <w:tc>
          <w:tcPr>
            <w:tcW w:w="2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24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funds</w:t>
            </w:r>
          </w:p>
        </w:tc>
        <w:tc>
          <w:tcPr>
            <w:tcW w:w="120" w:type="dxa"/>
            <w:vAlign w:val="bottom"/>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220" w:type="dxa"/>
            <w:vAlign w:val="bottom"/>
            <w:gridSpan w:val="2"/>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220" w:type="dxa"/>
            <w:vAlign w:val="bottom"/>
            <w:gridSpan w:val="2"/>
            <w:vMerge w:val="continue"/>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400" w:type="dxa"/>
            <w:vAlign w:val="bottom"/>
            <w:gridSpan w:val="3"/>
          </w:tcPr>
          <w:p>
            <w:pPr>
              <w:spacing w:after="0" w:line="150" w:lineRule="exact"/>
              <w:rPr>
                <w:sz w:val="20"/>
                <w:szCs w:val="20"/>
                <w:color w:val="auto"/>
              </w:rPr>
            </w:pPr>
            <w:r>
              <w:rPr>
                <w:rFonts w:ascii="Times New Roman" w:cs="Times New Roman" w:eastAsia="Times New Roman" w:hAnsi="Times New Roman"/>
                <w:sz w:val="14"/>
                <w:szCs w:val="14"/>
                <w:color w:val="auto"/>
              </w:rPr>
              <w:t>Interest rate swaps, included in Accounts</w:t>
            </w:r>
          </w:p>
        </w:tc>
        <w:tc>
          <w:tcPr>
            <w:tcW w:w="12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78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1000" w:type="dxa"/>
            <w:vAlign w:val="bottom"/>
            <w:gridSpan w:val="2"/>
            <w:vMerge w:val="restart"/>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86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0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payable and accrued liabilities</w:t>
            </w: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2400" w:type="dxa"/>
            <w:vAlign w:val="bottom"/>
            <w:gridSpan w:val="3"/>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Contingent consideration obligation,</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400" w:type="dxa"/>
            <w:vAlign w:val="bottom"/>
            <w:gridSpan w:val="3"/>
            <w:shd w:val="clear" w:color="auto" w:fill="CCEEFF"/>
          </w:tcPr>
          <w:p>
            <w:pPr>
              <w:ind w:left="160"/>
              <w:spacing w:after="0" w:line="142" w:lineRule="exact"/>
              <w:rPr>
                <w:sz w:val="20"/>
                <w:szCs w:val="20"/>
                <w:color w:val="auto"/>
              </w:rPr>
            </w:pPr>
            <w:r>
              <w:rPr>
                <w:rFonts w:ascii="Times New Roman" w:cs="Times New Roman" w:eastAsia="Times New Roman" w:hAnsi="Times New Roman"/>
                <w:sz w:val="14"/>
                <w:szCs w:val="14"/>
                <w:color w:val="auto"/>
              </w:rPr>
              <w:t>included in Accounts payable and</w:t>
            </w:r>
          </w:p>
        </w:tc>
        <w:tc>
          <w:tcPr>
            <w:tcW w:w="1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24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accrued liabilities</w:t>
            </w: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400" w:type="dxa"/>
            <w:vAlign w:val="bottom"/>
            <w:gridSpan w:val="3"/>
          </w:tcPr>
          <w:p>
            <w:pPr>
              <w:ind w:left="320"/>
              <w:spacing w:after="0" w:line="128" w:lineRule="exact"/>
              <w:rPr>
                <w:sz w:val="20"/>
                <w:szCs w:val="20"/>
                <w:color w:val="auto"/>
              </w:rPr>
            </w:pPr>
            <w:r>
              <w:rPr>
                <w:rFonts w:ascii="Times New Roman" w:cs="Times New Roman" w:eastAsia="Times New Roman" w:hAnsi="Times New Roman"/>
                <w:sz w:val="14"/>
                <w:szCs w:val="14"/>
                <w:b w:val="1"/>
                <w:bCs w:val="1"/>
                <w:color w:val="auto"/>
              </w:rPr>
              <w:t>Subtotal Level 3 liabilities at fair</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5,294</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10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899</w:t>
            </w: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(357)</w:t>
            </w:r>
          </w:p>
        </w:tc>
        <w:tc>
          <w:tcPr>
            <w:tcW w:w="120" w:type="dxa"/>
            <w:vAlign w:val="bottom"/>
          </w:tcPr>
          <w:p>
            <w:pPr>
              <w:spacing w:after="0"/>
              <w:rPr>
                <w:sz w:val="11"/>
                <w:szCs w:val="11"/>
                <w:color w:val="auto"/>
              </w:rPr>
            </w:pPr>
          </w:p>
        </w:tc>
        <w:tc>
          <w:tcPr>
            <w:tcW w:w="8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6,161</w:t>
            </w:r>
          </w:p>
        </w:tc>
        <w:tc>
          <w:tcPr>
            <w:tcW w:w="2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40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Market risk benefits liability (c)</w:t>
            </w: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830</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400" w:type="dxa"/>
            <w:vAlign w:val="bottom"/>
            <w:gridSpan w:val="3"/>
          </w:tcPr>
          <w:p>
            <w:pPr>
              <w:ind w:left="320"/>
              <w:spacing w:after="0" w:line="128" w:lineRule="exact"/>
              <w:rPr>
                <w:sz w:val="20"/>
                <w:szCs w:val="20"/>
                <w:color w:val="auto"/>
              </w:rPr>
            </w:pPr>
            <w:r>
              <w:rPr>
                <w:rFonts w:ascii="Times New Roman" w:cs="Times New Roman" w:eastAsia="Times New Roman" w:hAnsi="Times New Roman"/>
                <w:sz w:val="14"/>
                <w:szCs w:val="14"/>
                <w:b w:val="1"/>
                <w:bCs w:val="1"/>
                <w:color w:val="auto"/>
              </w:rPr>
              <w:t>Total Level 3 liabilities at fair</w:t>
            </w: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5,843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6,991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4"/>
                <w:szCs w:val="14"/>
                <w:color w:val="auto"/>
              </w:rPr>
            </w:pPr>
          </w:p>
        </w:tc>
        <w:tc>
          <w:tcPr>
            <w:tcW w:w="240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Borders>
              <w:bottom w:val="single" w:sz="8" w:color="auto"/>
            </w:tcBorders>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0" w:lineRule="exact"/>
        <w:rPr>
          <w:sz w:val="20"/>
          <w:szCs w:val="20"/>
          <w:color w:val="auto"/>
        </w:rPr>
      </w:pPr>
    </w:p>
    <w:p>
      <w:pPr>
        <w:ind w:left="200" w:hanging="194"/>
        <w:spacing w:after="0"/>
        <w:tabs>
          <w:tab w:leader="none" w:pos="2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net transfers out of Level 3 during the nine months ended September 30, 2025 were exclusively into Level 2.</w:t>
      </w:r>
    </w:p>
    <w:p>
      <w:pPr>
        <w:spacing w:after="0" w:line="49" w:lineRule="exact"/>
        <w:rPr>
          <w:rFonts w:ascii="Times New Roman" w:cs="Times New Roman" w:eastAsia="Times New Roman" w:hAnsi="Times New Roman"/>
          <w:sz w:val="14"/>
          <w:szCs w:val="14"/>
          <w:color w:val="auto"/>
        </w:rPr>
      </w:pPr>
    </w:p>
    <w:p>
      <w:pPr>
        <w:ind w:left="200" w:hanging="194"/>
        <w:spacing w:after="0"/>
        <w:tabs>
          <w:tab w:leader="none" w:pos="2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Purchases represent advances on the loan commitment to Roar. Refer to Note F </w:t>
      </w:r>
      <w:r>
        <w:rPr>
          <w:rFonts w:ascii="Times New Roman" w:cs="Times New Roman" w:eastAsia="Times New Roman" w:hAnsi="Times New Roman"/>
          <w:sz w:val="14"/>
          <w:szCs w:val="14"/>
          <w:i w:val="1"/>
          <w:iCs w:val="1"/>
          <w:color w:val="auto"/>
        </w:rPr>
        <w:t>Commitments and Contingencies</w:t>
      </w:r>
      <w:r>
        <w:rPr>
          <w:rFonts w:ascii="Times New Roman" w:cs="Times New Roman" w:eastAsia="Times New Roman" w:hAnsi="Times New Roman"/>
          <w:sz w:val="14"/>
          <w:szCs w:val="14"/>
          <w:color w:val="auto"/>
        </w:rPr>
        <w:t xml:space="preserve"> for further details.</w:t>
      </w:r>
    </w:p>
    <w:p>
      <w:pPr>
        <w:spacing w:after="0" w:line="64" w:lineRule="exact"/>
        <w:rPr>
          <w:rFonts w:ascii="Times New Roman" w:cs="Times New Roman" w:eastAsia="Times New Roman" w:hAnsi="Times New Roman"/>
          <w:sz w:val="14"/>
          <w:szCs w:val="14"/>
          <w:color w:val="auto"/>
        </w:rPr>
      </w:pPr>
    </w:p>
    <w:p>
      <w:pPr>
        <w:ind w:left="200" w:hanging="194"/>
        <w:spacing w:after="0"/>
        <w:tabs>
          <w:tab w:leader="none" w:pos="2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Refer to Note N </w:t>
      </w:r>
      <w:r>
        <w:rPr>
          <w:rFonts w:ascii="Times New Roman" w:cs="Times New Roman" w:eastAsia="Times New Roman" w:hAnsi="Times New Roman"/>
          <w:sz w:val="14"/>
          <w:szCs w:val="14"/>
          <w:i w:val="1"/>
          <w:iCs w:val="1"/>
          <w:color w:val="auto"/>
        </w:rPr>
        <w:t>Market Risk Benefits</w:t>
      </w:r>
      <w:r>
        <w:rPr>
          <w:rFonts w:ascii="Times New Roman" w:cs="Times New Roman" w:eastAsia="Times New Roman" w:hAnsi="Times New Roman"/>
          <w:sz w:val="14"/>
          <w:szCs w:val="14"/>
          <w:color w:val="auto"/>
        </w:rPr>
        <w:t xml:space="preserve"> for roll forward activity of the net Market Risk Benefits Asset and Liability.</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Fair Value Option</w:t>
      </w:r>
    </w:p>
    <w:p>
      <w:pPr>
        <w:spacing w:after="0" w:line="11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We have elected the FVO for certain investments held by consolidated VIEs, including certain loans reported in other long term investments. See Note D </w:t>
      </w:r>
      <w:r>
        <w:rPr>
          <w:rFonts w:ascii="Times New Roman" w:cs="Times New Roman" w:eastAsia="Times New Roman" w:hAnsi="Times New Roman"/>
          <w:sz w:val="18"/>
          <w:szCs w:val="18"/>
          <w:i w:val="1"/>
          <w:iCs w:val="1"/>
          <w:color w:val="auto"/>
        </w:rPr>
        <w:t xml:space="preserve">Investments </w:t>
      </w:r>
      <w:r>
        <w:rPr>
          <w:rFonts w:ascii="Times New Roman" w:cs="Times New Roman" w:eastAsia="Times New Roman" w:hAnsi="Times New Roman"/>
          <w:sz w:val="18"/>
          <w:szCs w:val="18"/>
          <w:color w:val="auto"/>
        </w:rPr>
        <w:t>for additional information on our investments in VIEs. As discussed above, we have also elected the FVO for certain other investments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unconsolidated affiliates and for a loan receivable.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regarding the assets for which the fair value option was elected.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4"/>
        </w:trPr>
        <w:tc>
          <w:tcPr>
            <w:tcW w:w="82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1"/>
        </w:trPr>
        <w:tc>
          <w:tcPr>
            <w:tcW w:w="8280" w:type="dxa"/>
            <w:vAlign w:val="bottom"/>
          </w:tcPr>
          <w:p>
            <w:pPr>
              <w:spacing w:after="0"/>
              <w:rPr>
                <w:sz w:val="15"/>
                <w:szCs w:val="15"/>
                <w:color w:val="auto"/>
              </w:rPr>
            </w:pPr>
          </w:p>
        </w:tc>
        <w:tc>
          <w:tcPr>
            <w:tcW w:w="1160" w:type="dxa"/>
            <w:vAlign w:val="bottom"/>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4"/>
        </w:trPr>
        <w:tc>
          <w:tcPr>
            <w:tcW w:w="82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72"/>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16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r>
      <w:tr>
        <w:trPr>
          <w:trHeight w:val="188"/>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Fixed maturity securities, at fair value under fair value option</w:t>
            </w:r>
          </w:p>
        </w:tc>
        <w:tc>
          <w:tcPr>
            <w:tcW w:w="1160" w:type="dxa"/>
            <w:vAlign w:val="bottom"/>
          </w:tcPr>
          <w:p>
            <w:pPr>
              <w:jc w:val="right"/>
              <w:ind w:right="98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Pr>
          <w:p>
            <w:pPr>
              <w:spacing w:after="0"/>
              <w:rPr>
                <w:sz w:val="16"/>
                <w:szCs w:val="16"/>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4"/>
        </w:trPr>
        <w:tc>
          <w:tcPr>
            <w:tcW w:w="8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92"/>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Investments in unconsolidated affiliates</w:t>
            </w:r>
          </w:p>
        </w:tc>
        <w:tc>
          <w:tcPr>
            <w:tcW w:w="1160" w:type="dxa"/>
            <w:vAlign w:val="bottom"/>
            <w:tcBorders>
              <w:bottom w:val="single" w:sz="8" w:color="CCEEFF"/>
            </w:tcBorders>
            <w:shd w:val="clear" w:color="auto" w:fill="CCEEFF"/>
          </w:tcPr>
          <w:p>
            <w:pPr>
              <w:jc w:val="right"/>
              <w:ind w:right="98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256</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w:t>
            </w:r>
          </w:p>
        </w:tc>
      </w:tr>
      <w:tr>
        <w:trPr>
          <w:trHeight w:val="188"/>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loans, within other long-term investments (a)</w:t>
            </w: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4"/>
        </w:trPr>
        <w:tc>
          <w:tcPr>
            <w:tcW w:w="8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92"/>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w:t>
            </w:r>
          </w:p>
        </w:tc>
        <w:tc>
          <w:tcPr>
            <w:tcW w:w="1160" w:type="dxa"/>
            <w:vAlign w:val="bottom"/>
            <w:tcBorders>
              <w:bottom w:val="single" w:sz="8" w:color="CCEEFF"/>
            </w:tcBorders>
            <w:shd w:val="clear" w:color="auto" w:fill="CCEEFF"/>
          </w:tcPr>
          <w:p>
            <w:pPr>
              <w:jc w:val="right"/>
              <w:ind w:right="98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296</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w:t>
            </w:r>
          </w:p>
        </w:tc>
      </w:tr>
      <w:tr>
        <w:trPr>
          <w:trHeight w:val="188"/>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Aggregate unpaid principal</w:t>
            </w:r>
          </w:p>
        </w:tc>
        <w:tc>
          <w:tcPr>
            <w:tcW w:w="116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299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r>
      <w:tr>
        <w:trPr>
          <w:trHeight w:val="24"/>
        </w:trPr>
        <w:tc>
          <w:tcPr>
            <w:tcW w:w="8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92"/>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 receivable, within prepaid expenses and other assets (b)</w:t>
            </w:r>
          </w:p>
        </w:tc>
        <w:tc>
          <w:tcPr>
            <w:tcW w:w="11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r>
      <w:tr>
        <w:trPr>
          <w:trHeight w:val="188"/>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Fair value</w:t>
            </w:r>
          </w:p>
        </w:tc>
        <w:tc>
          <w:tcPr>
            <w:tcW w:w="1160" w:type="dxa"/>
            <w:vAlign w:val="bottom"/>
          </w:tcPr>
          <w:p>
            <w:pPr>
              <w:jc w:val="right"/>
              <w:ind w:right="989"/>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24"/>
        </w:trPr>
        <w:tc>
          <w:tcPr>
            <w:tcW w:w="8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88"/>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Aggregate unpaid principal</w:t>
            </w:r>
          </w:p>
        </w:tc>
        <w:tc>
          <w:tcPr>
            <w:tcW w:w="116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24"/>
        </w:trPr>
        <w:tc>
          <w:tcPr>
            <w:tcW w:w="82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70" w:lineRule="exact"/>
        <w:rPr>
          <w:sz w:val="20"/>
          <w:szCs w:val="20"/>
          <w:color w:val="auto"/>
        </w:rPr>
      </w:pPr>
    </w:p>
    <w:p>
      <w:pPr>
        <w:ind w:firstLine="6"/>
        <w:spacing w:after="0" w:line="255" w:lineRule="auto"/>
        <w:tabs>
          <w:tab w:leader="none" w:pos="192"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loans are 90 days or more past due as of September 30, 2026 and December 31, 2025. There were $3 million and $0 of loans in nonaccrual status as of September 30, 2026 and December 31, 2025, respectively.</w:t>
      </w:r>
    </w:p>
    <w:p>
      <w:pPr>
        <w:ind w:left="200" w:hanging="194"/>
        <w:spacing w:after="0"/>
        <w:tabs>
          <w:tab w:leader="none" w:pos="2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loans are 90 days or more past due or in nonaccrual status as of September 30, 2026 and December 31, 2025.</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Methodologies and Associated Inputs for Financial Instruments Not Carried at Fair Value</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following discussion outlines the methodologies and assumptions used to determine the fair value of our financial instruments not carried at fair value. Considerable judgment is required to develop these assumptions used to measure fair value. Accordingly, the estimates shown are not necessarily indicative of the amounts that would be realized in a one-time, current market exchange of all of our financial instruments.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Mortgage Loans</w:t>
      </w:r>
    </w:p>
    <w:p>
      <w:pPr>
        <w:spacing w:after="0" w:line="11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fair value of mortgage loans is established using a discounted cash flow method based on internal credit rating, maturity, and future income. This yield-based approach is sourced from our third-party vendor. The internal ratings for mortgages in good standing are based on property type, location, market conditions, occupancy, debt service coverage, loan-to-value, quality of tenancy, borrower, and payment record. The inputs used to measure the fair value of our mortgage loans are classified as Level 3 within the fair value hierarchy.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 in Unconsolidated affiliates</w:t>
      </w:r>
    </w:p>
    <w:p>
      <w:pPr>
        <w:spacing w:after="0" w:line="11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our F&amp;G segment, the fair value of Investments in unconsolidated affiliates is primarily determined using NAV as a practical expedient and are included in the NAV column in the table below. Recognition of income and adjustments to the carrying amount are delayed due to the availability of the related financial statements, which are obtained from the general partner generally on a one to three-month delay. In our title segment, Investments in unconsolidated affiliates accounted for under the equity method of accounting were $192 million and $288 million as of September 30, 2026 and December 31, 2025, respectively.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Policy Loans</w:t>
      </w:r>
    </w:p>
    <w:p>
      <w:pPr>
        <w:spacing w:after="0" w:line="11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Policy loans are reported at the unpaid principal balance and are fully collateralized by the cash surrender value of underlying insurance policies. The carrying value of the policy loans approximates the fair value and are classified as Level 3 in the fair value hierarchy.</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Company Owned Life Insurance (included within Other long-term investments)</w:t>
      </w:r>
    </w:p>
    <w:p>
      <w:pPr>
        <w:spacing w:after="0" w:line="11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Company owned life insurance ("COLI") is a life insurance program used to finance certain employee benefit expenses. The fair value of COLI is based on net realizable value, which is generally cash surrender value. COLI is classified as Level 3 within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Invested Assets (included within Other long-term investments)</w:t>
      </w:r>
    </w:p>
    <w:p>
      <w:pPr>
        <w:spacing w:after="0" w:line="11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The fair value of bank loans is estimated using a discounted cash flow method with the discount rate based on weighted average cost of capital ("WACC"). This yield-based approach is sourced from a third-party vendor and the WACC establishes a market participant discount rate by determining the hypothetical capital structure for the asset should it be underwritten as of each period end. Bank loans are classified as Level 3 within the fair value hierarchy. For cost method investments, our carrying value approximates fair value. Cost method investments are classified as Level 1 within the fair value hierarchy.</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Contracts</w:t>
      </w:r>
    </w:p>
    <w:p>
      <w:pPr>
        <w:spacing w:after="0" w:line="113"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Investment contracts include deferred annuities (indexed annuities and fixed rate annuities), IUL policies, funding agreements and pension risk transfers ("PRT"), and immediate annuity contracts without life contingencies. The indexed annuities/IUL embedded derivatives, included in Contractholder funds, are excluded as they are carried at fair value. The fair value of the deferred annuities (indexed annuities and fixed rate annuities) and IUL contracts is based on their cash surrender value (i.e., the cost the Company would incur to extinguish the liability) as these contracts are generally issued without an annuitization date. The fair value of funding agreements and PRT and immediate annuity contracts without life contingencies is derived by calculating a new fair value interest rate using the updated yield curve and treasury spreads as of the respective reporting date. The Company is not required to, and has not, estimated the fair value of the liabilities under contracts that involve significant mortality or morbidity risks, as these liabilities fall within the definition of insurance contracts that are exceptions from financial instruments that require disclosures of fair value.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11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Federal Home Loan Bank of Atlanta (“FHLB”) common stock is carried at cost, which approximates fair value. The carrying amount of FHLB common stock represents the value it can be sold back to the FHLB and is classified as Level 2 within the hierarchy.</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fair value of debt, with the exception of the F&amp;G Credit Agreement is based on quoted market prices. The carrying value of the F&amp;G Credit</w:t>
      </w:r>
    </w:p>
    <w:p>
      <w:pPr>
        <w:spacing w:after="0" w:line="4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Agreement would approximate fair value as the rates would be comparable to those at which we could currently borrow under similar terms. As of September 30, 2026 and December 31, 2025, there were no outstanding balances under the F&amp;G Credit Agreement. The inputs used to measure the fair value of our outstanding debt are classified as Level 2 within the fair value hierarchy.</w:t>
      </w:r>
    </w:p>
    <w:p>
      <w:pPr>
        <w:spacing w:after="0" w:line="98" w:lineRule="exact"/>
        <w:rPr>
          <w:sz w:val="20"/>
          <w:szCs w:val="20"/>
          <w:color w:val="auto"/>
        </w:rPr>
      </w:pPr>
    </w:p>
    <w:p>
      <w:pPr>
        <w:jc w:val="both"/>
        <w:ind w:firstLine="397"/>
        <w:spacing w:after="0" w:line="274" w:lineRule="auto"/>
        <w:rPr>
          <w:sz w:val="20"/>
          <w:szCs w:val="20"/>
          <w:color w:val="auto"/>
        </w:rPr>
      </w:pPr>
      <w:r>
        <w:rPr>
          <w:rFonts w:ascii="Times New Roman" w:cs="Times New Roman" w:eastAsia="Times New Roman" w:hAnsi="Times New Roman"/>
          <w:sz w:val="18"/>
          <w:szCs w:val="18"/>
          <w:color w:val="auto"/>
        </w:rPr>
        <w:t>The following tables provide the carrying value and estimated fair value of our financial instruments that are carried on the unaudited Condensed Consolidated Balance Sheets at amounts other than fair value, summarized according to the fair value hierarchy previously described.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40" w:type="dxa"/>
            <w:vAlign w:val="bottom"/>
            <w:gridSpan w:val="5"/>
          </w:tcPr>
          <w:p>
            <w:pPr>
              <w:jc w:val="center"/>
              <w:ind w:left="69"/>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0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9"/>
        </w:trPr>
        <w:tc>
          <w:tcPr>
            <w:tcW w:w="40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2"/>
                <w:szCs w:val="12"/>
                <w:color w:val="auto"/>
              </w:rPr>
            </w:pPr>
          </w:p>
        </w:tc>
        <w:tc>
          <w:tcPr>
            <w:tcW w:w="9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60" w:type="dxa"/>
            <w:vAlign w:val="bottom"/>
          </w:tcPr>
          <w:p>
            <w:pPr>
              <w:spacing w:after="0"/>
              <w:rPr>
                <w:sz w:val="12"/>
                <w:szCs w:val="12"/>
                <w:color w:val="auto"/>
              </w:rPr>
            </w:pPr>
          </w:p>
        </w:tc>
        <w:tc>
          <w:tcPr>
            <w:tcW w:w="7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NAV</w:t>
            </w:r>
          </w:p>
        </w:tc>
        <w:tc>
          <w:tcPr>
            <w:tcW w:w="1420" w:type="dxa"/>
            <w:vAlign w:val="bottom"/>
            <w:gridSpan w:val="3"/>
          </w:tcPr>
          <w:p>
            <w:pPr>
              <w:ind w:left="20"/>
              <w:spacing w:after="0" w:line="139" w:lineRule="exact"/>
              <w:rPr>
                <w:sz w:val="20"/>
                <w:szCs w:val="20"/>
                <w:color w:val="auto"/>
              </w:rPr>
            </w:pPr>
            <w:r>
              <w:rPr>
                <w:rFonts w:ascii="Times New Roman" w:cs="Times New Roman" w:eastAsia="Times New Roman" w:hAnsi="Times New Roman"/>
                <w:sz w:val="14"/>
                <w:szCs w:val="14"/>
                <w:b w:val="1"/>
                <w:bCs w:val="1"/>
                <w:color w:val="auto"/>
              </w:rPr>
              <w:t>Total Estimated Fair</w:t>
            </w:r>
          </w:p>
        </w:tc>
        <w:tc>
          <w:tcPr>
            <w:tcW w:w="100" w:type="dxa"/>
            <w:vAlign w:val="bottom"/>
          </w:tcPr>
          <w:p>
            <w:pPr>
              <w:spacing w:after="0"/>
              <w:rPr>
                <w:sz w:val="12"/>
                <w:szCs w:val="12"/>
                <w:color w:val="auto"/>
              </w:rPr>
            </w:pPr>
          </w:p>
        </w:tc>
        <w:tc>
          <w:tcPr>
            <w:tcW w:w="120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w w:val="98"/>
              </w:rPr>
              <w:t>Carrying Amount</w:t>
            </w:r>
          </w:p>
        </w:tc>
        <w:tc>
          <w:tcPr>
            <w:tcW w:w="0" w:type="dxa"/>
            <w:vAlign w:val="bottom"/>
          </w:tcPr>
          <w:p>
            <w:pPr>
              <w:spacing w:after="0"/>
              <w:rPr>
                <w:sz w:val="1"/>
                <w:szCs w:val="1"/>
                <w:color w:val="auto"/>
              </w:rPr>
            </w:pPr>
          </w:p>
        </w:tc>
      </w:tr>
      <w:tr>
        <w:trPr>
          <w:trHeight w:val="192"/>
        </w:trPr>
        <w:tc>
          <w:tcPr>
            <w:tcW w:w="408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8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840" w:type="dxa"/>
            <w:vAlign w:val="bottom"/>
            <w:tcBorders>
              <w:bottom w:val="single" w:sz="8" w:color="CCEEFF"/>
            </w:tcBorders>
            <w:gridSpan w:val="5"/>
            <w:shd w:val="clear" w:color="auto" w:fill="CCEEFF"/>
          </w:tcPr>
          <w:p>
            <w:pPr>
              <w:jc w:val="center"/>
              <w:ind w:left="6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FHLB common stock</w:t>
            </w:r>
          </w:p>
        </w:tc>
        <w:tc>
          <w:tcPr>
            <w:tcW w:w="820" w:type="dxa"/>
            <w:vAlign w:val="bottom"/>
          </w:tcPr>
          <w:p>
            <w:pPr>
              <w:jc w:val="right"/>
              <w:ind w:right="649"/>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120" w:type="dxa"/>
            <w:vAlign w:val="bottom"/>
          </w:tcPr>
          <w:p>
            <w:pPr>
              <w:spacing w:after="0"/>
              <w:rPr>
                <w:sz w:val="16"/>
                <w:szCs w:val="16"/>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0" w:type="dxa"/>
            <w:vAlign w:val="bottom"/>
          </w:tcPr>
          <w:p>
            <w:pPr>
              <w:spacing w:after="0"/>
              <w:rPr>
                <w:sz w:val="1"/>
                <w:szCs w:val="1"/>
                <w:color w:val="auto"/>
              </w:rPr>
            </w:pPr>
          </w:p>
        </w:tc>
      </w:tr>
      <w:tr>
        <w:trPr>
          <w:trHeight w:val="24"/>
        </w:trPr>
        <w:tc>
          <w:tcPr>
            <w:tcW w:w="40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mortgage loans</w:t>
            </w:r>
          </w:p>
        </w:tc>
        <w:tc>
          <w:tcPr>
            <w:tcW w:w="8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3,473</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3,473</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3,799</w:t>
            </w:r>
          </w:p>
        </w:tc>
        <w:tc>
          <w:tcPr>
            <w:tcW w:w="0" w:type="dxa"/>
            <w:vAlign w:val="bottom"/>
          </w:tcPr>
          <w:p>
            <w:pPr>
              <w:spacing w:after="0"/>
              <w:rPr>
                <w:sz w:val="1"/>
                <w:szCs w:val="1"/>
                <w:color w:val="auto"/>
              </w:rPr>
            </w:pPr>
          </w:p>
        </w:tc>
      </w:tr>
      <w:tr>
        <w:trPr>
          <w:trHeight w:val="188"/>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Residential mortgage loans</w:t>
            </w:r>
          </w:p>
        </w:tc>
        <w:tc>
          <w:tcPr>
            <w:tcW w:w="820" w:type="dxa"/>
            <w:vAlign w:val="bottom"/>
          </w:tcPr>
          <w:p>
            <w:pPr>
              <w:spacing w:after="0"/>
              <w:rPr>
                <w:sz w:val="16"/>
                <w:szCs w:val="16"/>
                <w:color w:val="auto"/>
              </w:rPr>
            </w:pPr>
          </w:p>
        </w:tc>
        <w:tc>
          <w:tcPr>
            <w:tcW w:w="3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5,919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5,919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6,447</w:t>
            </w:r>
          </w:p>
        </w:tc>
        <w:tc>
          <w:tcPr>
            <w:tcW w:w="0" w:type="dxa"/>
            <w:vAlign w:val="bottom"/>
          </w:tcPr>
          <w:p>
            <w:pPr>
              <w:spacing w:after="0"/>
              <w:rPr>
                <w:sz w:val="1"/>
                <w:szCs w:val="1"/>
                <w:color w:val="auto"/>
              </w:rPr>
            </w:pPr>
          </w:p>
        </w:tc>
      </w:tr>
      <w:tr>
        <w:trPr>
          <w:trHeight w:val="24"/>
        </w:trPr>
        <w:tc>
          <w:tcPr>
            <w:tcW w:w="40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Investments in unconsolidated affiliates</w:t>
            </w:r>
          </w:p>
        </w:tc>
        <w:tc>
          <w:tcPr>
            <w:tcW w:w="8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4,894</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4,894</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4,894</w:t>
            </w:r>
          </w:p>
        </w:tc>
        <w:tc>
          <w:tcPr>
            <w:tcW w:w="0" w:type="dxa"/>
            <w:vAlign w:val="bottom"/>
          </w:tcPr>
          <w:p>
            <w:pPr>
              <w:spacing w:after="0"/>
              <w:rPr>
                <w:sz w:val="1"/>
                <w:szCs w:val="1"/>
                <w:color w:val="auto"/>
              </w:rPr>
            </w:pPr>
          </w:p>
        </w:tc>
      </w:tr>
      <w:tr>
        <w:trPr>
          <w:trHeight w:val="188"/>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Policy loans</w:t>
            </w:r>
          </w:p>
        </w:tc>
        <w:tc>
          <w:tcPr>
            <w:tcW w:w="820" w:type="dxa"/>
            <w:vAlign w:val="bottom"/>
          </w:tcPr>
          <w:p>
            <w:pPr>
              <w:spacing w:after="0"/>
              <w:rPr>
                <w:sz w:val="16"/>
                <w:szCs w:val="16"/>
                <w:color w:val="auto"/>
              </w:rPr>
            </w:pPr>
          </w:p>
        </w:tc>
        <w:tc>
          <w:tcPr>
            <w:tcW w:w="3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0" w:type="dxa"/>
            <w:vAlign w:val="bottom"/>
          </w:tcPr>
          <w:p>
            <w:pPr>
              <w:spacing w:after="0"/>
              <w:rPr>
                <w:sz w:val="1"/>
                <w:szCs w:val="1"/>
                <w:color w:val="auto"/>
              </w:rPr>
            </w:pPr>
          </w:p>
        </w:tc>
      </w:tr>
      <w:tr>
        <w:trPr>
          <w:trHeight w:val="24"/>
        </w:trPr>
        <w:tc>
          <w:tcPr>
            <w:tcW w:w="40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invested assets</w:t>
            </w:r>
          </w:p>
        </w:tc>
        <w:tc>
          <w:tcPr>
            <w:tcW w:w="8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0" w:type="dxa"/>
            <w:vAlign w:val="bottom"/>
          </w:tcPr>
          <w:p>
            <w:pPr>
              <w:spacing w:after="0"/>
              <w:rPr>
                <w:sz w:val="1"/>
                <w:szCs w:val="1"/>
                <w:color w:val="auto"/>
              </w:rPr>
            </w:pPr>
          </w:p>
        </w:tc>
      </w:tr>
      <w:tr>
        <w:trPr>
          <w:trHeight w:val="188"/>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Company-owned life insurance</w:t>
            </w:r>
          </w:p>
        </w:tc>
        <w:tc>
          <w:tcPr>
            <w:tcW w:w="820" w:type="dxa"/>
            <w:vAlign w:val="bottom"/>
          </w:tcPr>
          <w:p>
            <w:pPr>
              <w:spacing w:after="0"/>
              <w:rPr>
                <w:sz w:val="16"/>
                <w:szCs w:val="16"/>
                <w:color w:val="auto"/>
              </w:rPr>
            </w:pPr>
          </w:p>
        </w:tc>
        <w:tc>
          <w:tcPr>
            <w:tcW w:w="3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921</w:t>
            </w:r>
          </w:p>
        </w:tc>
        <w:tc>
          <w:tcPr>
            <w:tcW w:w="0" w:type="dxa"/>
            <w:vAlign w:val="bottom"/>
          </w:tcPr>
          <w:p>
            <w:pPr>
              <w:spacing w:after="0"/>
              <w:rPr>
                <w:sz w:val="1"/>
                <w:szCs w:val="1"/>
                <w:color w:val="auto"/>
              </w:rPr>
            </w:pPr>
          </w:p>
        </w:tc>
      </w:tr>
      <w:tr>
        <w:trPr>
          <w:trHeight w:val="24"/>
        </w:trPr>
        <w:tc>
          <w:tcPr>
            <w:tcW w:w="40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Trade and notes receivables, net of allowance</w:t>
            </w:r>
          </w:p>
        </w:tc>
        <w:tc>
          <w:tcPr>
            <w:tcW w:w="8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w:t>
            </w:r>
          </w:p>
        </w:tc>
        <w:tc>
          <w:tcPr>
            <w:tcW w:w="0" w:type="dxa"/>
            <w:vAlign w:val="bottom"/>
          </w:tcPr>
          <w:p>
            <w:pPr>
              <w:spacing w:after="0"/>
              <w:rPr>
                <w:sz w:val="1"/>
                <w:szCs w:val="1"/>
                <w:color w:val="auto"/>
              </w:rPr>
            </w:pPr>
          </w:p>
        </w:tc>
      </w:tr>
      <w:tr>
        <w:trPr>
          <w:trHeight w:val="205"/>
        </w:trPr>
        <w:tc>
          <w:tcPr>
            <w:tcW w:w="40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20" w:type="dxa"/>
            <w:vAlign w:val="bottom"/>
            <w:tcBorders>
              <w:top w:val="single" w:sz="8" w:color="auto"/>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10,997</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4,975</w:t>
            </w: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16,180</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17,034</w:t>
            </w:r>
          </w:p>
        </w:tc>
        <w:tc>
          <w:tcPr>
            <w:tcW w:w="0" w:type="dxa"/>
            <w:vAlign w:val="bottom"/>
          </w:tcPr>
          <w:p>
            <w:pPr>
              <w:spacing w:after="0"/>
              <w:rPr>
                <w:sz w:val="1"/>
                <w:szCs w:val="1"/>
                <w:color w:val="auto"/>
              </w:rPr>
            </w:pP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0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0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 contracts, included in Contractholder funds</w:t>
            </w:r>
          </w:p>
        </w:tc>
        <w:tc>
          <w:tcPr>
            <w:tcW w:w="820" w:type="dxa"/>
            <w:vAlign w:val="bottom"/>
            <w:tcBorders>
              <w:bottom w:val="single" w:sz="8" w:color="CCEEFF"/>
            </w:tcBorders>
            <w:shd w:val="clear" w:color="auto" w:fill="CCEEFF"/>
          </w:tcPr>
          <w:p>
            <w:pPr>
              <w:jc w:val="right"/>
              <w:ind w:right="649"/>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53,991</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53,991</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58,613</w:t>
            </w:r>
          </w:p>
        </w:tc>
        <w:tc>
          <w:tcPr>
            <w:tcW w:w="0" w:type="dxa"/>
            <w:vAlign w:val="bottom"/>
          </w:tcPr>
          <w:p>
            <w:pPr>
              <w:spacing w:after="0"/>
              <w:rPr>
                <w:sz w:val="1"/>
                <w:szCs w:val="1"/>
                <w:color w:val="auto"/>
              </w:rPr>
            </w:pPr>
          </w:p>
        </w:tc>
      </w:tr>
      <w:tr>
        <w:trPr>
          <w:trHeight w:val="188"/>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Debt</w:t>
            </w:r>
          </w:p>
        </w:tc>
        <w:tc>
          <w:tcPr>
            <w:tcW w:w="820" w:type="dxa"/>
            <w:vAlign w:val="bottom"/>
          </w:tcPr>
          <w:p>
            <w:pPr>
              <w:spacing w:after="0"/>
              <w:rPr>
                <w:sz w:val="16"/>
                <w:szCs w:val="16"/>
                <w:color w:val="auto"/>
              </w:rPr>
            </w:pPr>
          </w:p>
        </w:tc>
        <w:tc>
          <w:tcPr>
            <w:tcW w:w="3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4,380</w:t>
            </w:r>
          </w:p>
        </w:tc>
        <w:tc>
          <w:tcPr>
            <w:tcW w:w="0" w:type="dxa"/>
            <w:vAlign w:val="bottom"/>
          </w:tcPr>
          <w:p>
            <w:pPr>
              <w:spacing w:after="0"/>
              <w:rPr>
                <w:sz w:val="1"/>
                <w:szCs w:val="1"/>
                <w:color w:val="auto"/>
              </w:rPr>
            </w:pPr>
          </w:p>
        </w:tc>
      </w:tr>
      <w:tr>
        <w:trPr>
          <w:trHeight w:val="24"/>
        </w:trPr>
        <w:tc>
          <w:tcPr>
            <w:tcW w:w="40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20" w:type="dxa"/>
            <w:vAlign w:val="bottom"/>
            <w:shd w:val="clear" w:color="auto" w:fill="CCEEFF"/>
          </w:tcPr>
          <w:p>
            <w:pPr>
              <w:jc w:val="right"/>
              <w:ind w:right="649"/>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53,991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57,921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62,993</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gridSpan w:val="5"/>
          </w:tcPr>
          <w:p>
            <w:pPr>
              <w:jc w:val="center"/>
              <w:ind w:left="49"/>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41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2"/>
                <w:szCs w:val="12"/>
                <w:color w:val="auto"/>
              </w:rPr>
            </w:pPr>
          </w:p>
        </w:tc>
        <w:tc>
          <w:tcPr>
            <w:tcW w:w="10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6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NAV</w:t>
            </w:r>
          </w:p>
        </w:tc>
        <w:tc>
          <w:tcPr>
            <w:tcW w:w="1420" w:type="dxa"/>
            <w:vAlign w:val="bottom"/>
            <w:gridSpan w:val="3"/>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Total Estimated Fair</w:t>
            </w:r>
          </w:p>
        </w:tc>
        <w:tc>
          <w:tcPr>
            <w:tcW w:w="100" w:type="dxa"/>
            <w:vAlign w:val="bottom"/>
          </w:tcPr>
          <w:p>
            <w:pPr>
              <w:spacing w:after="0"/>
              <w:rPr>
                <w:sz w:val="12"/>
                <w:szCs w:val="12"/>
                <w:color w:val="auto"/>
              </w:rPr>
            </w:pPr>
          </w:p>
        </w:tc>
        <w:tc>
          <w:tcPr>
            <w:tcW w:w="120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w w:val="98"/>
              </w:rPr>
              <w:t>Carrying Amount</w:t>
            </w:r>
          </w:p>
        </w:tc>
        <w:tc>
          <w:tcPr>
            <w:tcW w:w="0" w:type="dxa"/>
            <w:vAlign w:val="bottom"/>
          </w:tcPr>
          <w:p>
            <w:pPr>
              <w:spacing w:after="0"/>
              <w:rPr>
                <w:sz w:val="1"/>
                <w:szCs w:val="1"/>
                <w:color w:val="auto"/>
              </w:rPr>
            </w:pPr>
          </w:p>
        </w:tc>
      </w:tr>
      <w:tr>
        <w:trPr>
          <w:trHeight w:val="191"/>
        </w:trPr>
        <w:tc>
          <w:tcPr>
            <w:tcW w:w="41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8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820" w:type="dxa"/>
            <w:vAlign w:val="bottom"/>
            <w:tcBorders>
              <w:bottom w:val="single" w:sz="8" w:color="CCEEFF"/>
            </w:tcBorders>
            <w:gridSpan w:val="5"/>
            <w:shd w:val="clear" w:color="auto" w:fill="CCEEFF"/>
          </w:tcPr>
          <w:p>
            <w:pPr>
              <w:jc w:val="center"/>
              <w:ind w:left="4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FHLB common stock</w:t>
            </w:r>
          </w:p>
        </w:tc>
        <w:tc>
          <w:tcPr>
            <w:tcW w:w="820" w:type="dxa"/>
            <w:vAlign w:val="bottom"/>
          </w:tcPr>
          <w:p>
            <w:pPr>
              <w:jc w:val="right"/>
              <w:ind w:right="669"/>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00" w:type="dxa"/>
            <w:vAlign w:val="bottom"/>
          </w:tcPr>
          <w:p>
            <w:pPr>
              <w:spacing w:after="0"/>
              <w:rPr>
                <w:sz w:val="16"/>
                <w:szCs w:val="16"/>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0" w:type="dxa"/>
            <w:vAlign w:val="bottom"/>
          </w:tcPr>
          <w:p>
            <w:pPr>
              <w:spacing w:after="0"/>
              <w:rPr>
                <w:sz w:val="1"/>
                <w:szCs w:val="1"/>
                <w:color w:val="auto"/>
              </w:rPr>
            </w:pPr>
          </w:p>
        </w:tc>
      </w:tr>
      <w:tr>
        <w:trPr>
          <w:trHeight w:val="24"/>
        </w:trPr>
        <w:tc>
          <w:tcPr>
            <w:tcW w:w="4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mortgage loans</w:t>
            </w:r>
          </w:p>
        </w:tc>
        <w:tc>
          <w:tcPr>
            <w:tcW w:w="8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3,025</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3,025</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3,242</w:t>
            </w:r>
          </w:p>
        </w:tc>
        <w:tc>
          <w:tcPr>
            <w:tcW w:w="0" w:type="dxa"/>
            <w:vAlign w:val="bottom"/>
          </w:tcPr>
          <w:p>
            <w:pPr>
              <w:spacing w:after="0"/>
              <w:rPr>
                <w:sz w:val="1"/>
                <w:szCs w:val="1"/>
                <w:color w:val="auto"/>
              </w:rPr>
            </w:pPr>
          </w:p>
        </w:tc>
      </w:tr>
      <w:tr>
        <w:trPr>
          <w:trHeight w:val="188"/>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Residential mortgage loans</w:t>
            </w:r>
          </w:p>
        </w:tc>
        <w:tc>
          <w:tcPr>
            <w:tcW w:w="820" w:type="dxa"/>
            <w:vAlign w:val="bottom"/>
          </w:tcPr>
          <w:p>
            <w:pPr>
              <w:spacing w:after="0"/>
              <w:rPr>
                <w:sz w:val="16"/>
                <w:szCs w:val="16"/>
                <w:color w:val="auto"/>
              </w:rPr>
            </w:pP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4,649</w:t>
            </w:r>
          </w:p>
        </w:tc>
        <w:tc>
          <w:tcPr>
            <w:tcW w:w="0" w:type="dxa"/>
            <w:vAlign w:val="bottom"/>
          </w:tcPr>
          <w:p>
            <w:pPr>
              <w:spacing w:after="0"/>
              <w:rPr>
                <w:sz w:val="1"/>
                <w:szCs w:val="1"/>
                <w:color w:val="auto"/>
              </w:rPr>
            </w:pPr>
          </w:p>
        </w:tc>
      </w:tr>
      <w:tr>
        <w:trPr>
          <w:trHeight w:val="24"/>
        </w:trPr>
        <w:tc>
          <w:tcPr>
            <w:tcW w:w="4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Investments in unconsolidated affiliates</w:t>
            </w:r>
          </w:p>
        </w:tc>
        <w:tc>
          <w:tcPr>
            <w:tcW w:w="8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4,608</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4,608</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4,608</w:t>
            </w:r>
          </w:p>
        </w:tc>
        <w:tc>
          <w:tcPr>
            <w:tcW w:w="0" w:type="dxa"/>
            <w:vAlign w:val="bottom"/>
          </w:tcPr>
          <w:p>
            <w:pPr>
              <w:spacing w:after="0"/>
              <w:rPr>
                <w:sz w:val="1"/>
                <w:szCs w:val="1"/>
                <w:color w:val="auto"/>
              </w:rPr>
            </w:pPr>
          </w:p>
        </w:tc>
      </w:tr>
      <w:tr>
        <w:trPr>
          <w:trHeight w:val="188"/>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Policy loans</w:t>
            </w:r>
          </w:p>
        </w:tc>
        <w:tc>
          <w:tcPr>
            <w:tcW w:w="820" w:type="dxa"/>
            <w:vAlign w:val="bottom"/>
          </w:tcPr>
          <w:p>
            <w:pPr>
              <w:spacing w:after="0"/>
              <w:rPr>
                <w:sz w:val="16"/>
                <w:szCs w:val="16"/>
                <w:color w:val="auto"/>
              </w:rPr>
            </w:pP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0" w:type="dxa"/>
            <w:vAlign w:val="bottom"/>
          </w:tcPr>
          <w:p>
            <w:pPr>
              <w:spacing w:after="0"/>
              <w:rPr>
                <w:sz w:val="1"/>
                <w:szCs w:val="1"/>
                <w:color w:val="auto"/>
              </w:rPr>
            </w:pPr>
          </w:p>
        </w:tc>
      </w:tr>
      <w:tr>
        <w:trPr>
          <w:trHeight w:val="24"/>
        </w:trPr>
        <w:tc>
          <w:tcPr>
            <w:tcW w:w="4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invested assets</w:t>
            </w:r>
          </w:p>
        </w:tc>
        <w:tc>
          <w:tcPr>
            <w:tcW w:w="8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0" w:type="dxa"/>
            <w:vAlign w:val="bottom"/>
          </w:tcPr>
          <w:p>
            <w:pPr>
              <w:spacing w:after="0"/>
              <w:rPr>
                <w:sz w:val="1"/>
                <w:szCs w:val="1"/>
                <w:color w:val="auto"/>
              </w:rPr>
            </w:pPr>
          </w:p>
        </w:tc>
      </w:tr>
      <w:tr>
        <w:trPr>
          <w:trHeight w:val="188"/>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Company-owned life insurance</w:t>
            </w:r>
          </w:p>
        </w:tc>
        <w:tc>
          <w:tcPr>
            <w:tcW w:w="820" w:type="dxa"/>
            <w:vAlign w:val="bottom"/>
          </w:tcPr>
          <w:p>
            <w:pPr>
              <w:spacing w:after="0"/>
              <w:rPr>
                <w:sz w:val="16"/>
                <w:szCs w:val="16"/>
                <w:color w:val="auto"/>
              </w:rPr>
            </w:pP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887</w:t>
            </w:r>
          </w:p>
        </w:tc>
        <w:tc>
          <w:tcPr>
            <w:tcW w:w="0" w:type="dxa"/>
            <w:vAlign w:val="bottom"/>
          </w:tcPr>
          <w:p>
            <w:pPr>
              <w:spacing w:after="0"/>
              <w:rPr>
                <w:sz w:val="1"/>
                <w:szCs w:val="1"/>
                <w:color w:val="auto"/>
              </w:rPr>
            </w:pPr>
          </w:p>
        </w:tc>
      </w:tr>
      <w:tr>
        <w:trPr>
          <w:trHeight w:val="24"/>
        </w:trPr>
        <w:tc>
          <w:tcPr>
            <w:tcW w:w="4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Trade and notes receivables, net of allowance</w:t>
            </w:r>
          </w:p>
        </w:tc>
        <w:tc>
          <w:tcPr>
            <w:tcW w:w="8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w:t>
            </w:r>
          </w:p>
        </w:tc>
        <w:tc>
          <w:tcPr>
            <w:tcW w:w="0" w:type="dxa"/>
            <w:vAlign w:val="bottom"/>
          </w:tcPr>
          <w:p>
            <w:pPr>
              <w:spacing w:after="0"/>
              <w:rPr>
                <w:sz w:val="1"/>
                <w:szCs w:val="1"/>
                <w:color w:val="auto"/>
              </w:rPr>
            </w:pPr>
          </w:p>
        </w:tc>
      </w:tr>
      <w:tr>
        <w:trPr>
          <w:trHeight w:val="205"/>
        </w:trPr>
        <w:tc>
          <w:tcPr>
            <w:tcW w:w="41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w:t>
            </w:r>
          </w:p>
        </w:tc>
        <w:tc>
          <w:tcPr>
            <w:tcW w:w="820" w:type="dxa"/>
            <w:vAlign w:val="bottom"/>
            <w:tcBorders>
              <w:top w:val="single" w:sz="8" w:color="auto"/>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8,956</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4,683</w:t>
            </w: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13,812</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14,254</w:t>
            </w:r>
          </w:p>
        </w:tc>
        <w:tc>
          <w:tcPr>
            <w:tcW w:w="0" w:type="dxa"/>
            <w:vAlign w:val="bottom"/>
          </w:tcPr>
          <w:p>
            <w:pPr>
              <w:spacing w:after="0"/>
              <w:rPr>
                <w:sz w:val="1"/>
                <w:szCs w:val="1"/>
                <w:color w:val="auto"/>
              </w:rPr>
            </w:pPr>
          </w:p>
        </w:tc>
      </w:tr>
      <w:tr>
        <w:trPr>
          <w:trHeight w:val="20"/>
        </w:trPr>
        <w:tc>
          <w:tcPr>
            <w:tcW w:w="4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 contracts, included in Contractholder funds</w:t>
            </w:r>
          </w:p>
        </w:tc>
        <w:tc>
          <w:tcPr>
            <w:tcW w:w="820" w:type="dxa"/>
            <w:vAlign w:val="bottom"/>
            <w:tcBorders>
              <w:bottom w:val="single" w:sz="8" w:color="CCEEFF"/>
            </w:tcBorders>
            <w:shd w:val="clear" w:color="auto" w:fill="CCEEFF"/>
          </w:tcPr>
          <w:p>
            <w:pPr>
              <w:jc w:val="right"/>
              <w:ind w:right="669"/>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51,027</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51,027</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56,184</w:t>
            </w:r>
          </w:p>
        </w:tc>
        <w:tc>
          <w:tcPr>
            <w:tcW w:w="0" w:type="dxa"/>
            <w:vAlign w:val="bottom"/>
          </w:tcPr>
          <w:p>
            <w:pPr>
              <w:spacing w:after="0"/>
              <w:rPr>
                <w:sz w:val="1"/>
                <w:szCs w:val="1"/>
                <w:color w:val="auto"/>
              </w:rPr>
            </w:pPr>
          </w:p>
        </w:tc>
      </w:tr>
      <w:tr>
        <w:trPr>
          <w:trHeight w:val="188"/>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Debt</w:t>
            </w:r>
          </w:p>
        </w:tc>
        <w:tc>
          <w:tcPr>
            <w:tcW w:w="820" w:type="dxa"/>
            <w:vAlign w:val="bottom"/>
          </w:tcPr>
          <w:p>
            <w:pPr>
              <w:spacing w:after="0"/>
              <w:rPr>
                <w:sz w:val="16"/>
                <w:szCs w:val="16"/>
                <w:color w:val="auto"/>
              </w:rPr>
            </w:pP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4,400</w:t>
            </w:r>
          </w:p>
        </w:tc>
        <w:tc>
          <w:tcPr>
            <w:tcW w:w="0" w:type="dxa"/>
            <w:vAlign w:val="bottom"/>
          </w:tcPr>
          <w:p>
            <w:pPr>
              <w:spacing w:after="0"/>
              <w:rPr>
                <w:sz w:val="1"/>
                <w:szCs w:val="1"/>
                <w:color w:val="auto"/>
              </w:rPr>
            </w:pPr>
          </w:p>
        </w:tc>
      </w:tr>
      <w:tr>
        <w:trPr>
          <w:trHeight w:val="24"/>
        </w:trPr>
        <w:tc>
          <w:tcPr>
            <w:tcW w:w="4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4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w:t>
            </w:r>
          </w:p>
        </w:tc>
        <w:tc>
          <w:tcPr>
            <w:tcW w:w="820" w:type="dxa"/>
            <w:vAlign w:val="bottom"/>
            <w:shd w:val="clear" w:color="auto" w:fill="CCEEFF"/>
          </w:tcPr>
          <w:p>
            <w:pPr>
              <w:jc w:val="right"/>
              <w:ind w:right="669"/>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55,231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60,584</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For investments for which NAV is used as a practical expedient for fair value, we do not have any significant restrictions in our ability to liquidate our positions in these investments, other than obtaining general partner approval, nor do we believe that it is probable a price less than NAV would be received in the event of a liquidation.</w:t>
      </w:r>
    </w:p>
    <w:p>
      <w:pPr>
        <w:spacing w:after="0" w:line="7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review the fair value hierarchy classifications each reporting period. Changes in the observability of the valuation attributes may result in a reclassification of certain financial assets or liabilities. Such reclassifications are reported as transfers in and out of Level 3, or between other levels, at the beginning fair value for the reporting period in which the changes occur. The transfers into and out of Level 3 were related to changes in the primary pricing source and changes in the observability of external information used in determining the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D — Investments</w:t>
      </w:r>
    </w:p>
    <w:p>
      <w:pPr>
        <w:spacing w:after="0" w:line="15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investments in fixed maturity securities have generally been designated as available-for-sale (“AFS”) and are carried at fair value, net of allowance for expected credit losses, with unrealized gains and losses included within Accumulated other comprehensive loss ("AOCL"), net of deferred income taxes. We have elected the FVO for certain fixed maturity securities held by consolidated VIEs. See below for additional information on our investments in VIEs. Our preferred and equity securities investments are carried at fair value with unrealized gains and losses included in net earnings.</w:t>
      </w:r>
    </w:p>
    <w:p>
      <w:pPr>
        <w:spacing w:after="0" w:line="7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 xml:space="preserve">Our investments include assets backing reserves as part of coinsurance with funds withheld agreements. The funds withheld invested assets are reported within their respective line items. See Note L </w:t>
      </w:r>
      <w:r>
        <w:rPr>
          <w:rFonts w:ascii="Times New Roman" w:cs="Times New Roman" w:eastAsia="Times New Roman" w:hAnsi="Times New Roman"/>
          <w:sz w:val="18"/>
          <w:szCs w:val="18"/>
          <w:i w:val="1"/>
          <w:iCs w:val="1"/>
          <w:color w:val="auto"/>
        </w:rPr>
        <w:t>F&amp;G Reinsurance</w:t>
      </w:r>
      <w:r>
        <w:rPr>
          <w:rFonts w:ascii="Times New Roman" w:cs="Times New Roman" w:eastAsia="Times New Roman" w:hAnsi="Times New Roman"/>
          <w:sz w:val="18"/>
          <w:szCs w:val="18"/>
          <w:color w:val="auto"/>
        </w:rPr>
        <w:t xml:space="preserve"> for more information on the funds withheld agreements.</w:t>
      </w:r>
    </w:p>
    <w:p>
      <w:pPr>
        <w:spacing w:after="0" w:line="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Company’s consolidated AFS investments as of September 30, 2026 and December 31, 2025 are summarized as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2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4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240"/>
              <w:spacing w:after="0" w:line="141" w:lineRule="exact"/>
              <w:rPr>
                <w:sz w:val="20"/>
                <w:szCs w:val="20"/>
                <w:color w:val="auto"/>
              </w:rPr>
            </w:pPr>
            <w:r>
              <w:rPr>
                <w:rFonts w:ascii="Times New Roman" w:cs="Times New Roman" w:eastAsia="Times New Roman" w:hAnsi="Times New Roman"/>
                <w:sz w:val="14"/>
                <w:szCs w:val="14"/>
                <w:b w:val="1"/>
                <w:bCs w:val="1"/>
                <w:color w:val="auto"/>
              </w:rPr>
              <w:t>Allowance for</w:t>
            </w:r>
          </w:p>
        </w:tc>
        <w:tc>
          <w:tcPr>
            <w:tcW w:w="80" w:type="dxa"/>
            <w:vAlign w:val="bottom"/>
          </w:tcPr>
          <w:p>
            <w:pPr>
              <w:spacing w:after="0"/>
              <w:rPr>
                <w:sz w:val="12"/>
                <w:szCs w:val="12"/>
                <w:color w:val="auto"/>
              </w:rPr>
            </w:pPr>
          </w:p>
        </w:tc>
        <w:tc>
          <w:tcPr>
            <w:tcW w:w="13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100" w:type="dxa"/>
            <w:vAlign w:val="bottom"/>
          </w:tcPr>
          <w:p>
            <w:pPr>
              <w:spacing w:after="0"/>
              <w:rPr>
                <w:sz w:val="12"/>
                <w:szCs w:val="12"/>
                <w:color w:val="auto"/>
              </w:rPr>
            </w:pPr>
          </w:p>
        </w:tc>
        <w:tc>
          <w:tcPr>
            <w:tcW w:w="13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0" w:type="dxa"/>
            <w:vAlign w:val="bottom"/>
          </w:tcPr>
          <w:p>
            <w:pPr>
              <w:spacing w:after="0"/>
              <w:rPr>
                <w:sz w:val="12"/>
                <w:szCs w:val="12"/>
                <w:color w:val="auto"/>
              </w:rPr>
            </w:pPr>
          </w:p>
        </w:tc>
        <w:tc>
          <w:tcPr>
            <w:tcW w:w="128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Expected Credit</w:t>
            </w:r>
          </w:p>
        </w:tc>
        <w:tc>
          <w:tcPr>
            <w:tcW w:w="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vMerge w:val="restart"/>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0"/>
        </w:trPr>
        <w:tc>
          <w:tcPr>
            <w:tcW w:w="4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6"/>
              </w:rPr>
              <w:t>Gains</w:t>
            </w: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Available-for-sale securities</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Asset-backed securities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18,132</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17,853</w:t>
            </w:r>
          </w:p>
        </w:tc>
        <w:tc>
          <w:tcPr>
            <w:tcW w:w="0" w:type="dxa"/>
            <w:vAlign w:val="bottom"/>
          </w:tcPr>
          <w:p>
            <w:pPr>
              <w:spacing w:after="0"/>
              <w:rPr>
                <w:sz w:val="1"/>
                <w:szCs w:val="1"/>
                <w:color w:val="auto"/>
              </w:rPr>
            </w:pPr>
          </w:p>
        </w:tc>
      </w:tr>
      <w:tr>
        <w:trPr>
          <w:trHeight w:val="188"/>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 mortgage-backed securities</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4,174</w:t>
            </w:r>
          </w:p>
        </w:tc>
        <w:tc>
          <w:tcPr>
            <w:tcW w:w="0" w:type="dxa"/>
            <w:vAlign w:val="bottom"/>
          </w:tcPr>
          <w:p>
            <w:pPr>
              <w:spacing w:after="0"/>
              <w:rPr>
                <w:sz w:val="1"/>
                <w:szCs w:val="1"/>
                <w:color w:val="auto"/>
              </w:rPr>
            </w:pPr>
          </w:p>
        </w:tc>
      </w:tr>
      <w:tr>
        <w:trPr>
          <w:trHeight w:val="24"/>
        </w:trPr>
        <w:tc>
          <w:tcPr>
            <w:tcW w:w="4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Corporates</w:t>
            </w:r>
          </w:p>
        </w:tc>
        <w:tc>
          <w:tcPr>
            <w:tcW w:w="14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28,083</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(3,789)</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24,321</w:t>
            </w:r>
          </w:p>
        </w:tc>
        <w:tc>
          <w:tcPr>
            <w:tcW w:w="0" w:type="dxa"/>
            <w:vAlign w:val="bottom"/>
          </w:tcPr>
          <w:p>
            <w:pPr>
              <w:spacing w:after="0"/>
              <w:rPr>
                <w:sz w:val="1"/>
                <w:szCs w:val="1"/>
                <w:color w:val="auto"/>
              </w:rPr>
            </w:pPr>
          </w:p>
        </w:tc>
      </w:tr>
      <w:tr>
        <w:trPr>
          <w:trHeight w:val="188"/>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Hybrids</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599</w:t>
            </w:r>
          </w:p>
        </w:tc>
        <w:tc>
          <w:tcPr>
            <w:tcW w:w="0" w:type="dxa"/>
            <w:vAlign w:val="bottom"/>
          </w:tcPr>
          <w:p>
            <w:pPr>
              <w:spacing w:after="0"/>
              <w:rPr>
                <w:sz w:val="1"/>
                <w:szCs w:val="1"/>
                <w:color w:val="auto"/>
              </w:rPr>
            </w:pPr>
          </w:p>
        </w:tc>
      </w:tr>
      <w:tr>
        <w:trPr>
          <w:trHeight w:val="24"/>
        </w:trPr>
        <w:tc>
          <w:tcPr>
            <w:tcW w:w="4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Municipals</w:t>
            </w:r>
          </w:p>
        </w:tc>
        <w:tc>
          <w:tcPr>
            <w:tcW w:w="14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1,571</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1,258</w:t>
            </w:r>
          </w:p>
        </w:tc>
        <w:tc>
          <w:tcPr>
            <w:tcW w:w="0" w:type="dxa"/>
            <w:vAlign w:val="bottom"/>
          </w:tcPr>
          <w:p>
            <w:pPr>
              <w:spacing w:after="0"/>
              <w:rPr>
                <w:sz w:val="1"/>
                <w:szCs w:val="1"/>
                <w:color w:val="auto"/>
              </w:rPr>
            </w:pPr>
          </w:p>
        </w:tc>
      </w:tr>
      <w:tr>
        <w:trPr>
          <w:trHeight w:val="188"/>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Residential mortgage-backed securities</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3,386</w:t>
            </w:r>
          </w:p>
        </w:tc>
        <w:tc>
          <w:tcPr>
            <w:tcW w:w="0" w:type="dxa"/>
            <w:vAlign w:val="bottom"/>
          </w:tcPr>
          <w:p>
            <w:pPr>
              <w:spacing w:after="0"/>
              <w:rPr>
                <w:sz w:val="1"/>
                <w:szCs w:val="1"/>
                <w:color w:val="auto"/>
              </w:rPr>
            </w:pPr>
          </w:p>
        </w:tc>
      </w:tr>
      <w:tr>
        <w:trPr>
          <w:trHeight w:val="24"/>
        </w:trPr>
        <w:tc>
          <w:tcPr>
            <w:tcW w:w="4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Government</w:t>
            </w:r>
          </w:p>
        </w:tc>
        <w:tc>
          <w:tcPr>
            <w:tcW w:w="14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867</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840</w:t>
            </w:r>
          </w:p>
        </w:tc>
        <w:tc>
          <w:tcPr>
            <w:tcW w:w="0" w:type="dxa"/>
            <w:vAlign w:val="bottom"/>
          </w:tcPr>
          <w:p>
            <w:pPr>
              <w:spacing w:after="0"/>
              <w:rPr>
                <w:sz w:val="1"/>
                <w:szCs w:val="1"/>
                <w:color w:val="auto"/>
              </w:rPr>
            </w:pPr>
          </w:p>
        </w:tc>
      </w:tr>
      <w:tr>
        <w:trPr>
          <w:trHeight w:val="188"/>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Governments</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0" w:type="dxa"/>
            <w:vAlign w:val="bottom"/>
          </w:tcPr>
          <w:p>
            <w:pPr>
              <w:spacing w:after="0"/>
              <w:rPr>
                <w:sz w:val="1"/>
                <w:szCs w:val="1"/>
                <w:color w:val="auto"/>
              </w:rPr>
            </w:pPr>
          </w:p>
        </w:tc>
      </w:tr>
      <w:tr>
        <w:trPr>
          <w:trHeight w:val="24"/>
        </w:trPr>
        <w:tc>
          <w:tcPr>
            <w:tcW w:w="42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available-for-sale securities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57,654</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(4,982)</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52,781</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4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42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4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240"/>
              <w:spacing w:after="0" w:line="141" w:lineRule="exact"/>
              <w:rPr>
                <w:sz w:val="20"/>
                <w:szCs w:val="20"/>
                <w:color w:val="auto"/>
              </w:rPr>
            </w:pPr>
            <w:r>
              <w:rPr>
                <w:rFonts w:ascii="Times New Roman" w:cs="Times New Roman" w:eastAsia="Times New Roman" w:hAnsi="Times New Roman"/>
                <w:sz w:val="14"/>
                <w:szCs w:val="14"/>
                <w:b w:val="1"/>
                <w:bCs w:val="1"/>
                <w:color w:val="auto"/>
              </w:rPr>
              <w:t>Allowance for</w:t>
            </w:r>
          </w:p>
        </w:tc>
        <w:tc>
          <w:tcPr>
            <w:tcW w:w="80" w:type="dxa"/>
            <w:vAlign w:val="bottom"/>
          </w:tcPr>
          <w:p>
            <w:pPr>
              <w:spacing w:after="0"/>
              <w:rPr>
                <w:sz w:val="12"/>
                <w:szCs w:val="12"/>
                <w:color w:val="auto"/>
              </w:rPr>
            </w:pPr>
          </w:p>
        </w:tc>
        <w:tc>
          <w:tcPr>
            <w:tcW w:w="13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100" w:type="dxa"/>
            <w:vAlign w:val="bottom"/>
          </w:tcPr>
          <w:p>
            <w:pPr>
              <w:spacing w:after="0"/>
              <w:rPr>
                <w:sz w:val="12"/>
                <w:szCs w:val="12"/>
                <w:color w:val="auto"/>
              </w:rPr>
            </w:pPr>
          </w:p>
        </w:tc>
        <w:tc>
          <w:tcPr>
            <w:tcW w:w="13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0" w:type="dxa"/>
            <w:vAlign w:val="bottom"/>
          </w:tcPr>
          <w:p>
            <w:pPr>
              <w:spacing w:after="0"/>
              <w:rPr>
                <w:sz w:val="12"/>
                <w:szCs w:val="12"/>
                <w:color w:val="auto"/>
              </w:rPr>
            </w:pPr>
          </w:p>
        </w:tc>
        <w:tc>
          <w:tcPr>
            <w:tcW w:w="1280" w:type="dxa"/>
            <w:vAlign w:val="bottom"/>
            <w:gridSpan w:val="2"/>
          </w:tcPr>
          <w:p>
            <w:pPr>
              <w:jc w:val="center"/>
              <w:ind w:right="220"/>
              <w:spacing w:after="0" w:line="144" w:lineRule="exact"/>
              <w:rPr>
                <w:sz w:val="20"/>
                <w:szCs w:val="20"/>
                <w:color w:val="auto"/>
              </w:rPr>
            </w:pPr>
            <w:r>
              <w:rPr>
                <w:rFonts w:ascii="Times New Roman" w:cs="Times New Roman" w:eastAsia="Times New Roman" w:hAnsi="Times New Roman"/>
                <w:sz w:val="14"/>
                <w:szCs w:val="14"/>
                <w:b w:val="1"/>
                <w:bCs w:val="1"/>
                <w:color w:val="auto"/>
              </w:rPr>
              <w:t>Expected Credit</w:t>
            </w:r>
          </w:p>
        </w:tc>
        <w:tc>
          <w:tcPr>
            <w:tcW w:w="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vMerge w:val="restart"/>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4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6"/>
              </w:rPr>
              <w:t>Gains</w:t>
            </w: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Available-for-sale securities</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Asset-backed securities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18,853</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18,738</w:t>
            </w:r>
          </w:p>
        </w:tc>
        <w:tc>
          <w:tcPr>
            <w:tcW w:w="0" w:type="dxa"/>
            <w:vAlign w:val="bottom"/>
          </w:tcPr>
          <w:p>
            <w:pPr>
              <w:spacing w:after="0"/>
              <w:rPr>
                <w:sz w:val="1"/>
                <w:szCs w:val="1"/>
                <w:color w:val="auto"/>
              </w:rPr>
            </w:pPr>
          </w:p>
        </w:tc>
      </w:tr>
      <w:tr>
        <w:trPr>
          <w:trHeight w:val="188"/>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 mortgage-backed securities</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5,199</w:t>
            </w:r>
          </w:p>
        </w:tc>
        <w:tc>
          <w:tcPr>
            <w:tcW w:w="0" w:type="dxa"/>
            <w:vAlign w:val="bottom"/>
          </w:tcPr>
          <w:p>
            <w:pPr>
              <w:spacing w:after="0"/>
              <w:rPr>
                <w:sz w:val="1"/>
                <w:szCs w:val="1"/>
                <w:color w:val="auto"/>
              </w:rPr>
            </w:pPr>
          </w:p>
        </w:tc>
      </w:tr>
      <w:tr>
        <w:trPr>
          <w:trHeight w:val="24"/>
        </w:trPr>
        <w:tc>
          <w:tcPr>
            <w:tcW w:w="4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Corporates</w:t>
            </w:r>
          </w:p>
        </w:tc>
        <w:tc>
          <w:tcPr>
            <w:tcW w:w="14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26,538</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(2,368)</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24,447</w:t>
            </w:r>
          </w:p>
        </w:tc>
        <w:tc>
          <w:tcPr>
            <w:tcW w:w="0" w:type="dxa"/>
            <w:vAlign w:val="bottom"/>
          </w:tcPr>
          <w:p>
            <w:pPr>
              <w:spacing w:after="0"/>
              <w:rPr>
                <w:sz w:val="1"/>
                <w:szCs w:val="1"/>
                <w:color w:val="auto"/>
              </w:rPr>
            </w:pPr>
          </w:p>
        </w:tc>
      </w:tr>
      <w:tr>
        <w:trPr>
          <w:trHeight w:val="188"/>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Hybrids</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609</w:t>
            </w:r>
          </w:p>
        </w:tc>
        <w:tc>
          <w:tcPr>
            <w:tcW w:w="0" w:type="dxa"/>
            <w:vAlign w:val="bottom"/>
          </w:tcPr>
          <w:p>
            <w:pPr>
              <w:spacing w:after="0"/>
              <w:rPr>
                <w:sz w:val="1"/>
                <w:szCs w:val="1"/>
                <w:color w:val="auto"/>
              </w:rPr>
            </w:pPr>
          </w:p>
        </w:tc>
      </w:tr>
      <w:tr>
        <w:trPr>
          <w:trHeight w:val="24"/>
        </w:trPr>
        <w:tc>
          <w:tcPr>
            <w:tcW w:w="4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Municipals</w:t>
            </w:r>
          </w:p>
        </w:tc>
        <w:tc>
          <w:tcPr>
            <w:tcW w:w="14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1,604</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1,393</w:t>
            </w:r>
          </w:p>
        </w:tc>
        <w:tc>
          <w:tcPr>
            <w:tcW w:w="0" w:type="dxa"/>
            <w:vAlign w:val="bottom"/>
          </w:tcPr>
          <w:p>
            <w:pPr>
              <w:spacing w:after="0"/>
              <w:rPr>
                <w:sz w:val="1"/>
                <w:szCs w:val="1"/>
                <w:color w:val="auto"/>
              </w:rPr>
            </w:pPr>
          </w:p>
        </w:tc>
      </w:tr>
      <w:tr>
        <w:trPr>
          <w:trHeight w:val="188"/>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Residential mortgage-backed securities</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2,851</w:t>
            </w:r>
          </w:p>
        </w:tc>
        <w:tc>
          <w:tcPr>
            <w:tcW w:w="0" w:type="dxa"/>
            <w:vAlign w:val="bottom"/>
          </w:tcPr>
          <w:p>
            <w:pPr>
              <w:spacing w:after="0"/>
              <w:rPr>
                <w:sz w:val="1"/>
                <w:szCs w:val="1"/>
                <w:color w:val="auto"/>
              </w:rPr>
            </w:pPr>
          </w:p>
        </w:tc>
      </w:tr>
      <w:tr>
        <w:trPr>
          <w:trHeight w:val="24"/>
        </w:trPr>
        <w:tc>
          <w:tcPr>
            <w:tcW w:w="4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Government</w:t>
            </w:r>
          </w:p>
        </w:tc>
        <w:tc>
          <w:tcPr>
            <w:tcW w:w="14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954</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956</w:t>
            </w:r>
          </w:p>
        </w:tc>
        <w:tc>
          <w:tcPr>
            <w:tcW w:w="0" w:type="dxa"/>
            <w:vAlign w:val="bottom"/>
          </w:tcPr>
          <w:p>
            <w:pPr>
              <w:spacing w:after="0"/>
              <w:rPr>
                <w:sz w:val="1"/>
                <w:szCs w:val="1"/>
                <w:color w:val="auto"/>
              </w:rPr>
            </w:pPr>
          </w:p>
        </w:tc>
      </w:tr>
      <w:tr>
        <w:trPr>
          <w:trHeight w:val="188"/>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Governments</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0" w:type="dxa"/>
            <w:vAlign w:val="bottom"/>
          </w:tcPr>
          <w:p>
            <w:pPr>
              <w:spacing w:after="0"/>
              <w:rPr>
                <w:sz w:val="1"/>
                <w:szCs w:val="1"/>
                <w:color w:val="auto"/>
              </w:rPr>
            </w:pPr>
          </w:p>
        </w:tc>
      </w:tr>
      <w:tr>
        <w:trPr>
          <w:trHeight w:val="24"/>
        </w:trPr>
        <w:tc>
          <w:tcPr>
            <w:tcW w:w="42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available-for-sale securities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57,161</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(3,110)</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54,561</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Securities held on deposit with various state regulatory authorities had a fair value of $154 million and $155 million at September 30, 2026 and December 31, 2025, respectively.</w:t>
      </w:r>
    </w:p>
    <w:p>
      <w:pPr>
        <w:spacing w:after="0" w:line="7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As of September 30, 2026 and December 31, 2025, the Company held $89 million and $54 million, respectively, of investments that were non-income producing for a period greater than twelve months.</w:t>
      </w:r>
    </w:p>
    <w:p>
      <w:pPr>
        <w:spacing w:after="0" w:line="8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As of September 30, 2026 and December 31, 2025, the Company's accrued interest receivable balance, excluding accrued interest receivable balances related to mortgage loans discussed below under "Mortgage Loans," was $570 million and $542 million, respectively. Accrued interest receivable is classified within Prepaid expenses and other assets within the unaudited Condensed Consolidated Balance Sheets.</w:t>
      </w:r>
    </w:p>
    <w:p>
      <w:pPr>
        <w:spacing w:after="0" w:line="8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accordance with our FHLB agreements, the investments supporting the funding agreement liabilities are pledged as collateral to secure the FHLB funding agreement liabilities and are not available to us for general purposes. The collateral investments had a fair value of $5,670 million and $4,621 million as of September 30, 2026 and December 31, 2025, respectively.</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amortized cost and fair value of fixed maturity securities AFS by contractual maturities as of September 30, 2026 and December 31, 2025 are shown below. Actual maturities may differ from contractual maturities because issuers may have the right to call or prepay obligations.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80" w:type="dxa"/>
            <w:vAlign w:val="bottom"/>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80" w:type="dxa"/>
            <w:vAlign w:val="bottom"/>
          </w:tcPr>
          <w:p>
            <w:pPr>
              <w:spacing w:after="0"/>
              <w:rPr>
                <w:sz w:val="16"/>
                <w:szCs w:val="16"/>
                <w:color w:val="auto"/>
              </w:rPr>
            </w:pPr>
          </w:p>
        </w:tc>
        <w:tc>
          <w:tcPr>
            <w:tcW w:w="2780" w:type="dxa"/>
            <w:vAlign w:val="bottom"/>
            <w:gridSpan w:val="4"/>
          </w:tcPr>
          <w:p>
            <w:pPr>
              <w:jc w:val="right"/>
              <w:ind w:right="829"/>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12"/>
        </w:trPr>
        <w:tc>
          <w:tcPr>
            <w:tcW w:w="5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60" w:type="dxa"/>
            <w:vAlign w:val="bottom"/>
          </w:tcPr>
          <w:p>
            <w:pPr>
              <w:spacing w:after="0"/>
              <w:rPr>
                <w:sz w:val="18"/>
                <w:szCs w:val="18"/>
                <w:color w:val="auto"/>
              </w:rPr>
            </w:pPr>
          </w:p>
        </w:tc>
      </w:tr>
      <w:tr>
        <w:trPr>
          <w:trHeight w:val="24"/>
        </w:trPr>
        <w:tc>
          <w:tcPr>
            <w:tcW w:w="5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1"/>
        </w:trPr>
        <w:tc>
          <w:tcPr>
            <w:tcW w:w="5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360" w:type="dxa"/>
            <w:vAlign w:val="bottom"/>
          </w:tcPr>
          <w:p>
            <w:pPr>
              <w:spacing w:after="0"/>
              <w:rPr>
                <w:sz w:val="15"/>
                <w:szCs w:val="15"/>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0" w:type="dxa"/>
            <w:vAlign w:val="bottom"/>
          </w:tcPr>
          <w:p>
            <w:pPr>
              <w:spacing w:after="0"/>
              <w:rPr>
                <w:sz w:val="15"/>
                <w:szCs w:val="15"/>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360" w:type="dxa"/>
            <w:vAlign w:val="bottom"/>
          </w:tcPr>
          <w:p>
            <w:pPr>
              <w:spacing w:after="0"/>
              <w:rPr>
                <w:sz w:val="15"/>
                <w:szCs w:val="15"/>
                <w:color w:val="auto"/>
              </w:rPr>
            </w:pPr>
          </w:p>
        </w:tc>
        <w:tc>
          <w:tcPr>
            <w:tcW w:w="1060" w:type="dxa"/>
            <w:vAlign w:val="bottom"/>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4"/>
        </w:trPr>
        <w:tc>
          <w:tcPr>
            <w:tcW w:w="5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72"/>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Corporates, Non-structured Hybrids, Municipal and Government securities:</w:t>
            </w:r>
          </w:p>
        </w:tc>
        <w:tc>
          <w:tcPr>
            <w:tcW w:w="16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r>
      <w:tr>
        <w:trPr>
          <w:trHeight w:val="188"/>
        </w:trPr>
        <w:tc>
          <w:tcPr>
            <w:tcW w:w="5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Due in one year or less</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830</w:t>
            </w:r>
          </w:p>
        </w:tc>
        <w:tc>
          <w:tcPr>
            <w:tcW w:w="100" w:type="dxa"/>
            <w:vAlign w:val="bottom"/>
          </w:tcPr>
          <w:p>
            <w:pPr>
              <w:spacing w:after="0"/>
              <w:rPr>
                <w:sz w:val="16"/>
                <w:szCs w:val="16"/>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824</w:t>
            </w:r>
          </w:p>
        </w:tc>
        <w:tc>
          <w:tcPr>
            <w:tcW w:w="8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623</w:t>
            </w:r>
          </w:p>
        </w:tc>
        <w:tc>
          <w:tcPr>
            <w:tcW w:w="100" w:type="dxa"/>
            <w:vAlign w:val="bottom"/>
          </w:tcPr>
          <w:p>
            <w:pPr>
              <w:spacing w:after="0"/>
              <w:rPr>
                <w:sz w:val="16"/>
                <w:szCs w:val="16"/>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619</w:t>
            </w:r>
          </w:p>
        </w:tc>
      </w:tr>
      <w:tr>
        <w:trPr>
          <w:trHeight w:val="24"/>
        </w:trPr>
        <w:tc>
          <w:tcPr>
            <w:tcW w:w="5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92"/>
        </w:trPr>
        <w:tc>
          <w:tcPr>
            <w:tcW w:w="5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Due after one year through five years</w:t>
            </w:r>
          </w:p>
        </w:tc>
        <w:tc>
          <w:tcPr>
            <w:tcW w:w="16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5,622</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5,513</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5,597</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5,626</w:t>
            </w:r>
          </w:p>
        </w:tc>
      </w:tr>
      <w:tr>
        <w:trPr>
          <w:trHeight w:val="188"/>
        </w:trPr>
        <w:tc>
          <w:tcPr>
            <w:tcW w:w="5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Due after five years through ten years</w:t>
            </w:r>
          </w:p>
        </w:tc>
        <w:tc>
          <w:tcPr>
            <w:tcW w:w="160" w:type="dxa"/>
            <w:vAlign w:val="bottom"/>
          </w:tcPr>
          <w:p>
            <w:pPr>
              <w:spacing w:after="0"/>
              <w:rPr>
                <w:sz w:val="16"/>
                <w:szCs w:val="16"/>
                <w:color w:val="auto"/>
              </w:rPr>
            </w:pPr>
          </w:p>
        </w:tc>
        <w:tc>
          <w:tcPr>
            <w:tcW w:w="12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4,674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5,811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5,812</w:t>
            </w:r>
          </w:p>
        </w:tc>
      </w:tr>
      <w:tr>
        <w:trPr>
          <w:trHeight w:val="24"/>
        </w:trPr>
        <w:tc>
          <w:tcPr>
            <w:tcW w:w="5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12"/>
        </w:trPr>
        <w:tc>
          <w:tcPr>
            <w:tcW w:w="5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Due after ten years</w:t>
            </w:r>
          </w:p>
        </w:tc>
        <w:tc>
          <w:tcPr>
            <w:tcW w:w="1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20,446</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16,631</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18,090</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15,716</w:t>
            </w:r>
          </w:p>
        </w:tc>
      </w:tr>
      <w:tr>
        <w:trPr>
          <w:trHeight w:val="181"/>
        </w:trPr>
        <w:tc>
          <w:tcPr>
            <w:tcW w:w="524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Subtotal</w:t>
            </w:r>
          </w:p>
        </w:tc>
        <w:tc>
          <w:tcPr>
            <w:tcW w:w="16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31,572</w:t>
            </w:r>
          </w:p>
        </w:tc>
        <w:tc>
          <w:tcPr>
            <w:tcW w:w="1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27,368</w:t>
            </w: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30,121</w:t>
            </w:r>
          </w:p>
        </w:tc>
        <w:tc>
          <w:tcPr>
            <w:tcW w:w="1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27,773</w:t>
            </w:r>
          </w:p>
        </w:tc>
      </w:tr>
      <w:tr>
        <w:trPr>
          <w:trHeight w:val="24"/>
        </w:trPr>
        <w:tc>
          <w:tcPr>
            <w:tcW w:w="5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92"/>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Other securities, which provide for periodic payments:</w:t>
            </w:r>
          </w:p>
        </w:tc>
        <w:tc>
          <w:tcPr>
            <w:tcW w:w="16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r>
      <w:tr>
        <w:trPr>
          <w:trHeight w:val="188"/>
        </w:trPr>
        <w:tc>
          <w:tcPr>
            <w:tcW w:w="5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Asset-backed securities</w:t>
            </w:r>
          </w:p>
        </w:tc>
        <w:tc>
          <w:tcPr>
            <w:tcW w:w="160" w:type="dxa"/>
            <w:vAlign w:val="bottom"/>
          </w:tcPr>
          <w:p>
            <w:pPr>
              <w:spacing w:after="0"/>
              <w:rPr>
                <w:sz w:val="16"/>
                <w:szCs w:val="16"/>
                <w:color w:val="auto"/>
              </w:rPr>
            </w:pPr>
          </w:p>
        </w:tc>
        <w:tc>
          <w:tcPr>
            <w:tcW w:w="12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18,132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17,853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18,853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18,738</w:t>
            </w:r>
          </w:p>
        </w:tc>
      </w:tr>
      <w:tr>
        <w:trPr>
          <w:trHeight w:val="24"/>
        </w:trPr>
        <w:tc>
          <w:tcPr>
            <w:tcW w:w="5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92"/>
        </w:trPr>
        <w:tc>
          <w:tcPr>
            <w:tcW w:w="5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Commercial mortgage-backed securities</w:t>
            </w:r>
          </w:p>
        </w:tc>
        <w:tc>
          <w:tcPr>
            <w:tcW w:w="16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4,410</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4,174</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5,341</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5,199</w:t>
            </w:r>
          </w:p>
        </w:tc>
      </w:tr>
      <w:tr>
        <w:trPr>
          <w:trHeight w:val="188"/>
        </w:trPr>
        <w:tc>
          <w:tcPr>
            <w:tcW w:w="5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Residential mortgage-backed securities</w:t>
            </w:r>
          </w:p>
        </w:tc>
        <w:tc>
          <w:tcPr>
            <w:tcW w:w="160" w:type="dxa"/>
            <w:vAlign w:val="bottom"/>
          </w:tcPr>
          <w:p>
            <w:pPr>
              <w:spacing w:after="0"/>
              <w:rPr>
                <w:sz w:val="16"/>
                <w:szCs w:val="16"/>
                <w:color w:val="auto"/>
              </w:rPr>
            </w:pPr>
          </w:p>
        </w:tc>
        <w:tc>
          <w:tcPr>
            <w:tcW w:w="12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3,540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2,851</w:t>
            </w:r>
          </w:p>
        </w:tc>
      </w:tr>
      <w:tr>
        <w:trPr>
          <w:trHeight w:val="24"/>
        </w:trPr>
        <w:tc>
          <w:tcPr>
            <w:tcW w:w="5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5"/>
        </w:trPr>
        <w:tc>
          <w:tcPr>
            <w:tcW w:w="52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b w:val="1"/>
                <w:bCs w:val="1"/>
                <w:color w:val="auto"/>
              </w:rPr>
              <w:t>Subtotal</w:t>
            </w:r>
          </w:p>
        </w:tc>
        <w:tc>
          <w:tcPr>
            <w:tcW w:w="16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26,082</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25,413</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27,040</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26,788</w:t>
            </w:r>
          </w:p>
        </w:tc>
      </w:tr>
      <w:tr>
        <w:trPr>
          <w:trHeight w:val="205"/>
        </w:trPr>
        <w:tc>
          <w:tcPr>
            <w:tcW w:w="524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Total fixed maturity available-for-sale securities</w:t>
            </w: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57,654</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52,781</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57,161</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54,561</w:t>
            </w:r>
          </w:p>
        </w:tc>
      </w:tr>
      <w:tr>
        <w:trPr>
          <w:trHeight w:val="20"/>
        </w:trPr>
        <w:tc>
          <w:tcPr>
            <w:tcW w:w="5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Current Expected Credit Loss</w:t>
      </w:r>
    </w:p>
    <w:p>
      <w:pPr>
        <w:spacing w:after="0" w:line="14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regularly review AFS securities for declines in fair value that we determine to be credit related. For our fixed maturity securities, we generally consider the following in determining whether our unrealized losses are credit related, and if so, the magnitude of the credit loss:</w:t>
      </w:r>
    </w:p>
    <w:p>
      <w:pPr>
        <w:spacing w:after="0" w:line="71" w:lineRule="exact"/>
        <w:rPr>
          <w:sz w:val="20"/>
          <w:szCs w:val="20"/>
          <w:color w:val="auto"/>
        </w:rPr>
      </w:pPr>
    </w:p>
    <w:p>
      <w:pPr>
        <w:ind w:left="720" w:hanging="317"/>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fair value is less than the amortized cost basis;</w:t>
      </w:r>
    </w:p>
    <w:p>
      <w:pPr>
        <w:spacing w:after="0" w:line="124" w:lineRule="exact"/>
        <w:rPr>
          <w:rFonts w:ascii="Times New Roman" w:cs="Times New Roman" w:eastAsia="Times New Roman" w:hAnsi="Times New Roman"/>
          <w:sz w:val="18"/>
          <w:szCs w:val="18"/>
          <w:color w:val="auto"/>
        </w:rPr>
      </w:pPr>
    </w:p>
    <w:p>
      <w:pPr>
        <w:ind w:left="720" w:hanging="317"/>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reasons for the decline in value (credit event, foreign currency or interest-rate related, including general credit spread widening);</w:t>
      </w:r>
    </w:p>
    <w:p>
      <w:pPr>
        <w:spacing w:after="0" w:line="137" w:lineRule="exact"/>
        <w:rPr>
          <w:rFonts w:ascii="Times New Roman" w:cs="Times New Roman" w:eastAsia="Times New Roman" w:hAnsi="Times New Roman"/>
          <w:sz w:val="18"/>
          <w:szCs w:val="18"/>
          <w:color w:val="auto"/>
        </w:rPr>
      </w:pPr>
    </w:p>
    <w:p>
      <w:pPr>
        <w:ind w:left="720" w:hanging="317"/>
        <w:spacing w:after="0" w:line="274" w:lineRule="auto"/>
        <w:tabs>
          <w:tab w:leader="none" w:pos="71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condition of and near-term prospects of the issuer (including issuer's current credit rating and the probability of full recovery of principal based upon the issuer's financial strength);</w:t>
      </w:r>
    </w:p>
    <w:p>
      <w:pPr>
        <w:spacing w:after="0" w:line="70" w:lineRule="exact"/>
        <w:rPr>
          <w:rFonts w:ascii="Times New Roman" w:cs="Times New Roman" w:eastAsia="Times New Roman" w:hAnsi="Times New Roman"/>
          <w:sz w:val="18"/>
          <w:szCs w:val="18"/>
          <w:color w:val="auto"/>
        </w:rPr>
      </w:pPr>
    </w:p>
    <w:p>
      <w:pPr>
        <w:ind w:left="720" w:hanging="317"/>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delinquencies and non-performing assets of underlying collateral;</w:t>
      </w:r>
    </w:p>
    <w:p>
      <w:pPr>
        <w:spacing w:after="0" w:line="124" w:lineRule="exact"/>
        <w:rPr>
          <w:rFonts w:ascii="Times New Roman" w:cs="Times New Roman" w:eastAsia="Times New Roman" w:hAnsi="Times New Roman"/>
          <w:sz w:val="18"/>
          <w:szCs w:val="18"/>
          <w:color w:val="auto"/>
        </w:rPr>
      </w:pPr>
    </w:p>
    <w:p>
      <w:pPr>
        <w:ind w:left="720" w:hanging="317"/>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future default rates;</w:t>
      </w:r>
    </w:p>
    <w:p>
      <w:pPr>
        <w:spacing w:after="0" w:line="137" w:lineRule="exact"/>
        <w:rPr>
          <w:rFonts w:ascii="Times New Roman" w:cs="Times New Roman" w:eastAsia="Times New Roman" w:hAnsi="Times New Roman"/>
          <w:sz w:val="18"/>
          <w:szCs w:val="18"/>
          <w:color w:val="auto"/>
        </w:rPr>
      </w:pPr>
    </w:p>
    <w:p>
      <w:pPr>
        <w:ind w:left="720" w:hanging="317"/>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Collateral value by vintage, geographic region, industry concentration or property type;</w:t>
      </w:r>
    </w:p>
    <w:p>
      <w:pPr>
        <w:spacing w:after="0" w:line="124" w:lineRule="exact"/>
        <w:rPr>
          <w:rFonts w:ascii="Times New Roman" w:cs="Times New Roman" w:eastAsia="Times New Roman" w:hAnsi="Times New Roman"/>
          <w:sz w:val="18"/>
          <w:szCs w:val="18"/>
          <w:color w:val="auto"/>
        </w:rPr>
      </w:pPr>
    </w:p>
    <w:p>
      <w:pPr>
        <w:ind w:left="720" w:hanging="317"/>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Subordination levels or other credit enhancements as of the balance sheet date as compared to origination; and</w:t>
      </w:r>
    </w:p>
    <w:p>
      <w:pPr>
        <w:spacing w:after="0" w:line="124" w:lineRule="exact"/>
        <w:rPr>
          <w:rFonts w:ascii="Times New Roman" w:cs="Times New Roman" w:eastAsia="Times New Roman" w:hAnsi="Times New Roman"/>
          <w:sz w:val="18"/>
          <w:szCs w:val="18"/>
          <w:color w:val="auto"/>
        </w:rPr>
      </w:pPr>
    </w:p>
    <w:p>
      <w:pPr>
        <w:ind w:left="720" w:hanging="317"/>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Contractual and regulatory cash obligations and the issuer's plans to meet such obligations.</w:t>
      </w:r>
    </w:p>
    <w:p>
      <w:pPr>
        <w:spacing w:after="0" w:line="13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recognize an allowance for current expected credit losses on fixed maturity securities in an unrealized loss position when it is determined, using the factors discussed above, a component of the unrealized loss is related to credit. We measure the credit loss using a discounted cash flow model that utilizes the single best estimate cash flow and the recognized credit loss is limited to the total unrealized loss on the security (i.e., the fair value floor). Cash flows are discounted using the implicit yield of bonds at their time of purchase and the current book yield for asset and mortgage-backed securities as well as variable rate securities. We recognize the expected credit losses in Recognized gains and losses, net in the unaudited Condensed Consolidated Statements of Earnings, with an offset for the amount of non-credit impairments recognized in AOCL. We do not measure a credit loss allowance on accrued investment income because we write-off accrued interest through Interest and investment income when collectability concerns arise.</w:t>
      </w:r>
    </w:p>
    <w:p>
      <w:pPr>
        <w:spacing w:after="0" w:line="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 consider the following in determining whether write-offs of a security’s amortized cost are necessary:</w:t>
      </w:r>
    </w:p>
    <w:p>
      <w:pPr>
        <w:spacing w:after="0" w:line="124" w:lineRule="exact"/>
        <w:rPr>
          <w:sz w:val="20"/>
          <w:szCs w:val="20"/>
          <w:color w:val="auto"/>
        </w:rPr>
      </w:pPr>
    </w:p>
    <w:p>
      <w:pPr>
        <w:ind w:left="640" w:hanging="237"/>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amounts related to securities have become uncollectible;</w:t>
      </w:r>
    </w:p>
    <w:p>
      <w:pPr>
        <w:spacing w:after="0" w:line="137" w:lineRule="exact"/>
        <w:rPr>
          <w:rFonts w:ascii="Times New Roman" w:cs="Times New Roman" w:eastAsia="Times New Roman" w:hAnsi="Times New Roman"/>
          <w:sz w:val="18"/>
          <w:szCs w:val="18"/>
          <w:color w:val="auto"/>
        </w:rPr>
      </w:pPr>
    </w:p>
    <w:p>
      <w:pPr>
        <w:ind w:left="640" w:hanging="237"/>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intend to sell a security; or</w:t>
      </w:r>
    </w:p>
    <w:p>
      <w:pPr>
        <w:spacing w:after="0" w:line="124" w:lineRule="exact"/>
        <w:rPr>
          <w:rFonts w:ascii="Times New Roman" w:cs="Times New Roman" w:eastAsia="Times New Roman" w:hAnsi="Times New Roman"/>
          <w:sz w:val="18"/>
          <w:szCs w:val="18"/>
          <w:color w:val="auto"/>
        </w:rPr>
      </w:pPr>
    </w:p>
    <w:p>
      <w:pPr>
        <w:ind w:left="640" w:hanging="237"/>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more likely than not that we will be required to sell a security prior to recovery.</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If we intend to sell a fixed maturity security or it is more likely than not that we will be required to sell the security before recovery of its amortized cost basis and the fair value of the security is below amortized cost, we will write down the security to current fair value, with a corresponding charge, net of any amount previously recognized as an allowance for expected credit loss, to Recognized gains and losses, net in the accompanying unaudited Condensed Consolidated Statements of Earnings. If we do not intend to sell a fixed maturity security or it is more likely than not that we will not be required to sell a fixed maturity security before recovery of its amortized cost basis but believe amounts related to a security are uncollectible, an impairment is deemed to have occurred and the amortized cost is written down to the estimated recovery value with a corresponding charge, net of any amount previously recognized as an allowance for expected credit loss, to Recognized gains and losses, net in the accompanying unaudited Condensed Consolidated Statements of Earnings. The remainder of unrealized loss is held in AOCL. As of September 30, 2026 and December 31, 2025, our allowance for expected credit losses for AFS securities was $72 million and $112 million, respectively.</w:t>
      </w:r>
    </w:p>
    <w:p>
      <w:pPr>
        <w:spacing w:after="0" w:line="81" w:lineRule="exact"/>
        <w:rPr>
          <w:sz w:val="20"/>
          <w:szCs w:val="20"/>
          <w:color w:val="auto"/>
        </w:rPr>
      </w:pPr>
    </w:p>
    <w:p>
      <w:pPr>
        <w:jc w:val="both"/>
        <w:ind w:firstLine="318"/>
        <w:spacing w:after="0" w:line="272" w:lineRule="auto"/>
        <w:rPr>
          <w:sz w:val="20"/>
          <w:szCs w:val="20"/>
          <w:color w:val="auto"/>
        </w:rPr>
      </w:pPr>
      <w:r>
        <w:rPr>
          <w:rFonts w:ascii="Times New Roman" w:cs="Times New Roman" w:eastAsia="Times New Roman" w:hAnsi="Times New Roman"/>
          <w:sz w:val="18"/>
          <w:szCs w:val="18"/>
          <w:color w:val="auto"/>
        </w:rPr>
        <w:t>The fair value and gross unrealized losses of AFS securities, excluding securities in an unrealized loss position with an allowance for expected credit loss, aggregated by investment category and duration of fair value below amortized cost as of September 30, 2026 and December 31, 2025 were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4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4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40" w:type="dxa"/>
            <w:vAlign w:val="bottom"/>
            <w:gridSpan w:val="8"/>
          </w:tcPr>
          <w:p>
            <w:pPr>
              <w:ind w:left="36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160" w:type="dxa"/>
            <w:vAlign w:val="bottom"/>
          </w:tcPr>
          <w:p>
            <w:pPr>
              <w:spacing w:after="0"/>
              <w:rPr>
                <w:sz w:val="15"/>
                <w:szCs w:val="15"/>
                <w:color w:val="auto"/>
              </w:rPr>
            </w:pPr>
          </w:p>
        </w:tc>
        <w:tc>
          <w:tcPr>
            <w:tcW w:w="224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12 months or longer</w:t>
            </w:r>
          </w:p>
        </w:tc>
        <w:tc>
          <w:tcPr>
            <w:tcW w:w="160" w:type="dxa"/>
            <w:vAlign w:val="bottom"/>
          </w:tcPr>
          <w:p>
            <w:pPr>
              <w:spacing w:after="0"/>
              <w:rPr>
                <w:sz w:val="15"/>
                <w:szCs w:val="15"/>
                <w:color w:val="auto"/>
              </w:rPr>
            </w:pPr>
          </w:p>
        </w:tc>
        <w:tc>
          <w:tcPr>
            <w:tcW w:w="1260" w:type="dxa"/>
            <w:vAlign w:val="bottom"/>
            <w:gridSpan w:val="3"/>
          </w:tcPr>
          <w:p>
            <w:pPr>
              <w:ind w:left="8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4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0" w:type="dxa"/>
            <w:vAlign w:val="bottom"/>
            <w:gridSpan w:val="5"/>
          </w:tcPr>
          <w:p>
            <w:pPr>
              <w:jc w:val="center"/>
              <w:ind w:right="120"/>
              <w:spacing w:after="0" w:line="141"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60" w:type="dxa"/>
            <w:vAlign w:val="bottom"/>
          </w:tcPr>
          <w:p>
            <w:pPr>
              <w:spacing w:after="0"/>
              <w:rPr>
                <w:sz w:val="12"/>
                <w:szCs w:val="12"/>
                <w:color w:val="auto"/>
              </w:rPr>
            </w:pPr>
          </w:p>
        </w:tc>
        <w:tc>
          <w:tcPr>
            <w:tcW w:w="10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0" w:type="dxa"/>
            <w:vAlign w:val="bottom"/>
            <w:gridSpan w:val="3"/>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60" w:type="dxa"/>
            <w:vAlign w:val="bottom"/>
          </w:tcPr>
          <w:p>
            <w:pPr>
              <w:spacing w:after="0"/>
              <w:rPr>
                <w:sz w:val="12"/>
                <w:szCs w:val="12"/>
                <w:color w:val="auto"/>
              </w:rPr>
            </w:pPr>
          </w:p>
        </w:tc>
        <w:tc>
          <w:tcPr>
            <w:tcW w:w="10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00" w:type="dxa"/>
            <w:vAlign w:val="bottom"/>
            <w:gridSpan w:val="2"/>
          </w:tcPr>
          <w:p>
            <w:pPr>
              <w:ind w:left="40"/>
              <w:spacing w:after="0" w:line="141"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0" w:type="dxa"/>
            <w:vAlign w:val="bottom"/>
          </w:tcPr>
          <w:p>
            <w:pPr>
              <w:spacing w:after="0"/>
              <w:rPr>
                <w:sz w:val="1"/>
                <w:szCs w:val="1"/>
                <w:color w:val="auto"/>
              </w:rPr>
            </w:pPr>
          </w:p>
        </w:tc>
      </w:tr>
      <w:tr>
        <w:trPr>
          <w:trHeight w:val="191"/>
        </w:trPr>
        <w:tc>
          <w:tcPr>
            <w:tcW w:w="41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191"/>
        </w:trPr>
        <w:tc>
          <w:tcPr>
            <w:tcW w:w="4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Available-for-sale securities</w:t>
            </w:r>
          </w:p>
        </w:tc>
        <w:tc>
          <w:tcPr>
            <w:tcW w:w="1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gridSpan w:val="3"/>
            <w:shd w:val="clear" w:color="auto" w:fill="CCEEFF"/>
          </w:tcPr>
          <w:p>
            <w:pPr>
              <w:jc w:val="center"/>
              <w:ind w:left="52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Asset-backed securities</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1,949</w:t>
            </w:r>
          </w:p>
        </w:tc>
        <w:tc>
          <w:tcPr>
            <w:tcW w:w="120" w:type="dxa"/>
            <w:vAlign w:val="bottom"/>
          </w:tcPr>
          <w:p>
            <w:pPr>
              <w:spacing w:after="0"/>
              <w:rPr>
                <w:sz w:val="16"/>
                <w:szCs w:val="16"/>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10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7,132</w:t>
            </w:r>
          </w:p>
        </w:tc>
        <w:tc>
          <w:tcPr>
            <w:tcW w:w="100" w:type="dxa"/>
            <w:vAlign w:val="bottom"/>
          </w:tcPr>
          <w:p>
            <w:pPr>
              <w:spacing w:after="0"/>
              <w:rPr>
                <w:sz w:val="16"/>
                <w:szCs w:val="16"/>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w:t>
            </w:r>
          </w:p>
        </w:tc>
        <w:tc>
          <w:tcPr>
            <w:tcW w:w="0" w:type="dxa"/>
            <w:vAlign w:val="bottom"/>
          </w:tcPr>
          <w:p>
            <w:pPr>
              <w:spacing w:after="0"/>
              <w:rPr>
                <w:sz w:val="1"/>
                <w:szCs w:val="1"/>
                <w:color w:val="auto"/>
              </w:rPr>
            </w:pPr>
          </w:p>
        </w:tc>
      </w:tr>
      <w:tr>
        <w:trPr>
          <w:trHeight w:val="24"/>
        </w:trPr>
        <w:tc>
          <w:tcPr>
            <w:tcW w:w="4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4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mortgage-backed securities</w:t>
            </w:r>
          </w:p>
        </w:tc>
        <w:tc>
          <w:tcPr>
            <w:tcW w:w="1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1,679</w:t>
            </w: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779</w:t>
            </w: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2,458</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0" w:type="dxa"/>
            <w:vAlign w:val="bottom"/>
          </w:tcPr>
          <w:p>
            <w:pPr>
              <w:spacing w:after="0"/>
              <w:rPr>
                <w:sz w:val="1"/>
                <w:szCs w:val="1"/>
                <w:color w:val="auto"/>
              </w:rPr>
            </w:pPr>
          </w:p>
        </w:tc>
      </w:tr>
      <w:tr>
        <w:trPr>
          <w:trHeight w:val="188"/>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Corporates</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14,214</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7,986</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22,200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(3,789)</w:t>
            </w:r>
          </w:p>
        </w:tc>
        <w:tc>
          <w:tcPr>
            <w:tcW w:w="0" w:type="dxa"/>
            <w:vAlign w:val="bottom"/>
          </w:tcPr>
          <w:p>
            <w:pPr>
              <w:spacing w:after="0"/>
              <w:rPr>
                <w:sz w:val="1"/>
                <w:szCs w:val="1"/>
                <w:color w:val="auto"/>
              </w:rPr>
            </w:pPr>
          </w:p>
        </w:tc>
      </w:tr>
      <w:tr>
        <w:trPr>
          <w:trHeight w:val="24"/>
        </w:trPr>
        <w:tc>
          <w:tcPr>
            <w:tcW w:w="4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4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Hybrids</w:t>
            </w:r>
          </w:p>
        </w:tc>
        <w:tc>
          <w:tcPr>
            <w:tcW w:w="1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w:t>
            </w: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188"/>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Municipals</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929</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0" w:type="dxa"/>
            <w:vAlign w:val="bottom"/>
          </w:tcPr>
          <w:p>
            <w:pPr>
              <w:spacing w:after="0"/>
              <w:rPr>
                <w:sz w:val="1"/>
                <w:szCs w:val="1"/>
                <w:color w:val="auto"/>
              </w:rPr>
            </w:pPr>
          </w:p>
        </w:tc>
      </w:tr>
      <w:tr>
        <w:trPr>
          <w:trHeight w:val="24"/>
        </w:trPr>
        <w:tc>
          <w:tcPr>
            <w:tcW w:w="4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4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Residential mortgage-backed securities</w:t>
            </w:r>
          </w:p>
        </w:tc>
        <w:tc>
          <w:tcPr>
            <w:tcW w:w="1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2,289</w:t>
            </w: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w:t>
            </w: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2,612</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0" w:type="dxa"/>
            <w:vAlign w:val="bottom"/>
          </w:tcPr>
          <w:p>
            <w:pPr>
              <w:spacing w:after="0"/>
              <w:rPr>
                <w:sz w:val="1"/>
                <w:szCs w:val="1"/>
                <w:color w:val="auto"/>
              </w:rPr>
            </w:pPr>
          </w:p>
        </w:tc>
      </w:tr>
      <w:tr>
        <w:trPr>
          <w:trHeight w:val="188"/>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U.S. Government</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749</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24"/>
        </w:trPr>
        <w:tc>
          <w:tcPr>
            <w:tcW w:w="4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Government</w:t>
            </w:r>
          </w:p>
        </w:tc>
        <w:tc>
          <w:tcPr>
            <w:tcW w:w="1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0" w:type="dxa"/>
            <w:vAlign w:val="bottom"/>
          </w:tcPr>
          <w:p>
            <w:pPr>
              <w:spacing w:after="0"/>
              <w:rPr>
                <w:sz w:val="1"/>
                <w:szCs w:val="1"/>
                <w:color w:val="auto"/>
              </w:rPr>
            </w:pPr>
          </w:p>
        </w:tc>
      </w:tr>
      <w:tr>
        <w:trPr>
          <w:trHeight w:val="205"/>
        </w:trPr>
        <w:tc>
          <w:tcPr>
            <w:tcW w:w="41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Total available-for-sale securities</w:t>
            </w: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24,863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(1,241)</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12,433</w:t>
            </w:r>
          </w:p>
        </w:tc>
        <w:tc>
          <w:tcPr>
            <w:tcW w:w="12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(3,699)</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37,296</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(4,940)</w:t>
            </w:r>
          </w:p>
        </w:tc>
        <w:tc>
          <w:tcPr>
            <w:tcW w:w="0" w:type="dxa"/>
            <w:vAlign w:val="bottom"/>
          </w:tcPr>
          <w:p>
            <w:pPr>
              <w:spacing w:after="0"/>
              <w:rPr>
                <w:sz w:val="1"/>
                <w:szCs w:val="1"/>
                <w:color w:val="auto"/>
              </w:rPr>
            </w:pPr>
          </w:p>
        </w:tc>
      </w:tr>
      <w:tr>
        <w:trPr>
          <w:trHeight w:val="20"/>
        </w:trPr>
        <w:tc>
          <w:tcPr>
            <w:tcW w:w="4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4140" w:type="dxa"/>
            <w:vAlign w:val="bottom"/>
            <w:gridSpan w:val="2"/>
            <w:shd w:val="clear" w:color="auto" w:fill="CCEEFF"/>
          </w:tcPr>
          <w:p>
            <w:pPr>
              <w:ind w:left="20"/>
              <w:spacing w:after="0" w:line="116" w:lineRule="exact"/>
              <w:rPr>
                <w:sz w:val="20"/>
                <w:szCs w:val="20"/>
                <w:color w:val="auto"/>
              </w:rPr>
            </w:pPr>
            <w:r>
              <w:rPr>
                <w:rFonts w:ascii="Times New Roman" w:cs="Times New Roman" w:eastAsia="Times New Roman" w:hAnsi="Times New Roman"/>
                <w:sz w:val="13"/>
                <w:szCs w:val="13"/>
                <w:color w:val="auto"/>
              </w:rPr>
              <w:t>Total number of available-for-sale securities in an unrealized loss</w:t>
            </w:r>
          </w:p>
        </w:tc>
        <w:tc>
          <w:tcPr>
            <w:tcW w:w="1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5,706</w:t>
            </w:r>
          </w:p>
        </w:tc>
        <w:tc>
          <w:tcPr>
            <w:tcW w:w="0" w:type="dxa"/>
            <w:vAlign w:val="bottom"/>
          </w:tcPr>
          <w:p>
            <w:pPr>
              <w:spacing w:after="0"/>
              <w:rPr>
                <w:sz w:val="1"/>
                <w:szCs w:val="1"/>
                <w:color w:val="auto"/>
              </w:rPr>
            </w:pPr>
          </w:p>
        </w:tc>
      </w:tr>
      <w:tr>
        <w:trPr>
          <w:trHeight w:val="188"/>
        </w:trPr>
        <w:tc>
          <w:tcPr>
            <w:tcW w:w="4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position less than twelve months</w:t>
            </w:r>
          </w:p>
        </w:tc>
        <w:tc>
          <w:tcPr>
            <w:tcW w:w="1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bottom w:val="single" w:sz="8" w:color="CCEEFF"/>
            </w:tcBorders>
            <w:gridSpan w:val="2"/>
            <w:vMerge w:val="restart"/>
          </w:tcPr>
          <w:p>
            <w:pPr>
              <w:ind w:left="20"/>
              <w:spacing w:after="0" w:line="136" w:lineRule="exact"/>
              <w:rPr>
                <w:sz w:val="20"/>
                <w:szCs w:val="20"/>
                <w:color w:val="auto"/>
              </w:rPr>
            </w:pPr>
            <w:r>
              <w:rPr>
                <w:rFonts w:ascii="Times New Roman" w:cs="Times New Roman" w:eastAsia="Times New Roman" w:hAnsi="Times New Roman"/>
                <w:sz w:val="14"/>
                <w:szCs w:val="14"/>
                <w:color w:val="auto"/>
              </w:rPr>
              <w:t>Total number of available-for-sale securities in an unrealized loss</w:t>
            </w: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414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2,012</w:t>
            </w:r>
          </w:p>
        </w:tc>
        <w:tc>
          <w:tcPr>
            <w:tcW w:w="0" w:type="dxa"/>
            <w:vAlign w:val="bottom"/>
          </w:tcPr>
          <w:p>
            <w:pPr>
              <w:spacing w:after="0"/>
              <w:rPr>
                <w:sz w:val="1"/>
                <w:szCs w:val="1"/>
                <w:color w:val="auto"/>
              </w:rPr>
            </w:pPr>
          </w:p>
        </w:tc>
      </w:tr>
      <w:tr>
        <w:trPr>
          <w:trHeight w:val="168"/>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position twelve months or longer</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4140" w:type="dxa"/>
            <w:vAlign w:val="bottom"/>
            <w:gridSpan w:val="2"/>
            <w:shd w:val="clear" w:color="auto" w:fill="CCEEFF"/>
          </w:tcPr>
          <w:p>
            <w:pPr>
              <w:ind w:left="20"/>
              <w:spacing w:after="0" w:line="116" w:lineRule="exact"/>
              <w:rPr>
                <w:sz w:val="20"/>
                <w:szCs w:val="20"/>
                <w:color w:val="auto"/>
              </w:rPr>
            </w:pPr>
            <w:r>
              <w:rPr>
                <w:rFonts w:ascii="Times New Roman" w:cs="Times New Roman" w:eastAsia="Times New Roman" w:hAnsi="Times New Roman"/>
                <w:sz w:val="13"/>
                <w:szCs w:val="13"/>
                <w:color w:val="auto"/>
              </w:rPr>
              <w:t>Total number of available-for-sale securities in an unrealized loss</w:t>
            </w:r>
          </w:p>
        </w:tc>
        <w:tc>
          <w:tcPr>
            <w:tcW w:w="1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7,718</w:t>
            </w:r>
          </w:p>
        </w:tc>
        <w:tc>
          <w:tcPr>
            <w:tcW w:w="0" w:type="dxa"/>
            <w:vAlign w:val="bottom"/>
          </w:tcPr>
          <w:p>
            <w:pPr>
              <w:spacing w:after="0"/>
              <w:rPr>
                <w:sz w:val="1"/>
                <w:szCs w:val="1"/>
                <w:color w:val="auto"/>
              </w:rPr>
            </w:pPr>
          </w:p>
        </w:tc>
      </w:tr>
      <w:tr>
        <w:trPr>
          <w:trHeight w:val="188"/>
        </w:trPr>
        <w:tc>
          <w:tcPr>
            <w:tcW w:w="4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position</w:t>
            </w:r>
          </w:p>
        </w:tc>
        <w:tc>
          <w:tcPr>
            <w:tcW w:w="1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bottom w:val="single" w:sz="8" w:color="CCEEFF"/>
            </w:tcBorders>
            <w:gridSpan w:val="5"/>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4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40" w:type="dxa"/>
            <w:vAlign w:val="bottom"/>
            <w:gridSpan w:val="5"/>
            <w:vMerge w:val="continue"/>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4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8"/>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4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40" w:type="dxa"/>
            <w:vAlign w:val="bottom"/>
            <w:gridSpan w:val="8"/>
          </w:tcPr>
          <w:p>
            <w:pPr>
              <w:ind w:left="36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160" w:type="dxa"/>
            <w:vAlign w:val="bottom"/>
          </w:tcPr>
          <w:p>
            <w:pPr>
              <w:spacing w:after="0"/>
              <w:rPr>
                <w:sz w:val="15"/>
                <w:szCs w:val="15"/>
                <w:color w:val="auto"/>
              </w:rPr>
            </w:pPr>
          </w:p>
        </w:tc>
        <w:tc>
          <w:tcPr>
            <w:tcW w:w="224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12 months or longer</w:t>
            </w:r>
          </w:p>
        </w:tc>
        <w:tc>
          <w:tcPr>
            <w:tcW w:w="160" w:type="dxa"/>
            <w:vAlign w:val="bottom"/>
          </w:tcPr>
          <w:p>
            <w:pPr>
              <w:spacing w:after="0"/>
              <w:rPr>
                <w:sz w:val="15"/>
                <w:szCs w:val="15"/>
                <w:color w:val="auto"/>
              </w:rPr>
            </w:pPr>
          </w:p>
        </w:tc>
        <w:tc>
          <w:tcPr>
            <w:tcW w:w="1260" w:type="dxa"/>
            <w:vAlign w:val="bottom"/>
            <w:gridSpan w:val="3"/>
          </w:tcPr>
          <w:p>
            <w:pPr>
              <w:ind w:left="8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39"/>
        </w:trPr>
        <w:tc>
          <w:tcPr>
            <w:tcW w:w="4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0" w:type="dxa"/>
            <w:vAlign w:val="bottom"/>
            <w:gridSpan w:val="5"/>
          </w:tcPr>
          <w:p>
            <w:pPr>
              <w:spacing w:after="0" w:line="139"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60" w:type="dxa"/>
            <w:vAlign w:val="bottom"/>
          </w:tcPr>
          <w:p>
            <w:pPr>
              <w:spacing w:after="0"/>
              <w:rPr>
                <w:sz w:val="12"/>
                <w:szCs w:val="12"/>
                <w:color w:val="auto"/>
              </w:rPr>
            </w:pPr>
          </w:p>
        </w:tc>
        <w:tc>
          <w:tcPr>
            <w:tcW w:w="10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0" w:type="dxa"/>
            <w:vAlign w:val="bottom"/>
            <w:gridSpan w:val="3"/>
          </w:tcPr>
          <w:p>
            <w:pPr>
              <w:ind w:left="20"/>
              <w:spacing w:after="0" w:line="139"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60" w:type="dxa"/>
            <w:vAlign w:val="bottom"/>
          </w:tcPr>
          <w:p>
            <w:pPr>
              <w:spacing w:after="0"/>
              <w:rPr>
                <w:sz w:val="12"/>
                <w:szCs w:val="12"/>
                <w:color w:val="auto"/>
              </w:rPr>
            </w:pPr>
          </w:p>
        </w:tc>
        <w:tc>
          <w:tcPr>
            <w:tcW w:w="10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00" w:type="dxa"/>
            <w:vAlign w:val="bottom"/>
            <w:gridSpan w:val="2"/>
          </w:tcPr>
          <w:p>
            <w:pPr>
              <w:ind w:left="40"/>
              <w:spacing w:after="0" w:line="139"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192"/>
        </w:trPr>
        <w:tc>
          <w:tcPr>
            <w:tcW w:w="4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Available-for-sale securities</w:t>
            </w:r>
          </w:p>
        </w:tc>
        <w:tc>
          <w:tcPr>
            <w:tcW w:w="1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gridSpan w:val="3"/>
            <w:shd w:val="clear" w:color="auto" w:fill="CCEEFF"/>
          </w:tcPr>
          <w:p>
            <w:pPr>
              <w:jc w:val="center"/>
              <w:ind w:left="52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Asset-backed securities</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4,756</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2,160</w:t>
            </w:r>
          </w:p>
        </w:tc>
        <w:tc>
          <w:tcPr>
            <w:tcW w:w="120" w:type="dxa"/>
            <w:vAlign w:val="bottom"/>
          </w:tcPr>
          <w:p>
            <w:pPr>
              <w:spacing w:after="0"/>
              <w:rPr>
                <w:sz w:val="16"/>
                <w:szCs w:val="16"/>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10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6,916</w:t>
            </w:r>
          </w:p>
        </w:tc>
        <w:tc>
          <w:tcPr>
            <w:tcW w:w="100" w:type="dxa"/>
            <w:vAlign w:val="bottom"/>
          </w:tcPr>
          <w:p>
            <w:pPr>
              <w:spacing w:after="0"/>
              <w:rPr>
                <w:sz w:val="16"/>
                <w:szCs w:val="16"/>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0" w:type="dxa"/>
            <w:vAlign w:val="bottom"/>
          </w:tcPr>
          <w:p>
            <w:pPr>
              <w:spacing w:after="0"/>
              <w:rPr>
                <w:sz w:val="1"/>
                <w:szCs w:val="1"/>
                <w:color w:val="auto"/>
              </w:rPr>
            </w:pPr>
          </w:p>
        </w:tc>
      </w:tr>
      <w:tr>
        <w:trPr>
          <w:trHeight w:val="24"/>
        </w:trPr>
        <w:tc>
          <w:tcPr>
            <w:tcW w:w="4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4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mortgage-backed securities</w:t>
            </w:r>
          </w:p>
        </w:tc>
        <w:tc>
          <w:tcPr>
            <w:tcW w:w="1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w:t>
            </w: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1,051</w:t>
            </w: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1,593</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0" w:type="dxa"/>
            <w:vAlign w:val="bottom"/>
          </w:tcPr>
          <w:p>
            <w:pPr>
              <w:spacing w:after="0"/>
              <w:rPr>
                <w:sz w:val="1"/>
                <w:szCs w:val="1"/>
                <w:color w:val="auto"/>
              </w:rPr>
            </w:pPr>
          </w:p>
        </w:tc>
      </w:tr>
      <w:tr>
        <w:trPr>
          <w:trHeight w:val="188"/>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Corporates</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3,419</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10,097</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13,516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(2,367)</w:t>
            </w:r>
          </w:p>
        </w:tc>
        <w:tc>
          <w:tcPr>
            <w:tcW w:w="0" w:type="dxa"/>
            <w:vAlign w:val="bottom"/>
          </w:tcPr>
          <w:p>
            <w:pPr>
              <w:spacing w:after="0"/>
              <w:rPr>
                <w:sz w:val="1"/>
                <w:szCs w:val="1"/>
                <w:color w:val="auto"/>
              </w:rPr>
            </w:pPr>
          </w:p>
        </w:tc>
      </w:tr>
      <w:tr>
        <w:trPr>
          <w:trHeight w:val="24"/>
        </w:trPr>
        <w:tc>
          <w:tcPr>
            <w:tcW w:w="4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4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Hybrids</w:t>
            </w:r>
          </w:p>
        </w:tc>
        <w:tc>
          <w:tcPr>
            <w:tcW w:w="1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w:t>
            </w: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88"/>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Municipals</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0" w:type="dxa"/>
            <w:vAlign w:val="bottom"/>
          </w:tcPr>
          <w:p>
            <w:pPr>
              <w:spacing w:after="0"/>
              <w:rPr>
                <w:sz w:val="1"/>
                <w:szCs w:val="1"/>
                <w:color w:val="auto"/>
              </w:rPr>
            </w:pPr>
          </w:p>
        </w:tc>
      </w:tr>
      <w:tr>
        <w:trPr>
          <w:trHeight w:val="24"/>
        </w:trPr>
        <w:tc>
          <w:tcPr>
            <w:tcW w:w="4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4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Residential mortgage-backed securities</w:t>
            </w:r>
          </w:p>
        </w:tc>
        <w:tc>
          <w:tcPr>
            <w:tcW w:w="1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w:t>
            </w: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0" w:type="dxa"/>
            <w:vAlign w:val="bottom"/>
          </w:tcPr>
          <w:p>
            <w:pPr>
              <w:spacing w:after="0"/>
              <w:rPr>
                <w:sz w:val="1"/>
                <w:szCs w:val="1"/>
                <w:color w:val="auto"/>
              </w:rPr>
            </w:pPr>
          </w:p>
        </w:tc>
      </w:tr>
      <w:tr>
        <w:trPr>
          <w:trHeight w:val="188"/>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U.S. Government</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4"/>
        </w:trPr>
        <w:tc>
          <w:tcPr>
            <w:tcW w:w="4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Government</w:t>
            </w: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205"/>
        </w:trPr>
        <w:tc>
          <w:tcPr>
            <w:tcW w:w="412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Total available-for-sale securities</w:t>
            </w:r>
          </w:p>
        </w:tc>
        <w:tc>
          <w:tcPr>
            <w:tcW w:w="2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9,600</w:t>
            </w:r>
          </w:p>
        </w:tc>
        <w:tc>
          <w:tcPr>
            <w:tcW w:w="10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15,352</w:t>
            </w:r>
          </w:p>
        </w:tc>
        <w:tc>
          <w:tcPr>
            <w:tcW w:w="12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(2,966)</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24,952</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(3,069)</w:t>
            </w:r>
          </w:p>
        </w:tc>
        <w:tc>
          <w:tcPr>
            <w:tcW w:w="0" w:type="dxa"/>
            <w:vAlign w:val="bottom"/>
          </w:tcPr>
          <w:p>
            <w:pPr>
              <w:spacing w:after="0"/>
              <w:rPr>
                <w:sz w:val="1"/>
                <w:szCs w:val="1"/>
                <w:color w:val="auto"/>
              </w:rPr>
            </w:pPr>
          </w:p>
        </w:tc>
      </w:tr>
      <w:tr>
        <w:trPr>
          <w:trHeight w:val="20"/>
        </w:trPr>
        <w:tc>
          <w:tcPr>
            <w:tcW w:w="4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4120" w:type="dxa"/>
            <w:vAlign w:val="bottom"/>
            <w:shd w:val="clear" w:color="auto" w:fill="CCEEFF"/>
          </w:tcPr>
          <w:p>
            <w:pPr>
              <w:ind w:left="20"/>
              <w:spacing w:after="0" w:line="113" w:lineRule="exact"/>
              <w:rPr>
                <w:sz w:val="20"/>
                <w:szCs w:val="20"/>
                <w:color w:val="auto"/>
              </w:rPr>
            </w:pPr>
            <w:r>
              <w:rPr>
                <w:rFonts w:ascii="Times New Roman" w:cs="Times New Roman" w:eastAsia="Times New Roman" w:hAnsi="Times New Roman"/>
                <w:sz w:val="13"/>
                <w:szCs w:val="13"/>
                <w:color w:val="auto"/>
              </w:rPr>
              <w:t>Total number of available-for-sale securities in an unrealized loss</w:t>
            </w:r>
          </w:p>
        </w:tc>
        <w:tc>
          <w:tcPr>
            <w:tcW w:w="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1,962</w:t>
            </w:r>
          </w:p>
        </w:tc>
        <w:tc>
          <w:tcPr>
            <w:tcW w:w="0" w:type="dxa"/>
            <w:vAlign w:val="bottom"/>
          </w:tcPr>
          <w:p>
            <w:pPr>
              <w:spacing w:after="0"/>
              <w:rPr>
                <w:sz w:val="1"/>
                <w:szCs w:val="1"/>
                <w:color w:val="auto"/>
              </w:rPr>
            </w:pPr>
          </w:p>
        </w:tc>
      </w:tr>
      <w:tr>
        <w:trPr>
          <w:trHeight w:val="192"/>
        </w:trPr>
        <w:tc>
          <w:tcPr>
            <w:tcW w:w="4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position less than twelve months</w:t>
            </w:r>
          </w:p>
        </w:tc>
        <w:tc>
          <w:tcPr>
            <w:tcW w:w="1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bottom w:val="single" w:sz="8" w:color="CCEEFF"/>
            </w:tcBorders>
            <w:gridSpan w:val="2"/>
            <w:vMerge w:val="restart"/>
          </w:tcPr>
          <w:p>
            <w:pPr>
              <w:ind w:left="20"/>
              <w:spacing w:after="0" w:line="133" w:lineRule="exact"/>
              <w:rPr>
                <w:sz w:val="20"/>
                <w:szCs w:val="20"/>
                <w:color w:val="auto"/>
              </w:rPr>
            </w:pPr>
            <w:r>
              <w:rPr>
                <w:rFonts w:ascii="Times New Roman" w:cs="Times New Roman" w:eastAsia="Times New Roman" w:hAnsi="Times New Roman"/>
                <w:sz w:val="14"/>
                <w:szCs w:val="14"/>
                <w:color w:val="auto"/>
              </w:rPr>
              <w:t>Total number of available-for-sale securities in an unrealized loss</w:t>
            </w: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414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2,194</w:t>
            </w:r>
          </w:p>
        </w:tc>
        <w:tc>
          <w:tcPr>
            <w:tcW w:w="0" w:type="dxa"/>
            <w:vAlign w:val="bottom"/>
          </w:tcPr>
          <w:p>
            <w:pPr>
              <w:spacing w:after="0"/>
              <w:rPr>
                <w:sz w:val="1"/>
                <w:szCs w:val="1"/>
                <w:color w:val="auto"/>
              </w:rPr>
            </w:pPr>
          </w:p>
        </w:tc>
      </w:tr>
      <w:tr>
        <w:trPr>
          <w:trHeight w:val="172"/>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position twelve months or longer</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4140" w:type="dxa"/>
            <w:vAlign w:val="bottom"/>
            <w:gridSpan w:val="2"/>
            <w:shd w:val="clear" w:color="auto" w:fill="CCEEFF"/>
          </w:tcPr>
          <w:p>
            <w:pPr>
              <w:ind w:left="20"/>
              <w:spacing w:after="0" w:line="113" w:lineRule="exact"/>
              <w:rPr>
                <w:sz w:val="20"/>
                <w:szCs w:val="20"/>
                <w:color w:val="auto"/>
              </w:rPr>
            </w:pPr>
            <w:r>
              <w:rPr>
                <w:rFonts w:ascii="Times New Roman" w:cs="Times New Roman" w:eastAsia="Times New Roman" w:hAnsi="Times New Roman"/>
                <w:sz w:val="13"/>
                <w:szCs w:val="13"/>
                <w:color w:val="auto"/>
              </w:rPr>
              <w:t>Total number of available-for-sale securities in an unrealized loss</w:t>
            </w:r>
          </w:p>
        </w:tc>
        <w:tc>
          <w:tcPr>
            <w:tcW w:w="16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4,156</w:t>
            </w:r>
          </w:p>
        </w:tc>
        <w:tc>
          <w:tcPr>
            <w:tcW w:w="0" w:type="dxa"/>
            <w:vAlign w:val="bottom"/>
          </w:tcPr>
          <w:p>
            <w:pPr>
              <w:spacing w:after="0"/>
              <w:rPr>
                <w:sz w:val="1"/>
                <w:szCs w:val="1"/>
                <w:color w:val="auto"/>
              </w:rPr>
            </w:pPr>
          </w:p>
        </w:tc>
      </w:tr>
      <w:tr>
        <w:trPr>
          <w:trHeight w:val="192"/>
        </w:trPr>
        <w:tc>
          <w:tcPr>
            <w:tcW w:w="4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position</w:t>
            </w:r>
          </w:p>
        </w:tc>
        <w:tc>
          <w:tcPr>
            <w:tcW w:w="1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unrealized losses as of September 30, 2026 and December 31, 2025 were caused by higher treasury rates compared to those at the time of the F&amp;G acquisition or the purchase of the security if later. We believe the unrealized loss position for which we have not recorded an allowance for expected credit loss as of September 30, 2026 was primarily attributable to interest rate increases, near-term illiquidity, and other macroeconomic uncertainties as opposed to issuer specific credit concerns.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Mortgage Loans</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mortgage loans are collateralized by commercial and residential properties.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Mortgage Loans</w:t>
      </w:r>
    </w:p>
    <w:p>
      <w:pPr>
        <w:spacing w:after="0" w:line="115"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Commercial mortgage loans (“CMLs”) represented approximately 5% and 4% of our total investments reported on the unaudited Condensed Consolidated Balance Sheets as of September 30, 2026 and December 31, 2025, respectively. The mortgage loans in our investment portfolio are generally comprised of high quality commercial first lien and mezzanine real estate loans. Mortgage loans are primarily on income producing properties including industrial properties, retail buildings, multifamily properties, and office buildings. We diversify our CML portfolio by geographic region and property type to attempt to reduce concentration risk. We continuously evaluate CMLs based on relevant current information to ensure properties are performing at a consistent and acceptable level to secure the related debt. The distribution of CMLs, gross of valuation allowances, by property type and geographic region is reflected in the following tables: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80" w:type="dxa"/>
            <w:vAlign w:val="bottom"/>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0" w:type="dxa"/>
            <w:vAlign w:val="bottom"/>
            <w:gridSpan w:val="3"/>
          </w:tcPr>
          <w:p>
            <w:pPr>
              <w:jc w:val="right"/>
              <w:ind w:right="869"/>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4"/>
        </w:trPr>
        <w:tc>
          <w:tcPr>
            <w:tcW w:w="5140" w:type="dxa"/>
            <w:vAlign w:val="bottom"/>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5140" w:type="dxa"/>
            <w:vAlign w:val="bottom"/>
          </w:tcPr>
          <w:p>
            <w:pPr>
              <w:spacing w:after="0"/>
              <w:rPr>
                <w:sz w:val="15"/>
                <w:szCs w:val="15"/>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Gross Carrying Value</w:t>
            </w:r>
          </w:p>
        </w:tc>
        <w:tc>
          <w:tcPr>
            <w:tcW w:w="100" w:type="dxa"/>
            <w:vAlign w:val="bottom"/>
          </w:tcPr>
          <w:p>
            <w:pPr>
              <w:spacing w:after="0"/>
              <w:rPr>
                <w:sz w:val="15"/>
                <w:szCs w:val="15"/>
                <w:color w:val="auto"/>
              </w:rPr>
            </w:pPr>
          </w:p>
        </w:tc>
        <w:tc>
          <w:tcPr>
            <w:tcW w:w="108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w w:val="99"/>
              </w:rPr>
              <w:t>% of Total</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Gross Carrying Value</w:t>
            </w:r>
          </w:p>
        </w:tc>
        <w:tc>
          <w:tcPr>
            <w:tcW w:w="100" w:type="dxa"/>
            <w:vAlign w:val="bottom"/>
          </w:tcPr>
          <w:p>
            <w:pPr>
              <w:spacing w:after="0"/>
              <w:rPr>
                <w:sz w:val="15"/>
                <w:szCs w:val="15"/>
                <w:color w:val="auto"/>
              </w:rPr>
            </w:pPr>
          </w:p>
        </w:tc>
        <w:tc>
          <w:tcPr>
            <w:tcW w:w="1500" w:type="dxa"/>
            <w:vAlign w:val="bottom"/>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24"/>
        </w:trPr>
        <w:tc>
          <w:tcPr>
            <w:tcW w:w="5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Property Type:</w:t>
            </w: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51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Hotel</w:t>
            </w: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8"/>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Industrial</w:t>
            </w: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825</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671</w:t>
            </w:r>
          </w:p>
        </w:tc>
        <w:tc>
          <w:tcPr>
            <w:tcW w:w="160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24"/>
        </w:trPr>
        <w:tc>
          <w:tcPr>
            <w:tcW w:w="5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Mixed Use</w:t>
            </w:r>
          </w:p>
        </w:tc>
        <w:tc>
          <w:tcPr>
            <w:tcW w:w="2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600" w:type="dxa"/>
            <w:vAlign w:val="bottom"/>
            <w:tcBorders>
              <w:bottom w:val="single" w:sz="8" w:color="CCEEFF"/>
            </w:tcBorders>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8"/>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Multifamily</w:t>
            </w: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1,320</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1,150</w:t>
            </w:r>
          </w:p>
        </w:tc>
        <w:tc>
          <w:tcPr>
            <w:tcW w:w="160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24"/>
        </w:trPr>
        <w:tc>
          <w:tcPr>
            <w:tcW w:w="5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Office</w:t>
            </w:r>
          </w:p>
        </w:tc>
        <w:tc>
          <w:tcPr>
            <w:tcW w:w="2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w:t>
            </w:r>
          </w:p>
        </w:tc>
        <w:tc>
          <w:tcPr>
            <w:tcW w:w="1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w:t>
            </w:r>
          </w:p>
        </w:tc>
        <w:tc>
          <w:tcPr>
            <w:tcW w:w="1600" w:type="dxa"/>
            <w:vAlign w:val="bottom"/>
            <w:tcBorders>
              <w:bottom w:val="single" w:sz="8" w:color="CCEEFF"/>
            </w:tcBorders>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88"/>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Retail</w:t>
            </w: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160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4"/>
        </w:trPr>
        <w:tc>
          <w:tcPr>
            <w:tcW w:w="5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Student Housing</w:t>
            </w:r>
          </w:p>
        </w:tc>
        <w:tc>
          <w:tcPr>
            <w:tcW w:w="2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600" w:type="dxa"/>
            <w:vAlign w:val="bottom"/>
            <w:tcBorders>
              <w:bottom w:val="single" w:sz="8" w:color="CCEEFF"/>
            </w:tcBorders>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88"/>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779</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654</w:t>
            </w:r>
          </w:p>
        </w:tc>
        <w:tc>
          <w:tcPr>
            <w:tcW w:w="160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24"/>
        </w:trPr>
        <w:tc>
          <w:tcPr>
            <w:tcW w:w="5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5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Total CMLs, gross of valuation allowance</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3,829</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3,260</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CCEEFF"/>
            </w:tcBorders>
            <w:vMerge w:val="restart"/>
          </w:tcPr>
          <w:p>
            <w:pPr>
              <w:ind w:left="440"/>
              <w:spacing w:after="0"/>
              <w:rPr>
                <w:sz w:val="20"/>
                <w:szCs w:val="20"/>
                <w:color w:val="auto"/>
              </w:rPr>
            </w:pPr>
            <w:r>
              <w:rPr>
                <w:rFonts w:ascii="Times New Roman" w:cs="Times New Roman" w:eastAsia="Times New Roman" w:hAnsi="Times New Roman"/>
                <w:sz w:val="14"/>
                <w:szCs w:val="14"/>
                <w:color w:val="auto"/>
              </w:rPr>
              <w:t>Allowance for expected credit loss</w:t>
            </w:r>
          </w:p>
        </w:tc>
        <w:tc>
          <w:tcPr>
            <w:tcW w:w="2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514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
        </w:trPr>
        <w:tc>
          <w:tcPr>
            <w:tcW w:w="5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1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Total CMLs, net of valuation allowance</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3,799</w:t>
            </w: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3,242</w:t>
            </w:r>
          </w:p>
        </w:tc>
        <w:tc>
          <w:tcPr>
            <w:tcW w:w="1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Region:</w:t>
            </w:r>
          </w:p>
        </w:tc>
        <w:tc>
          <w:tcPr>
            <w:tcW w:w="2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East North Central</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100" w:type="dxa"/>
            <w:vAlign w:val="bottom"/>
          </w:tcPr>
          <w:p>
            <w:pPr>
              <w:spacing w:after="0"/>
              <w:rPr>
                <w:sz w:val="16"/>
                <w:szCs w:val="16"/>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0" w:type="dxa"/>
            <w:vAlign w:val="bottom"/>
          </w:tcPr>
          <w:p>
            <w:pPr>
              <w:spacing w:after="0"/>
              <w:rPr>
                <w:sz w:val="1"/>
                <w:szCs w:val="1"/>
                <w:color w:val="auto"/>
              </w:rPr>
            </w:pPr>
          </w:p>
        </w:tc>
      </w:tr>
      <w:tr>
        <w:trPr>
          <w:trHeight w:val="24"/>
        </w:trPr>
        <w:tc>
          <w:tcPr>
            <w:tcW w:w="5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East South Central</w:t>
            </w:r>
          </w:p>
        </w:tc>
        <w:tc>
          <w:tcPr>
            <w:tcW w:w="2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600" w:type="dxa"/>
            <w:vAlign w:val="bottom"/>
            <w:tcBorders>
              <w:bottom w:val="single" w:sz="8" w:color="CCEEFF"/>
            </w:tcBorders>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88"/>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Middle Atlantic</w:t>
            </w: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w:t>
            </w:r>
          </w:p>
        </w:tc>
        <w:tc>
          <w:tcPr>
            <w:tcW w:w="160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4"/>
        </w:trPr>
        <w:tc>
          <w:tcPr>
            <w:tcW w:w="5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Mountain</w:t>
            </w:r>
          </w:p>
        </w:tc>
        <w:tc>
          <w:tcPr>
            <w:tcW w:w="2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w:t>
            </w:r>
          </w:p>
        </w:tc>
        <w:tc>
          <w:tcPr>
            <w:tcW w:w="1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w:t>
            </w:r>
          </w:p>
        </w:tc>
        <w:tc>
          <w:tcPr>
            <w:tcW w:w="1600" w:type="dxa"/>
            <w:vAlign w:val="bottom"/>
            <w:tcBorders>
              <w:bottom w:val="single" w:sz="8" w:color="CCEEFF"/>
            </w:tcBorders>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88"/>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New England</w:t>
            </w: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160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4"/>
        </w:trPr>
        <w:tc>
          <w:tcPr>
            <w:tcW w:w="5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Pacific</w:t>
            </w:r>
          </w:p>
        </w:tc>
        <w:tc>
          <w:tcPr>
            <w:tcW w:w="2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816</w:t>
            </w:r>
          </w:p>
        </w:tc>
        <w:tc>
          <w:tcPr>
            <w:tcW w:w="1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709</w:t>
            </w:r>
          </w:p>
        </w:tc>
        <w:tc>
          <w:tcPr>
            <w:tcW w:w="1600" w:type="dxa"/>
            <w:vAlign w:val="bottom"/>
            <w:tcBorders>
              <w:bottom w:val="single" w:sz="8" w:color="CCEEFF"/>
            </w:tcBorders>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88"/>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South Atlantic</w:t>
            </w: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1,320</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1,157</w:t>
            </w:r>
          </w:p>
        </w:tc>
        <w:tc>
          <w:tcPr>
            <w:tcW w:w="160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24"/>
        </w:trPr>
        <w:tc>
          <w:tcPr>
            <w:tcW w:w="5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West North Central</w:t>
            </w:r>
          </w:p>
        </w:tc>
        <w:tc>
          <w:tcPr>
            <w:tcW w:w="2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600" w:type="dxa"/>
            <w:vAlign w:val="bottom"/>
            <w:tcBorders>
              <w:bottom w:val="single" w:sz="8" w:color="CCEEFF"/>
            </w:tcBorders>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88"/>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West South Central</w:t>
            </w: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160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4"/>
        </w:trPr>
        <w:tc>
          <w:tcPr>
            <w:tcW w:w="5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5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Total CMLs, gross of valuation allowance</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3,829</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3,260</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CCEEFF"/>
            </w:tcBorders>
            <w:vMerge w:val="restart"/>
          </w:tcPr>
          <w:p>
            <w:pPr>
              <w:ind w:left="440"/>
              <w:spacing w:after="0"/>
              <w:rPr>
                <w:sz w:val="20"/>
                <w:szCs w:val="20"/>
                <w:color w:val="auto"/>
              </w:rPr>
            </w:pPr>
            <w:r>
              <w:rPr>
                <w:rFonts w:ascii="Times New Roman" w:cs="Times New Roman" w:eastAsia="Times New Roman" w:hAnsi="Times New Roman"/>
                <w:sz w:val="14"/>
                <w:szCs w:val="14"/>
                <w:color w:val="auto"/>
              </w:rPr>
              <w:t>Allowance for expected credit loss</w:t>
            </w:r>
          </w:p>
        </w:tc>
        <w:tc>
          <w:tcPr>
            <w:tcW w:w="2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514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
        </w:trPr>
        <w:tc>
          <w:tcPr>
            <w:tcW w:w="5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1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Total CMLs, net of valuation allowance</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3,799</w:t>
            </w: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3,242</w:t>
            </w:r>
          </w:p>
        </w:tc>
        <w:tc>
          <w:tcPr>
            <w:tcW w:w="1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An individual loan, or a portion thereof, is charged off when it is determined to be uncollectible. There were no charge offs for CMLs during the nine months ended September 30, 2026 and for the year ended December 31, 2025. CMLs segregated by aging of the loans (by year of origination) as of September 30, 2026 and December 31, 2025 were as follows, gross of valuation allowances: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00" w:type="dxa"/>
            <w:vAlign w:val="bottom"/>
            <w:gridSpan w:val="9"/>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4"/>
        </w:trPr>
        <w:tc>
          <w:tcPr>
            <w:tcW w:w="462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81"/>
        </w:trPr>
        <w:tc>
          <w:tcPr>
            <w:tcW w:w="4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80" w:type="dxa"/>
            <w:vAlign w:val="bottom"/>
            <w:gridSpan w:val="1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Amortized Cost by Origination Year</w:t>
            </w: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4"/>
        </w:trPr>
        <w:tc>
          <w:tcPr>
            <w:tcW w:w="462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81"/>
        </w:trPr>
        <w:tc>
          <w:tcPr>
            <w:tcW w:w="4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200" w:type="dxa"/>
            <w:vAlign w:val="bottom"/>
          </w:tcPr>
          <w:p>
            <w:pPr>
              <w:spacing w:after="0"/>
              <w:rPr>
                <w:sz w:val="15"/>
                <w:szCs w:val="15"/>
                <w:color w:val="auto"/>
              </w:rPr>
            </w:pPr>
          </w:p>
        </w:tc>
        <w:tc>
          <w:tcPr>
            <w:tcW w:w="680" w:type="dxa"/>
            <w:vAlign w:val="bottom"/>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
        </w:trPr>
        <w:tc>
          <w:tcPr>
            <w:tcW w:w="46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85"/>
        </w:trPr>
        <w:tc>
          <w:tcPr>
            <w:tcW w:w="4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CMLs</w:t>
            </w:r>
          </w:p>
        </w:tc>
        <w:tc>
          <w:tcPr>
            <w:tcW w:w="5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gridSpan w:val="4"/>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r>
      <w:tr>
        <w:trPr>
          <w:trHeight w:val="188"/>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Current (less than 30 days past due)</w:t>
            </w:r>
          </w:p>
        </w:tc>
        <w:tc>
          <w:tcPr>
            <w:tcW w:w="560" w:type="dxa"/>
            <w:vAlign w:val="bottom"/>
          </w:tcPr>
          <w:p>
            <w:pPr>
              <w:jc w:val="right"/>
              <w:ind w:right="414"/>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683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340" w:type="dxa"/>
            <w:vAlign w:val="bottom"/>
            <w:gridSpan w:val="5"/>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100" w:type="dxa"/>
            <w:vAlign w:val="bottom"/>
          </w:tcPr>
          <w:p>
            <w:pPr>
              <w:spacing w:after="0"/>
              <w:rPr>
                <w:sz w:val="16"/>
                <w:szCs w:val="16"/>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1,785</w:t>
            </w:r>
          </w:p>
        </w:tc>
        <w:tc>
          <w:tcPr>
            <w:tcW w:w="80" w:type="dxa"/>
            <w:vAlign w:val="bottom"/>
          </w:tcPr>
          <w:p>
            <w:pPr>
              <w:spacing w:after="0"/>
              <w:rPr>
                <w:sz w:val="16"/>
                <w:szCs w:val="16"/>
                <w:color w:val="auto"/>
              </w:rPr>
            </w:pP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3,820</w:t>
            </w:r>
          </w:p>
        </w:tc>
      </w:tr>
      <w:tr>
        <w:trPr>
          <w:trHeight w:val="24"/>
        </w:trPr>
        <w:tc>
          <w:tcPr>
            <w:tcW w:w="462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92"/>
        </w:trPr>
        <w:tc>
          <w:tcPr>
            <w:tcW w:w="4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30-89 days past due</w:t>
            </w:r>
          </w:p>
        </w:tc>
        <w:tc>
          <w:tcPr>
            <w:tcW w:w="56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8"/>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90 days or more past due</w:t>
            </w:r>
          </w:p>
        </w:tc>
        <w:tc>
          <w:tcPr>
            <w:tcW w:w="560" w:type="dxa"/>
            <w:vAlign w:val="bottom"/>
          </w:tcPr>
          <w:p>
            <w:pPr>
              <w:spacing w:after="0"/>
              <w:rPr>
                <w:sz w:val="16"/>
                <w:szCs w:val="16"/>
                <w:color w:val="auto"/>
              </w:rPr>
            </w:pPr>
          </w:p>
        </w:tc>
        <w:tc>
          <w:tcPr>
            <w:tcW w:w="3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24"/>
        </w:trPr>
        <w:tc>
          <w:tcPr>
            <w:tcW w:w="46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25"/>
        </w:trPr>
        <w:tc>
          <w:tcPr>
            <w:tcW w:w="4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Total CMLs</w:t>
            </w:r>
          </w:p>
        </w:tc>
        <w:tc>
          <w:tcPr>
            <w:tcW w:w="560" w:type="dxa"/>
            <w:vAlign w:val="bottom"/>
            <w:shd w:val="clear" w:color="auto" w:fill="CCEEFF"/>
          </w:tcPr>
          <w:p>
            <w:pPr>
              <w:jc w:val="right"/>
              <w:ind w:right="414"/>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683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340" w:type="dxa"/>
            <w:vAlign w:val="bottom"/>
            <w:gridSpan w:val="5"/>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3,829</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r>
        <w:trPr>
          <w:trHeight w:val="346"/>
        </w:trPr>
        <w:tc>
          <w:tcPr>
            <w:tcW w:w="4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00" w:type="dxa"/>
            <w:vAlign w:val="bottom"/>
            <w:gridSpan w:val="9"/>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4"/>
        </w:trPr>
        <w:tc>
          <w:tcPr>
            <w:tcW w:w="46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gridSpan w:val="1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81"/>
        </w:trPr>
        <w:tc>
          <w:tcPr>
            <w:tcW w:w="4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80" w:type="dxa"/>
            <w:vAlign w:val="bottom"/>
            <w:gridSpan w:val="1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Amortized Cost by Origination Year</w:t>
            </w: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4"/>
        </w:trPr>
        <w:tc>
          <w:tcPr>
            <w:tcW w:w="46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81"/>
        </w:trPr>
        <w:tc>
          <w:tcPr>
            <w:tcW w:w="4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200" w:type="dxa"/>
            <w:vAlign w:val="bottom"/>
          </w:tcPr>
          <w:p>
            <w:pPr>
              <w:spacing w:after="0"/>
              <w:rPr>
                <w:sz w:val="15"/>
                <w:szCs w:val="15"/>
                <w:color w:val="auto"/>
              </w:rPr>
            </w:pPr>
          </w:p>
        </w:tc>
        <w:tc>
          <w:tcPr>
            <w:tcW w:w="680" w:type="dxa"/>
            <w:vAlign w:val="bottom"/>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
        </w:trPr>
        <w:tc>
          <w:tcPr>
            <w:tcW w:w="46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85"/>
        </w:trPr>
        <w:tc>
          <w:tcPr>
            <w:tcW w:w="4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CMLs</w:t>
            </w:r>
          </w:p>
        </w:tc>
        <w:tc>
          <w:tcPr>
            <w:tcW w:w="5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gridSpan w:val="4"/>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r>
      <w:tr>
        <w:trPr>
          <w:trHeight w:val="188"/>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Current (less than 30 days past due)</w:t>
            </w:r>
          </w:p>
        </w:tc>
        <w:tc>
          <w:tcPr>
            <w:tcW w:w="560" w:type="dxa"/>
            <w:vAlign w:val="bottom"/>
          </w:tcPr>
          <w:p>
            <w:pPr>
              <w:jc w:val="right"/>
              <w:ind w:right="434"/>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646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340" w:type="dxa"/>
            <w:vAlign w:val="bottom"/>
            <w:gridSpan w:val="5"/>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1,252</w:t>
            </w:r>
          </w:p>
        </w:tc>
        <w:tc>
          <w:tcPr>
            <w:tcW w:w="100" w:type="dxa"/>
            <w:vAlign w:val="bottom"/>
          </w:tcPr>
          <w:p>
            <w:pPr>
              <w:spacing w:after="0"/>
              <w:rPr>
                <w:sz w:val="16"/>
                <w:szCs w:val="16"/>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569</w:t>
            </w:r>
          </w:p>
        </w:tc>
        <w:tc>
          <w:tcPr>
            <w:tcW w:w="80" w:type="dxa"/>
            <w:vAlign w:val="bottom"/>
          </w:tcPr>
          <w:p>
            <w:pPr>
              <w:spacing w:after="0"/>
              <w:rPr>
                <w:sz w:val="16"/>
                <w:szCs w:val="16"/>
                <w:color w:val="auto"/>
              </w:rPr>
            </w:pP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3,248</w:t>
            </w:r>
          </w:p>
        </w:tc>
      </w:tr>
      <w:tr>
        <w:trPr>
          <w:trHeight w:val="24"/>
        </w:trPr>
        <w:tc>
          <w:tcPr>
            <w:tcW w:w="462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92"/>
        </w:trPr>
        <w:tc>
          <w:tcPr>
            <w:tcW w:w="4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30-89 days past due</w:t>
            </w:r>
          </w:p>
        </w:tc>
        <w:tc>
          <w:tcPr>
            <w:tcW w:w="56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8"/>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90 days or more past due</w:t>
            </w:r>
          </w:p>
        </w:tc>
        <w:tc>
          <w:tcPr>
            <w:tcW w:w="560" w:type="dxa"/>
            <w:vAlign w:val="bottom"/>
          </w:tcPr>
          <w:p>
            <w:pPr>
              <w:spacing w:after="0"/>
              <w:rPr>
                <w:sz w:val="16"/>
                <w:szCs w:val="16"/>
                <w:color w:val="auto"/>
              </w:rPr>
            </w:pPr>
          </w:p>
        </w:tc>
        <w:tc>
          <w:tcPr>
            <w:tcW w:w="3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24"/>
        </w:trPr>
        <w:tc>
          <w:tcPr>
            <w:tcW w:w="46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25"/>
        </w:trPr>
        <w:tc>
          <w:tcPr>
            <w:tcW w:w="4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Total CMLs</w:t>
            </w:r>
          </w:p>
        </w:tc>
        <w:tc>
          <w:tcPr>
            <w:tcW w:w="560" w:type="dxa"/>
            <w:vAlign w:val="bottom"/>
            <w:shd w:val="clear" w:color="auto" w:fill="CCEEFF"/>
          </w:tcPr>
          <w:p>
            <w:pPr>
              <w:jc w:val="right"/>
              <w:ind w:right="434"/>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646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340" w:type="dxa"/>
            <w:vAlign w:val="bottom"/>
            <w:gridSpan w:val="5"/>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3,260</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Loan-to-value (“LTV”) and debt service coverage (“DSC”) ratios are measures commonly used to assess the risk and quality of mortgage loans. The LTV ratio is expressed as a percentage of the amount of the loan relative to the value of the underlying property. An LTV ratio in excess of 100% indicates the unpaid loan amount exceeds the underlying collateral. The DSC ratio, based upon the most recently received financial statements, is expressed as a percentage of the amount of a property’s net income to its debt service payments. A DSC ratio of less than 1.00 indicates that a property’s operations do not generate sufficient income to cover debt payments. We normalize our DSC ratios to a 25-year amortization period for purposes of our general loan allowance evaluation.</w:t>
      </w:r>
    </w:p>
    <w:p>
      <w:pPr>
        <w:spacing w:after="0" w:line="7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tables present the recorded investment in CMLs by LTV and DSC ratio categories and estimated fair value by the indicated LTV ratios, gross of valuation allowances at September 30, 2026 and December 31, 2025</w:t>
      </w:r>
      <w:r>
        <w:rPr>
          <w:rFonts w:ascii="Times New Roman" w:cs="Times New Roman" w:eastAsia="Times New Roman" w:hAnsi="Times New Roman"/>
          <w:sz w:val="15"/>
          <w:szCs w:val="15"/>
          <w:color w:val="auto"/>
        </w:rPr>
        <w:t>:</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60" w:type="dxa"/>
            <w:vAlign w:val="bottom"/>
            <w:gridSpan w:val="8"/>
          </w:tcPr>
          <w:p>
            <w:pPr>
              <w:ind w:left="240"/>
              <w:spacing w:after="0"/>
              <w:rPr>
                <w:sz w:val="20"/>
                <w:szCs w:val="20"/>
                <w:color w:val="auto"/>
              </w:rPr>
            </w:pPr>
            <w:r>
              <w:rPr>
                <w:rFonts w:ascii="Times New Roman" w:cs="Times New Roman" w:eastAsia="Times New Roman" w:hAnsi="Times New Roman"/>
                <w:sz w:val="14"/>
                <w:szCs w:val="14"/>
                <w:b w:val="1"/>
                <w:bCs w:val="1"/>
                <w:color w:val="auto"/>
              </w:rPr>
              <w:t>Debt-Service Coverage Ratios</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5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4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restart"/>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&gt;1.25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w w:val="98"/>
              </w:rPr>
              <w:t>1.00 - 1.25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restart"/>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&lt;1.00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9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96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190"/>
        </w:trPr>
        <w:tc>
          <w:tcPr>
            <w:tcW w:w="45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LTV Ratios:</w:t>
            </w:r>
          </w:p>
        </w:tc>
        <w:tc>
          <w:tcPr>
            <w:tcW w:w="1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than 50.00%</w:t>
            </w: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742</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20 %</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740</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0" w:type="dxa"/>
            <w:vAlign w:val="bottom"/>
          </w:tcPr>
          <w:p>
            <w:pPr>
              <w:spacing w:after="0"/>
              <w:rPr>
                <w:sz w:val="1"/>
                <w:szCs w:val="1"/>
                <w:color w:val="auto"/>
              </w:rPr>
            </w:pPr>
          </w:p>
        </w:tc>
      </w:tr>
      <w:tr>
        <w:trPr>
          <w:trHeight w:val="24"/>
        </w:trPr>
        <w:tc>
          <w:tcPr>
            <w:tcW w:w="4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50.00% to 59.99%</w:t>
            </w:r>
          </w:p>
        </w:tc>
        <w:tc>
          <w:tcPr>
            <w:tcW w:w="1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990</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1,135</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1,029</w:t>
            </w:r>
          </w:p>
        </w:tc>
        <w:tc>
          <w:tcPr>
            <w:tcW w:w="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88"/>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60.00% to 74.99%</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1,683</w:t>
            </w:r>
          </w:p>
        </w:tc>
        <w:tc>
          <w:tcPr>
            <w:tcW w:w="100" w:type="dxa"/>
            <w:vAlign w:val="bottom"/>
          </w:tcPr>
          <w:p>
            <w:pPr>
              <w:spacing w:after="0"/>
              <w:rPr>
                <w:sz w:val="16"/>
                <w:szCs w:val="16"/>
                <w:color w:val="auto"/>
              </w:rPr>
            </w:pPr>
          </w:p>
        </w:tc>
        <w:tc>
          <w:tcPr>
            <w:tcW w:w="9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24"/>
        </w:trPr>
        <w:tc>
          <w:tcPr>
            <w:tcW w:w="4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75.00% to 84.99%</w:t>
            </w:r>
          </w:p>
        </w:tc>
        <w:tc>
          <w:tcPr>
            <w:tcW w:w="1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5"/>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CMLs</w:t>
            </w: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3,006</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603</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3,829</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3,473</w:t>
            </w:r>
          </w:p>
        </w:tc>
        <w:tc>
          <w:tcPr>
            <w:tcW w:w="10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20"/>
        </w:trPr>
        <w:tc>
          <w:tcPr>
            <w:tcW w:w="45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5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LTV Ratios:</w:t>
            </w:r>
          </w:p>
        </w:tc>
        <w:tc>
          <w:tcPr>
            <w:tcW w:w="1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than 50.00%</w:t>
            </w: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594</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596</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0" w:type="dxa"/>
            <w:vAlign w:val="bottom"/>
          </w:tcPr>
          <w:p>
            <w:pPr>
              <w:spacing w:after="0"/>
              <w:rPr>
                <w:sz w:val="1"/>
                <w:szCs w:val="1"/>
                <w:color w:val="auto"/>
              </w:rPr>
            </w:pPr>
          </w:p>
        </w:tc>
      </w:tr>
      <w:tr>
        <w:trPr>
          <w:trHeight w:val="24"/>
        </w:trPr>
        <w:tc>
          <w:tcPr>
            <w:tcW w:w="4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50.00% to 59.99%</w:t>
            </w:r>
          </w:p>
        </w:tc>
        <w:tc>
          <w:tcPr>
            <w:tcW w:w="1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850</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923</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852</w:t>
            </w:r>
          </w:p>
        </w:tc>
        <w:tc>
          <w:tcPr>
            <w:tcW w:w="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88"/>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60.00% to 74.99%</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1,560</w:t>
            </w:r>
          </w:p>
        </w:tc>
        <w:tc>
          <w:tcPr>
            <w:tcW w:w="100" w:type="dxa"/>
            <w:vAlign w:val="bottom"/>
          </w:tcPr>
          <w:p>
            <w:pPr>
              <w:spacing w:after="0"/>
              <w:rPr>
                <w:sz w:val="16"/>
                <w:szCs w:val="16"/>
                <w:color w:val="auto"/>
              </w:rPr>
            </w:pPr>
          </w:p>
        </w:tc>
        <w:tc>
          <w:tcPr>
            <w:tcW w:w="9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24"/>
        </w:trPr>
        <w:tc>
          <w:tcPr>
            <w:tcW w:w="4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75.00% to 84.99%</w:t>
            </w:r>
          </w:p>
        </w:tc>
        <w:tc>
          <w:tcPr>
            <w:tcW w:w="1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5"/>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CMLs</w:t>
            </w: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2,859</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349</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3,260</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3,025</w:t>
            </w:r>
          </w:p>
        </w:tc>
        <w:tc>
          <w:tcPr>
            <w:tcW w:w="10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00" w:type="dxa"/>
            <w:vAlign w:val="bottom"/>
            <w:gridSpan w:val="9"/>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62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4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80" w:type="dxa"/>
            <w:vAlign w:val="bottom"/>
            <w:gridSpan w:val="1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Amortized Cost by Origination Year</w:t>
            </w: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62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4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200" w:type="dxa"/>
            <w:vAlign w:val="bottom"/>
          </w:tcPr>
          <w:p>
            <w:pPr>
              <w:spacing w:after="0"/>
              <w:rPr>
                <w:sz w:val="15"/>
                <w:szCs w:val="15"/>
                <w:color w:val="auto"/>
              </w:rPr>
            </w:pPr>
          </w:p>
        </w:tc>
        <w:tc>
          <w:tcPr>
            <w:tcW w:w="680" w:type="dxa"/>
            <w:vAlign w:val="bottom"/>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4"/>
        </w:trPr>
        <w:tc>
          <w:tcPr>
            <w:tcW w:w="4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CMLs</w:t>
            </w:r>
          </w:p>
        </w:tc>
        <w:tc>
          <w:tcPr>
            <w:tcW w:w="5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4640" w:type="dxa"/>
            <w:vAlign w:val="bottom"/>
            <w:gridSpan w:val="2"/>
            <w:vMerge w:val="continue"/>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62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4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LTV Ratios:</w:t>
            </w:r>
          </w:p>
        </w:tc>
        <w:tc>
          <w:tcPr>
            <w:tcW w:w="5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Less than 50.00%</w:t>
            </w:r>
          </w:p>
        </w:tc>
        <w:tc>
          <w:tcPr>
            <w:tcW w:w="560" w:type="dxa"/>
            <w:vAlign w:val="bottom"/>
          </w:tcPr>
          <w:p>
            <w:pPr>
              <w:jc w:val="right"/>
              <w:ind w:right="415"/>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158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340" w:type="dxa"/>
            <w:vAlign w:val="bottom"/>
            <w:gridSpan w:val="5"/>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6"/>
                <w:szCs w:val="16"/>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w:t>
            </w:r>
          </w:p>
        </w:tc>
        <w:tc>
          <w:tcPr>
            <w:tcW w:w="80" w:type="dxa"/>
            <w:vAlign w:val="bottom"/>
          </w:tcPr>
          <w:p>
            <w:pPr>
              <w:spacing w:after="0"/>
              <w:rPr>
                <w:sz w:val="16"/>
                <w:szCs w:val="16"/>
                <w:color w:val="auto"/>
              </w:rPr>
            </w:pP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772</w:t>
            </w:r>
          </w:p>
        </w:tc>
        <w:tc>
          <w:tcPr>
            <w:tcW w:w="0" w:type="dxa"/>
            <w:vAlign w:val="bottom"/>
          </w:tcPr>
          <w:p>
            <w:pPr>
              <w:spacing w:after="0"/>
              <w:rPr>
                <w:sz w:val="1"/>
                <w:szCs w:val="1"/>
                <w:color w:val="auto"/>
              </w:rPr>
            </w:pPr>
          </w:p>
        </w:tc>
      </w:tr>
      <w:tr>
        <w:trPr>
          <w:trHeight w:val="24"/>
        </w:trPr>
        <w:tc>
          <w:tcPr>
            <w:tcW w:w="462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4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50.00% to 59.99%</w:t>
            </w:r>
          </w:p>
        </w:tc>
        <w:tc>
          <w:tcPr>
            <w:tcW w:w="5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209</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1,135</w:t>
            </w:r>
          </w:p>
        </w:tc>
        <w:tc>
          <w:tcPr>
            <w:tcW w:w="0" w:type="dxa"/>
            <w:vAlign w:val="bottom"/>
          </w:tcPr>
          <w:p>
            <w:pPr>
              <w:spacing w:after="0"/>
              <w:rPr>
                <w:sz w:val="1"/>
                <w:szCs w:val="1"/>
                <w:color w:val="auto"/>
              </w:rPr>
            </w:pPr>
          </w:p>
        </w:tc>
      </w:tr>
      <w:tr>
        <w:trPr>
          <w:trHeight w:val="188"/>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60.00% to 74.99%</w:t>
            </w:r>
          </w:p>
        </w:tc>
        <w:tc>
          <w:tcPr>
            <w:tcW w:w="56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310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1,899</w:t>
            </w:r>
          </w:p>
        </w:tc>
        <w:tc>
          <w:tcPr>
            <w:tcW w:w="0" w:type="dxa"/>
            <w:vAlign w:val="bottom"/>
          </w:tcPr>
          <w:p>
            <w:pPr>
              <w:spacing w:after="0"/>
              <w:rPr>
                <w:sz w:val="1"/>
                <w:szCs w:val="1"/>
                <w:color w:val="auto"/>
              </w:rPr>
            </w:pPr>
          </w:p>
        </w:tc>
      </w:tr>
      <w:tr>
        <w:trPr>
          <w:trHeight w:val="24"/>
        </w:trPr>
        <w:tc>
          <w:tcPr>
            <w:tcW w:w="462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75.00% to 84.99%</w:t>
            </w:r>
          </w:p>
        </w:tc>
        <w:tc>
          <w:tcPr>
            <w:tcW w:w="5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205"/>
        </w:trPr>
        <w:tc>
          <w:tcPr>
            <w:tcW w:w="46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Total CMLs</w:t>
            </w:r>
          </w:p>
        </w:tc>
        <w:tc>
          <w:tcPr>
            <w:tcW w:w="56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683</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60" w:type="dxa"/>
            <w:vAlign w:val="bottom"/>
            <w:tcBorders>
              <w:top w:val="single" w:sz="8" w:color="auto"/>
              <w:bottom w:val="single" w:sz="8" w:color="auto"/>
            </w:tcBorders>
            <w:gridSpan w:val="2"/>
          </w:tcPr>
          <w:p>
            <w:pPr>
              <w:spacing w:after="0"/>
              <w:rPr>
                <w:sz w:val="17"/>
                <w:szCs w:val="17"/>
                <w:color w:val="auto"/>
              </w:rPr>
            </w:pPr>
          </w:p>
        </w:tc>
        <w:tc>
          <w:tcPr>
            <w:tcW w:w="100" w:type="dxa"/>
            <w:vAlign w:val="bottom"/>
            <w:gridSpan w:val="2"/>
          </w:tcPr>
          <w:p>
            <w:pPr>
              <w:spacing w:after="0"/>
              <w:rPr>
                <w:sz w:val="17"/>
                <w:szCs w:val="17"/>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1,794</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3,829</w:t>
            </w:r>
          </w:p>
        </w:tc>
        <w:tc>
          <w:tcPr>
            <w:tcW w:w="0" w:type="dxa"/>
            <w:vAlign w:val="bottom"/>
          </w:tcPr>
          <w:p>
            <w:pPr>
              <w:spacing w:after="0"/>
              <w:rPr>
                <w:sz w:val="1"/>
                <w:szCs w:val="1"/>
                <w:color w:val="auto"/>
              </w:rPr>
            </w:pPr>
          </w:p>
        </w:tc>
      </w:tr>
      <w:tr>
        <w:trPr>
          <w:trHeight w:val="20"/>
        </w:trPr>
        <w:tc>
          <w:tcPr>
            <w:tcW w:w="46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4640" w:type="dxa"/>
            <w:vAlign w:val="bottom"/>
            <w:tcBorders>
              <w:bottom w:val="single" w:sz="8" w:color="CCEEFF"/>
            </w:tcBorders>
            <w:gridSpan w:val="2"/>
            <w:shd w:val="clear" w:color="auto" w:fill="CCEEFF"/>
          </w:tcPr>
          <w:p>
            <w:pPr>
              <w:ind w:left="20"/>
              <w:spacing w:after="0" w:line="154" w:lineRule="exact"/>
              <w:rPr>
                <w:sz w:val="20"/>
                <w:szCs w:val="20"/>
                <w:color w:val="auto"/>
              </w:rPr>
            </w:pPr>
            <w:r>
              <w:rPr>
                <w:rFonts w:ascii="Times New Roman" w:cs="Times New Roman" w:eastAsia="Times New Roman" w:hAnsi="Times New Roman"/>
                <w:sz w:val="14"/>
                <w:szCs w:val="14"/>
                <w:b w:val="1"/>
                <w:bCs w:val="1"/>
                <w:color w:val="auto"/>
              </w:rPr>
              <w:t>CMLs</w:t>
            </w:r>
          </w:p>
        </w:tc>
        <w:tc>
          <w:tcPr>
            <w:tcW w:w="56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DSC Ratios</w:t>
            </w: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62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4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Greater than 1.25x</w:t>
            </w:r>
          </w:p>
        </w:tc>
        <w:tc>
          <w:tcPr>
            <w:tcW w:w="560" w:type="dxa"/>
            <w:vAlign w:val="bottom"/>
            <w:tcBorders>
              <w:bottom w:val="single" w:sz="8" w:color="CCEEFF"/>
            </w:tcBorders>
            <w:shd w:val="clear" w:color="auto" w:fill="CCEEFF"/>
          </w:tcPr>
          <w:p>
            <w:pPr>
              <w:jc w:val="right"/>
              <w:ind w:right="415"/>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289</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340" w:type="dxa"/>
            <w:vAlign w:val="bottom"/>
            <w:tcBorders>
              <w:bottom w:val="single" w:sz="8" w:color="CCEEFF"/>
            </w:tcBorders>
            <w:gridSpan w:val="5"/>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1,747</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3,006</w:t>
            </w:r>
          </w:p>
        </w:tc>
        <w:tc>
          <w:tcPr>
            <w:tcW w:w="0" w:type="dxa"/>
            <w:vAlign w:val="bottom"/>
          </w:tcPr>
          <w:p>
            <w:pPr>
              <w:spacing w:after="0"/>
              <w:rPr>
                <w:sz w:val="1"/>
                <w:szCs w:val="1"/>
                <w:color w:val="auto"/>
              </w:rPr>
            </w:pPr>
          </w:p>
        </w:tc>
      </w:tr>
      <w:tr>
        <w:trPr>
          <w:trHeight w:val="188"/>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1.00x - 1.25x</w:t>
            </w:r>
          </w:p>
        </w:tc>
        <w:tc>
          <w:tcPr>
            <w:tcW w:w="56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236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603</w:t>
            </w:r>
          </w:p>
        </w:tc>
        <w:tc>
          <w:tcPr>
            <w:tcW w:w="0" w:type="dxa"/>
            <w:vAlign w:val="bottom"/>
          </w:tcPr>
          <w:p>
            <w:pPr>
              <w:spacing w:after="0"/>
              <w:rPr>
                <w:sz w:val="1"/>
                <w:szCs w:val="1"/>
                <w:color w:val="auto"/>
              </w:rPr>
            </w:pPr>
          </w:p>
        </w:tc>
      </w:tr>
      <w:tr>
        <w:trPr>
          <w:trHeight w:val="24"/>
        </w:trPr>
        <w:tc>
          <w:tcPr>
            <w:tcW w:w="462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than 1.00x</w:t>
            </w:r>
          </w:p>
        </w:tc>
        <w:tc>
          <w:tcPr>
            <w:tcW w:w="5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158</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0" w:type="dxa"/>
            <w:vAlign w:val="bottom"/>
          </w:tcPr>
          <w:p>
            <w:pPr>
              <w:spacing w:after="0"/>
              <w:rPr>
                <w:sz w:val="1"/>
                <w:szCs w:val="1"/>
                <w:color w:val="auto"/>
              </w:rPr>
            </w:pPr>
          </w:p>
        </w:tc>
      </w:tr>
      <w:tr>
        <w:trPr>
          <w:trHeight w:val="205"/>
        </w:trPr>
        <w:tc>
          <w:tcPr>
            <w:tcW w:w="46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Total CMLs</w:t>
            </w:r>
          </w:p>
        </w:tc>
        <w:tc>
          <w:tcPr>
            <w:tcW w:w="56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683</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60" w:type="dxa"/>
            <w:vAlign w:val="bottom"/>
            <w:tcBorders>
              <w:top w:val="single" w:sz="8" w:color="auto"/>
              <w:bottom w:val="single" w:sz="8" w:color="auto"/>
            </w:tcBorders>
            <w:gridSpan w:val="2"/>
          </w:tcPr>
          <w:p>
            <w:pPr>
              <w:spacing w:after="0"/>
              <w:rPr>
                <w:sz w:val="17"/>
                <w:szCs w:val="17"/>
                <w:color w:val="auto"/>
              </w:rPr>
            </w:pPr>
          </w:p>
        </w:tc>
        <w:tc>
          <w:tcPr>
            <w:tcW w:w="100" w:type="dxa"/>
            <w:vAlign w:val="bottom"/>
            <w:gridSpan w:val="2"/>
          </w:tcPr>
          <w:p>
            <w:pPr>
              <w:spacing w:after="0"/>
              <w:rPr>
                <w:sz w:val="17"/>
                <w:szCs w:val="17"/>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1,794</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3,829</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4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00" w:type="dxa"/>
            <w:vAlign w:val="bottom"/>
            <w:gridSpan w:val="9"/>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46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gridSpan w:val="1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4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80" w:type="dxa"/>
            <w:vAlign w:val="bottom"/>
            <w:gridSpan w:val="1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Amortized Cost by Origination Year</w:t>
            </w: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6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4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200" w:type="dxa"/>
            <w:vAlign w:val="bottom"/>
          </w:tcPr>
          <w:p>
            <w:pPr>
              <w:spacing w:after="0"/>
              <w:rPr>
                <w:sz w:val="15"/>
                <w:szCs w:val="15"/>
                <w:color w:val="auto"/>
              </w:rPr>
            </w:pPr>
          </w:p>
        </w:tc>
        <w:tc>
          <w:tcPr>
            <w:tcW w:w="680" w:type="dxa"/>
            <w:vAlign w:val="bottom"/>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4"/>
        </w:trPr>
        <w:tc>
          <w:tcPr>
            <w:tcW w:w="46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4"/>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CMLs</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62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4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LTV Ratios:</w:t>
            </w:r>
          </w:p>
        </w:tc>
        <w:tc>
          <w:tcPr>
            <w:tcW w:w="5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Less than 50.00%</w:t>
            </w:r>
          </w:p>
        </w:tc>
        <w:tc>
          <w:tcPr>
            <w:tcW w:w="560" w:type="dxa"/>
            <w:vAlign w:val="bottom"/>
          </w:tcPr>
          <w:p>
            <w:pPr>
              <w:jc w:val="right"/>
              <w:ind w:right="435"/>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148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340" w:type="dxa"/>
            <w:vAlign w:val="bottom"/>
            <w:gridSpan w:val="5"/>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tcPr>
          <w:p>
            <w:pPr>
              <w:spacing w:after="0"/>
              <w:rPr>
                <w:sz w:val="16"/>
                <w:szCs w:val="16"/>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80" w:type="dxa"/>
            <w:vAlign w:val="bottom"/>
          </w:tcPr>
          <w:p>
            <w:pPr>
              <w:spacing w:after="0"/>
              <w:rPr>
                <w:sz w:val="16"/>
                <w:szCs w:val="16"/>
                <w:color w:val="auto"/>
              </w:rPr>
            </w:pP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610</w:t>
            </w:r>
          </w:p>
        </w:tc>
        <w:tc>
          <w:tcPr>
            <w:tcW w:w="0" w:type="dxa"/>
            <w:vAlign w:val="bottom"/>
          </w:tcPr>
          <w:p>
            <w:pPr>
              <w:spacing w:after="0"/>
              <w:rPr>
                <w:sz w:val="1"/>
                <w:szCs w:val="1"/>
                <w:color w:val="auto"/>
              </w:rPr>
            </w:pPr>
          </w:p>
        </w:tc>
      </w:tr>
      <w:tr>
        <w:trPr>
          <w:trHeight w:val="24"/>
        </w:trPr>
        <w:tc>
          <w:tcPr>
            <w:tcW w:w="462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4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50.00% to 59.99%</w:t>
            </w:r>
          </w:p>
        </w:tc>
        <w:tc>
          <w:tcPr>
            <w:tcW w:w="5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157</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923</w:t>
            </w:r>
          </w:p>
        </w:tc>
        <w:tc>
          <w:tcPr>
            <w:tcW w:w="0" w:type="dxa"/>
            <w:vAlign w:val="bottom"/>
          </w:tcPr>
          <w:p>
            <w:pPr>
              <w:spacing w:after="0"/>
              <w:rPr>
                <w:sz w:val="1"/>
                <w:szCs w:val="1"/>
                <w:color w:val="auto"/>
              </w:rPr>
            </w:pPr>
          </w:p>
        </w:tc>
      </w:tr>
      <w:tr>
        <w:trPr>
          <w:trHeight w:val="188"/>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60.00% to 74.99%</w:t>
            </w:r>
          </w:p>
        </w:tc>
        <w:tc>
          <w:tcPr>
            <w:tcW w:w="56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341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1,709</w:t>
            </w:r>
          </w:p>
        </w:tc>
        <w:tc>
          <w:tcPr>
            <w:tcW w:w="0" w:type="dxa"/>
            <w:vAlign w:val="bottom"/>
          </w:tcPr>
          <w:p>
            <w:pPr>
              <w:spacing w:after="0"/>
              <w:rPr>
                <w:sz w:val="1"/>
                <w:szCs w:val="1"/>
                <w:color w:val="auto"/>
              </w:rPr>
            </w:pPr>
          </w:p>
        </w:tc>
      </w:tr>
      <w:tr>
        <w:trPr>
          <w:trHeight w:val="24"/>
        </w:trPr>
        <w:tc>
          <w:tcPr>
            <w:tcW w:w="462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75.00% to 84.99%</w:t>
            </w:r>
          </w:p>
        </w:tc>
        <w:tc>
          <w:tcPr>
            <w:tcW w:w="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205"/>
        </w:trPr>
        <w:tc>
          <w:tcPr>
            <w:tcW w:w="46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Total CMLs</w:t>
            </w:r>
          </w:p>
        </w:tc>
        <w:tc>
          <w:tcPr>
            <w:tcW w:w="2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646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295</w:t>
            </w:r>
          </w:p>
        </w:tc>
        <w:tc>
          <w:tcPr>
            <w:tcW w:w="8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40" w:type="dxa"/>
            <w:vAlign w:val="bottom"/>
            <w:tcBorders>
              <w:top w:val="single" w:sz="8" w:color="auto"/>
              <w:bottom w:val="single" w:sz="8" w:color="auto"/>
            </w:tcBorders>
          </w:tcPr>
          <w:p>
            <w:pPr>
              <w:spacing w:after="0"/>
              <w:rPr>
                <w:sz w:val="17"/>
                <w:szCs w:val="17"/>
                <w:color w:val="auto"/>
              </w:rPr>
            </w:pPr>
          </w:p>
        </w:tc>
        <w:tc>
          <w:tcPr>
            <w:tcW w:w="100" w:type="dxa"/>
            <w:vAlign w:val="bottom"/>
            <w:gridSpan w:val="2"/>
          </w:tcPr>
          <w:p>
            <w:pPr>
              <w:spacing w:after="0"/>
              <w:rPr>
                <w:sz w:val="17"/>
                <w:szCs w:val="17"/>
                <w:color w:val="auto"/>
              </w:rPr>
            </w:pPr>
          </w:p>
        </w:tc>
        <w:tc>
          <w:tcPr>
            <w:tcW w:w="200" w:type="dxa"/>
            <w:vAlign w:val="bottom"/>
            <w:tcBorders>
              <w:top w:val="single" w:sz="8" w:color="auto"/>
              <w:bottom w:val="single" w:sz="8" w:color="auto"/>
            </w:tcBorders>
            <w:gridSpan w:val="2"/>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1,252</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581</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3,260</w:t>
            </w:r>
          </w:p>
        </w:tc>
        <w:tc>
          <w:tcPr>
            <w:tcW w:w="0" w:type="dxa"/>
            <w:vAlign w:val="bottom"/>
          </w:tcPr>
          <w:p>
            <w:pPr>
              <w:spacing w:after="0"/>
              <w:rPr>
                <w:sz w:val="1"/>
                <w:szCs w:val="1"/>
                <w:color w:val="auto"/>
              </w:rPr>
            </w:pPr>
          </w:p>
        </w:tc>
      </w:tr>
      <w:tr>
        <w:trPr>
          <w:trHeight w:val="20"/>
        </w:trPr>
        <w:tc>
          <w:tcPr>
            <w:tcW w:w="46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4620" w:type="dxa"/>
            <w:vAlign w:val="bottom"/>
            <w:tcBorders>
              <w:bottom w:val="single" w:sz="8" w:color="CCEEFF"/>
            </w:tcBorders>
            <w:shd w:val="clear" w:color="auto" w:fill="CCEEFF"/>
          </w:tcPr>
          <w:p>
            <w:pPr>
              <w:ind w:left="20"/>
              <w:spacing w:after="0" w:line="154" w:lineRule="exact"/>
              <w:rPr>
                <w:sz w:val="20"/>
                <w:szCs w:val="20"/>
                <w:color w:val="auto"/>
              </w:rPr>
            </w:pPr>
            <w:r>
              <w:rPr>
                <w:rFonts w:ascii="Times New Roman" w:cs="Times New Roman" w:eastAsia="Times New Roman" w:hAnsi="Times New Roman"/>
                <w:sz w:val="14"/>
                <w:szCs w:val="14"/>
                <w:b w:val="1"/>
                <w:bCs w:val="1"/>
                <w:color w:val="auto"/>
              </w:rPr>
              <w:t>CMLs</w:t>
            </w:r>
          </w:p>
        </w:tc>
        <w:tc>
          <w:tcPr>
            <w:tcW w:w="2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DSC Ratios</w:t>
            </w: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62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4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Greater than 1.25x</w:t>
            </w:r>
          </w:p>
        </w:tc>
        <w:tc>
          <w:tcPr>
            <w:tcW w:w="560" w:type="dxa"/>
            <w:vAlign w:val="bottom"/>
            <w:tcBorders>
              <w:bottom w:val="single" w:sz="8" w:color="CCEEFF"/>
            </w:tcBorders>
            <w:shd w:val="clear" w:color="auto" w:fill="CCEEFF"/>
          </w:tcPr>
          <w:p>
            <w:pPr>
              <w:jc w:val="right"/>
              <w:ind w:right="435"/>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469</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340" w:type="dxa"/>
            <w:vAlign w:val="bottom"/>
            <w:tcBorders>
              <w:bottom w:val="single" w:sz="8" w:color="CCEEFF"/>
            </w:tcBorders>
            <w:gridSpan w:val="5"/>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1,240</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2,859</w:t>
            </w:r>
          </w:p>
        </w:tc>
        <w:tc>
          <w:tcPr>
            <w:tcW w:w="0" w:type="dxa"/>
            <w:vAlign w:val="bottom"/>
          </w:tcPr>
          <w:p>
            <w:pPr>
              <w:spacing w:after="0"/>
              <w:rPr>
                <w:sz w:val="1"/>
                <w:szCs w:val="1"/>
                <w:color w:val="auto"/>
              </w:rPr>
            </w:pPr>
          </w:p>
        </w:tc>
      </w:tr>
      <w:tr>
        <w:trPr>
          <w:trHeight w:val="188"/>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1.00x - 1.25x</w:t>
            </w:r>
          </w:p>
        </w:tc>
        <w:tc>
          <w:tcPr>
            <w:tcW w:w="56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169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w:t>
            </w:r>
          </w:p>
        </w:tc>
        <w:tc>
          <w:tcPr>
            <w:tcW w:w="0" w:type="dxa"/>
            <w:vAlign w:val="bottom"/>
          </w:tcPr>
          <w:p>
            <w:pPr>
              <w:spacing w:after="0"/>
              <w:rPr>
                <w:sz w:val="1"/>
                <w:szCs w:val="1"/>
                <w:color w:val="auto"/>
              </w:rPr>
            </w:pPr>
          </w:p>
        </w:tc>
      </w:tr>
      <w:tr>
        <w:trPr>
          <w:trHeight w:val="24"/>
        </w:trPr>
        <w:tc>
          <w:tcPr>
            <w:tcW w:w="462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than 1.00x</w:t>
            </w:r>
          </w:p>
        </w:tc>
        <w:tc>
          <w:tcPr>
            <w:tcW w:w="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205"/>
        </w:trPr>
        <w:tc>
          <w:tcPr>
            <w:tcW w:w="46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Total CMLs</w:t>
            </w:r>
          </w:p>
        </w:tc>
        <w:tc>
          <w:tcPr>
            <w:tcW w:w="2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646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295</w:t>
            </w:r>
          </w:p>
        </w:tc>
        <w:tc>
          <w:tcPr>
            <w:tcW w:w="8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40" w:type="dxa"/>
            <w:vAlign w:val="bottom"/>
            <w:tcBorders>
              <w:top w:val="single" w:sz="8" w:color="auto"/>
              <w:bottom w:val="single" w:sz="8" w:color="auto"/>
            </w:tcBorders>
          </w:tcPr>
          <w:p>
            <w:pPr>
              <w:spacing w:after="0"/>
              <w:rPr>
                <w:sz w:val="17"/>
                <w:szCs w:val="17"/>
                <w:color w:val="auto"/>
              </w:rPr>
            </w:pPr>
          </w:p>
        </w:tc>
        <w:tc>
          <w:tcPr>
            <w:tcW w:w="100" w:type="dxa"/>
            <w:vAlign w:val="bottom"/>
            <w:gridSpan w:val="2"/>
          </w:tcPr>
          <w:p>
            <w:pPr>
              <w:spacing w:after="0"/>
              <w:rPr>
                <w:sz w:val="17"/>
                <w:szCs w:val="17"/>
                <w:color w:val="auto"/>
              </w:rPr>
            </w:pPr>
          </w:p>
        </w:tc>
        <w:tc>
          <w:tcPr>
            <w:tcW w:w="200" w:type="dxa"/>
            <w:vAlign w:val="bottom"/>
            <w:tcBorders>
              <w:top w:val="single" w:sz="8" w:color="auto"/>
              <w:bottom w:val="single" w:sz="8" w:color="auto"/>
            </w:tcBorders>
            <w:gridSpan w:val="2"/>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1,252</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581</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3,260</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recognize a mortgage loan as delinquent when payments on the loan are greater than 30 days past due. As of September 30, 2026 and December 31, 2025, we had one CML that was delinquent in principal or interest payments as shown in the tables above.</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Residential Mortgage Loans</w:t>
      </w:r>
    </w:p>
    <w:p>
      <w:pPr>
        <w:spacing w:after="0" w:line="11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Residential mortgage loans (“RMLs”) represented approximately 9% and 6% of our total investments reported on the unaudited Condensed Consolidated Balance Sheets as of September 30, 2026 and December 31, 2025, respectively. Our RMLs are primarily closed end, amortizing loans and 100% of the properties are located in the United States. We diversify our RML portfolio by state to attempt to reduce concentration risk. The distribution of RMLs by state with highest-to-lowest concentration are reflected in the following tables, gross of valuation allowances: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00" w:type="dxa"/>
            <w:vAlign w:val="bottom"/>
            <w:gridSpan w:val="3"/>
          </w:tcPr>
          <w:p>
            <w:pPr>
              <w:jc w:val="right"/>
              <w:ind w:right="869"/>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0" w:type="dxa"/>
            <w:vAlign w:val="bottom"/>
          </w:tcPr>
          <w:p>
            <w:pPr>
              <w:spacing w:after="0"/>
              <w:rPr>
                <w:sz w:val="1"/>
                <w:szCs w:val="1"/>
                <w:color w:val="auto"/>
              </w:rPr>
            </w:pPr>
          </w:p>
        </w:tc>
      </w:tr>
      <w:tr>
        <w:trPr>
          <w:trHeight w:val="24"/>
        </w:trPr>
        <w:tc>
          <w:tcPr>
            <w:tcW w:w="8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8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80" w:type="dxa"/>
            <w:vAlign w:val="bottom"/>
          </w:tcPr>
          <w:p>
            <w:pPr>
              <w:spacing w:after="0"/>
              <w:rPr>
                <w:sz w:val="15"/>
                <w:szCs w:val="15"/>
                <w:color w:val="auto"/>
              </w:rPr>
            </w:pPr>
          </w:p>
        </w:tc>
        <w:tc>
          <w:tcPr>
            <w:tcW w:w="1540" w:type="dxa"/>
            <w:vAlign w:val="bottom"/>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24"/>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U.S. States:</w:t>
            </w: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81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8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California</w:t>
            </w:r>
          </w:p>
        </w:tc>
        <w:tc>
          <w:tcPr>
            <w:tcW w:w="1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830</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0" w:type="dxa"/>
            <w:vAlign w:val="bottom"/>
          </w:tcPr>
          <w:p>
            <w:pPr>
              <w:spacing w:after="0"/>
              <w:rPr>
                <w:sz w:val="1"/>
                <w:szCs w:val="1"/>
                <w:color w:val="auto"/>
              </w:rPr>
            </w:pPr>
          </w:p>
        </w:tc>
      </w:tr>
      <w:tr>
        <w:trPr>
          <w:trHeight w:val="188"/>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New York</w:t>
            </w: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w:t>
            </w:r>
          </w:p>
        </w:tc>
        <w:tc>
          <w:tcPr>
            <w:tcW w:w="162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4"/>
        </w:trPr>
        <w:tc>
          <w:tcPr>
            <w:tcW w:w="8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Florida</w:t>
            </w:r>
          </w:p>
        </w:tc>
        <w:tc>
          <w:tcPr>
            <w:tcW w:w="16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w:t>
            </w:r>
          </w:p>
        </w:tc>
        <w:tc>
          <w:tcPr>
            <w:tcW w:w="1620" w:type="dxa"/>
            <w:vAlign w:val="bottom"/>
            <w:tcBorders>
              <w:bottom w:val="single" w:sz="8" w:color="CCEEFF"/>
            </w:tcBorders>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88"/>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All other states (a)</w:t>
            </w: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4,803</w:t>
            </w:r>
          </w:p>
        </w:tc>
        <w:tc>
          <w:tcPr>
            <w:tcW w:w="162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color w:val="auto"/>
              </w:rPr>
              <w:t>73</w:t>
            </w:r>
          </w:p>
        </w:tc>
        <w:tc>
          <w:tcPr>
            <w:tcW w:w="0" w:type="dxa"/>
            <w:vAlign w:val="bottom"/>
          </w:tcPr>
          <w:p>
            <w:pPr>
              <w:spacing w:after="0"/>
              <w:rPr>
                <w:sz w:val="1"/>
                <w:szCs w:val="1"/>
                <w:color w:val="auto"/>
              </w:rPr>
            </w:pPr>
          </w:p>
        </w:tc>
      </w:tr>
      <w:tr>
        <w:trPr>
          <w:trHeight w:val="24"/>
        </w:trPr>
        <w:tc>
          <w:tcPr>
            <w:tcW w:w="8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Total RMLs, gross of valuation allowance</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6,537</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440"/>
              <w:spacing w:after="0"/>
              <w:rPr>
                <w:sz w:val="20"/>
                <w:szCs w:val="20"/>
                <w:color w:val="auto"/>
              </w:rPr>
            </w:pPr>
            <w:r>
              <w:rPr>
                <w:rFonts w:ascii="Times New Roman" w:cs="Times New Roman" w:eastAsia="Times New Roman" w:hAnsi="Times New Roman"/>
                <w:sz w:val="14"/>
                <w:szCs w:val="14"/>
                <w:color w:val="auto"/>
              </w:rPr>
              <w:t>Allowance for expected credit loss</w:t>
            </w:r>
          </w:p>
        </w:tc>
        <w:tc>
          <w:tcPr>
            <w:tcW w:w="1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81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
        </w:trPr>
        <w:tc>
          <w:tcPr>
            <w:tcW w:w="8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Total RMLs, net of valuation allowance</w:t>
            </w: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6,447</w:t>
            </w:r>
          </w:p>
        </w:tc>
        <w:tc>
          <w:tcPr>
            <w:tcW w:w="8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ind w:left="340" w:hanging="334"/>
        <w:spacing w:after="0"/>
        <w:tabs>
          <w:tab w:leader="none" w:pos="3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individual concentration of each state is less than 5% as of September 30, 2026.</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00" w:type="dxa"/>
            <w:vAlign w:val="bottom"/>
            <w:gridSpan w:val="3"/>
          </w:tcPr>
          <w:p>
            <w:pPr>
              <w:jc w:val="right"/>
              <w:ind w:right="889"/>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4"/>
        </w:trPr>
        <w:tc>
          <w:tcPr>
            <w:tcW w:w="8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8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80" w:type="dxa"/>
            <w:vAlign w:val="bottom"/>
          </w:tcPr>
          <w:p>
            <w:pPr>
              <w:spacing w:after="0"/>
              <w:rPr>
                <w:sz w:val="15"/>
                <w:szCs w:val="15"/>
                <w:color w:val="auto"/>
              </w:rPr>
            </w:pPr>
          </w:p>
        </w:tc>
        <w:tc>
          <w:tcPr>
            <w:tcW w:w="1540" w:type="dxa"/>
            <w:vAlign w:val="bottom"/>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24"/>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U.S. States:</w:t>
            </w: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81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8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California</w:t>
            </w:r>
          </w:p>
        </w:tc>
        <w:tc>
          <w:tcPr>
            <w:tcW w:w="1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0" w:type="dxa"/>
            <w:vAlign w:val="bottom"/>
          </w:tcPr>
          <w:p>
            <w:pPr>
              <w:spacing w:after="0"/>
              <w:rPr>
                <w:sz w:val="1"/>
                <w:szCs w:val="1"/>
                <w:color w:val="auto"/>
              </w:rPr>
            </w:pPr>
          </w:p>
        </w:tc>
      </w:tr>
      <w:tr>
        <w:trPr>
          <w:trHeight w:val="188"/>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Florida</w:t>
            </w: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162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4"/>
        </w:trPr>
        <w:tc>
          <w:tcPr>
            <w:tcW w:w="8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New York</w:t>
            </w:r>
          </w:p>
        </w:tc>
        <w:tc>
          <w:tcPr>
            <w:tcW w:w="16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1620" w:type="dxa"/>
            <w:vAlign w:val="bottom"/>
            <w:tcBorders>
              <w:bottom w:val="single" w:sz="8" w:color="CCEEFF"/>
            </w:tcBorders>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88"/>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All other states (a)</w:t>
            </w: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3,951</w:t>
            </w:r>
          </w:p>
        </w:tc>
        <w:tc>
          <w:tcPr>
            <w:tcW w:w="162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color w:val="auto"/>
              </w:rPr>
              <w:t>84</w:t>
            </w:r>
          </w:p>
        </w:tc>
        <w:tc>
          <w:tcPr>
            <w:tcW w:w="0" w:type="dxa"/>
            <w:vAlign w:val="bottom"/>
          </w:tcPr>
          <w:p>
            <w:pPr>
              <w:spacing w:after="0"/>
              <w:rPr>
                <w:sz w:val="1"/>
                <w:szCs w:val="1"/>
                <w:color w:val="auto"/>
              </w:rPr>
            </w:pPr>
          </w:p>
        </w:tc>
      </w:tr>
      <w:tr>
        <w:trPr>
          <w:trHeight w:val="24"/>
        </w:trPr>
        <w:tc>
          <w:tcPr>
            <w:tcW w:w="8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Total RMLs, gross of valuation allowance</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4,717</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440"/>
              <w:spacing w:after="0"/>
              <w:rPr>
                <w:sz w:val="20"/>
                <w:szCs w:val="20"/>
                <w:color w:val="auto"/>
              </w:rPr>
            </w:pPr>
            <w:r>
              <w:rPr>
                <w:rFonts w:ascii="Times New Roman" w:cs="Times New Roman" w:eastAsia="Times New Roman" w:hAnsi="Times New Roman"/>
                <w:sz w:val="14"/>
                <w:szCs w:val="14"/>
                <w:color w:val="auto"/>
              </w:rPr>
              <w:t>Allowance for expected credit loss</w:t>
            </w:r>
          </w:p>
        </w:tc>
        <w:tc>
          <w:tcPr>
            <w:tcW w:w="1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81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
        </w:trPr>
        <w:tc>
          <w:tcPr>
            <w:tcW w:w="8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Total RMLs, net of valuation allowance</w:t>
            </w: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4,649</w:t>
            </w:r>
          </w:p>
        </w:tc>
        <w:tc>
          <w:tcPr>
            <w:tcW w:w="8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ind w:left="340" w:hanging="334"/>
        <w:spacing w:after="0"/>
        <w:tabs>
          <w:tab w:leader="none" w:pos="3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individual concentration of each state is less than 5% as of December 31, 2025.</w:t>
      </w:r>
    </w:p>
    <w:p>
      <w:pPr>
        <w:spacing w:after="0" w:line="16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RMLs have a primary credit quality indicator of either a performing or non-performing loan. We define non-performing RMLs as those that are 90 or more days past due or in non-accrual status, which is assessed monthly. The credit quality of RMLs as of September 30, 2026 and December 31, 2025, was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20" w:type="dxa"/>
            <w:vAlign w:val="bottom"/>
            <w:gridSpan w:val="3"/>
          </w:tcPr>
          <w:p>
            <w:pPr>
              <w:ind w:left="74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40" w:type="dxa"/>
            <w:vAlign w:val="bottom"/>
            <w:gridSpan w:val="3"/>
          </w:tcPr>
          <w:p>
            <w:pPr>
              <w:jc w:val="right"/>
              <w:ind w:right="869"/>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4"/>
        </w:trPr>
        <w:tc>
          <w:tcPr>
            <w:tcW w:w="5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5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00" w:type="dxa"/>
            <w:vAlign w:val="bottom"/>
          </w:tcPr>
          <w:p>
            <w:pPr>
              <w:spacing w:after="0"/>
              <w:rPr>
                <w:sz w:val="15"/>
                <w:szCs w:val="15"/>
                <w:color w:val="auto"/>
              </w:rPr>
            </w:pPr>
          </w:p>
        </w:tc>
        <w:tc>
          <w:tcPr>
            <w:tcW w:w="108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w w:val="99"/>
              </w:rPr>
              <w:t>% of Total</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00" w:type="dxa"/>
            <w:vAlign w:val="bottom"/>
          </w:tcPr>
          <w:p>
            <w:pPr>
              <w:spacing w:after="0"/>
              <w:rPr>
                <w:sz w:val="15"/>
                <w:szCs w:val="15"/>
                <w:color w:val="auto"/>
              </w:rPr>
            </w:pPr>
          </w:p>
        </w:tc>
        <w:tc>
          <w:tcPr>
            <w:tcW w:w="1500" w:type="dxa"/>
            <w:vAlign w:val="bottom"/>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24"/>
        </w:trPr>
        <w:tc>
          <w:tcPr>
            <w:tcW w:w="5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Performance indicators:</w:t>
            </w: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51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Performing</w:t>
            </w:r>
          </w:p>
        </w:tc>
        <w:tc>
          <w:tcPr>
            <w:tcW w:w="1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6,410</w:t>
            </w:r>
          </w:p>
        </w:tc>
        <w:tc>
          <w:tcPr>
            <w:tcW w:w="1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98 %  $</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4,650</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99 %</w:t>
            </w:r>
          </w:p>
        </w:tc>
        <w:tc>
          <w:tcPr>
            <w:tcW w:w="0" w:type="dxa"/>
            <w:vAlign w:val="bottom"/>
          </w:tcPr>
          <w:p>
            <w:pPr>
              <w:spacing w:after="0"/>
              <w:rPr>
                <w:sz w:val="1"/>
                <w:szCs w:val="1"/>
                <w:color w:val="auto"/>
              </w:rPr>
            </w:pPr>
          </w:p>
        </w:tc>
      </w:tr>
      <w:tr>
        <w:trPr>
          <w:trHeight w:val="188"/>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Non-performing</w:t>
            </w: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60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4"/>
        </w:trPr>
        <w:tc>
          <w:tcPr>
            <w:tcW w:w="5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RMLs, gross of valuation allowance</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6,537</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4,717</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Allowance for expected loan loss</w:t>
            </w:r>
          </w:p>
        </w:tc>
        <w:tc>
          <w:tcPr>
            <w:tcW w:w="1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51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
        </w:trPr>
        <w:tc>
          <w:tcPr>
            <w:tcW w:w="5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RMLs, net of valuation allowance</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6,447</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4,649</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An individual loan, or a portion thereof, is charged off when it is determined to be uncollectible. There were no charge-offs recorded for RMLs during the nine months ended September 30, 2026 or during the year ended December 31, 2025. RMLs segregated by aging of the loans (by year of origination) as of September 30, 2026 and December 31, 2025, were as follows, gross of valuation allowances: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20" w:type="dxa"/>
            <w:vAlign w:val="bottom"/>
            <w:gridSpan w:val="7"/>
          </w:tcPr>
          <w:p>
            <w:pPr>
              <w:jc w:val="center"/>
              <w:ind w:left="429"/>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6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gridSpan w:val="9"/>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4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80" w:type="dxa"/>
            <w:vAlign w:val="bottom"/>
            <w:gridSpan w:val="9"/>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Amortized Cost by Origination Year</w:t>
            </w: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6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4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200" w:type="dxa"/>
            <w:vAlign w:val="bottom"/>
          </w:tcPr>
          <w:p>
            <w:pPr>
              <w:spacing w:after="0"/>
              <w:rPr>
                <w:sz w:val="15"/>
                <w:szCs w:val="15"/>
                <w:color w:val="auto"/>
              </w:rPr>
            </w:pPr>
          </w:p>
        </w:tc>
        <w:tc>
          <w:tcPr>
            <w:tcW w:w="680" w:type="dxa"/>
            <w:vAlign w:val="bottom"/>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4"/>
        </w:trPr>
        <w:tc>
          <w:tcPr>
            <w:tcW w:w="4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RMLs</w:t>
            </w: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46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(less than 30 days past due)</w:t>
            </w:r>
          </w:p>
        </w:tc>
        <w:tc>
          <w:tcPr>
            <w:tcW w:w="200" w:type="dxa"/>
            <w:vAlign w:val="bottom"/>
            <w:tcBorders>
              <w:bottom w:val="single" w:sz="8" w:color="CCEEFF"/>
            </w:tcBorders>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1,792</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1,885</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w:t>
            </w:r>
          </w:p>
        </w:tc>
        <w:tc>
          <w:tcPr>
            <w:tcW w:w="340" w:type="dxa"/>
            <w:vAlign w:val="bottom"/>
            <w:tcBorders>
              <w:bottom w:val="single" w:sz="8" w:color="CCEEFF"/>
            </w:tcBorders>
            <w:gridSpan w:val="3"/>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1,013</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6,303</w:t>
            </w:r>
          </w:p>
        </w:tc>
        <w:tc>
          <w:tcPr>
            <w:tcW w:w="0" w:type="dxa"/>
            <w:vAlign w:val="bottom"/>
          </w:tcPr>
          <w:p>
            <w:pPr>
              <w:spacing w:after="0"/>
              <w:rPr>
                <w:sz w:val="1"/>
                <w:szCs w:val="1"/>
                <w:color w:val="auto"/>
              </w:rPr>
            </w:pPr>
          </w:p>
        </w:tc>
      </w:tr>
      <w:tr>
        <w:trPr>
          <w:trHeight w:val="188"/>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30-89 days past due</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0" w:type="dxa"/>
            <w:vAlign w:val="bottom"/>
          </w:tcPr>
          <w:p>
            <w:pPr>
              <w:spacing w:after="0"/>
              <w:rPr>
                <w:sz w:val="1"/>
                <w:szCs w:val="1"/>
                <w:color w:val="auto"/>
              </w:rPr>
            </w:pPr>
          </w:p>
        </w:tc>
      </w:tr>
      <w:tr>
        <w:trPr>
          <w:trHeight w:val="24"/>
        </w:trPr>
        <w:tc>
          <w:tcPr>
            <w:tcW w:w="4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90 days or more past due</w:t>
            </w: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0" w:type="dxa"/>
            <w:vAlign w:val="bottom"/>
          </w:tcPr>
          <w:p>
            <w:pPr>
              <w:spacing w:after="0"/>
              <w:rPr>
                <w:sz w:val="1"/>
                <w:szCs w:val="1"/>
                <w:color w:val="auto"/>
              </w:rPr>
            </w:pPr>
          </w:p>
        </w:tc>
      </w:tr>
      <w:tr>
        <w:trPr>
          <w:trHeight w:val="205"/>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RMLs</w:t>
            </w:r>
          </w:p>
        </w:tc>
        <w:tc>
          <w:tcPr>
            <w:tcW w:w="200" w:type="dxa"/>
            <w:vAlign w:val="bottom"/>
            <w:tcBorders>
              <w:top w:val="single" w:sz="8" w:color="auto"/>
              <w:bottom w:val="single" w:sz="8" w:color="auto"/>
            </w:tcBorders>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1,916</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617</w:t>
            </w:r>
          </w:p>
        </w:tc>
        <w:tc>
          <w:tcPr>
            <w:tcW w:w="6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324</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765</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1,081</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6,537</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4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00" w:type="dxa"/>
            <w:vAlign w:val="bottom"/>
            <w:gridSpan w:val="6"/>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4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gridSpan w:val="9"/>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4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80" w:type="dxa"/>
            <w:vAlign w:val="bottom"/>
            <w:gridSpan w:val="9"/>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Amortized Cost by Origination Year</w:t>
            </w: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4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200" w:type="dxa"/>
            <w:vAlign w:val="bottom"/>
          </w:tcPr>
          <w:p>
            <w:pPr>
              <w:spacing w:after="0"/>
              <w:rPr>
                <w:sz w:val="15"/>
                <w:szCs w:val="15"/>
                <w:color w:val="auto"/>
              </w:rPr>
            </w:pPr>
          </w:p>
        </w:tc>
        <w:tc>
          <w:tcPr>
            <w:tcW w:w="680" w:type="dxa"/>
            <w:vAlign w:val="bottom"/>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4"/>
        </w:trPr>
        <w:tc>
          <w:tcPr>
            <w:tcW w:w="4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RMLs</w:t>
            </w: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46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gridSpan w:val="3"/>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(less than 30 days past due)</w:t>
            </w:r>
          </w:p>
        </w:tc>
        <w:tc>
          <w:tcPr>
            <w:tcW w:w="200" w:type="dxa"/>
            <w:vAlign w:val="bottom"/>
            <w:tcBorders>
              <w:bottom w:val="single" w:sz="8" w:color="CCEEFF"/>
            </w:tcBorders>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1,568</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736</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340" w:type="dxa"/>
            <w:vAlign w:val="bottom"/>
            <w:tcBorders>
              <w:bottom w:val="single" w:sz="8" w:color="CCEEFF"/>
            </w:tcBorders>
            <w:gridSpan w:val="3"/>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798</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731</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4,579</w:t>
            </w:r>
          </w:p>
        </w:tc>
        <w:tc>
          <w:tcPr>
            <w:tcW w:w="0" w:type="dxa"/>
            <w:vAlign w:val="bottom"/>
          </w:tcPr>
          <w:p>
            <w:pPr>
              <w:spacing w:after="0"/>
              <w:rPr>
                <w:sz w:val="1"/>
                <w:szCs w:val="1"/>
                <w:color w:val="auto"/>
              </w:rPr>
            </w:pPr>
          </w:p>
        </w:tc>
      </w:tr>
      <w:tr>
        <w:trPr>
          <w:trHeight w:val="188"/>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30-89 days past due</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24"/>
        </w:trPr>
        <w:tc>
          <w:tcPr>
            <w:tcW w:w="4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90 days or more past due</w:t>
            </w: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0" w:type="dxa"/>
            <w:vAlign w:val="bottom"/>
          </w:tcPr>
          <w:p>
            <w:pPr>
              <w:spacing w:after="0"/>
              <w:rPr>
                <w:sz w:val="1"/>
                <w:szCs w:val="1"/>
                <w:color w:val="auto"/>
              </w:rPr>
            </w:pPr>
          </w:p>
        </w:tc>
      </w:tr>
      <w:tr>
        <w:trPr>
          <w:trHeight w:val="205"/>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RMLs</w:t>
            </w:r>
          </w:p>
        </w:tc>
        <w:tc>
          <w:tcPr>
            <w:tcW w:w="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1,585</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742</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6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839</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756</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447</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4,717</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accrual loans by amortized cost as of September 30, 2026 and December 31, 2025, were as follows:</w:t>
            </w:r>
          </w:p>
        </w:tc>
        <w:tc>
          <w:tcPr>
            <w:tcW w:w="1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Non-</w:t>
            </w:r>
          </w:p>
        </w:tc>
        <w:tc>
          <w:tcPr>
            <w:tcW w:w="0" w:type="dxa"/>
            <w:vAlign w:val="bottom"/>
          </w:tcPr>
          <w:p>
            <w:pPr>
              <w:spacing w:after="0"/>
              <w:rPr>
                <w:sz w:val="1"/>
                <w:szCs w:val="1"/>
                <w:color w:val="auto"/>
              </w:rPr>
            </w:pPr>
          </w:p>
        </w:tc>
      </w:tr>
      <w:tr>
        <w:trPr>
          <w:trHeight w:val="212"/>
        </w:trPr>
        <w:tc>
          <w:tcPr>
            <w:tcW w:w="76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00" w:type="dxa"/>
            <w:vAlign w:val="bottom"/>
          </w:tcPr>
          <w:p>
            <w:pPr>
              <w:spacing w:after="0"/>
              <w:rPr>
                <w:sz w:val="18"/>
                <w:szCs w:val="18"/>
                <w:color w:val="auto"/>
              </w:rPr>
            </w:pPr>
          </w:p>
        </w:tc>
        <w:tc>
          <w:tcPr>
            <w:tcW w:w="1580" w:type="dxa"/>
            <w:vAlign w:val="bottom"/>
          </w:tcPr>
          <w:p>
            <w:pPr>
              <w:jc w:val="right"/>
              <w:ind w:right="246"/>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4"/>
        </w:trPr>
        <w:tc>
          <w:tcPr>
            <w:tcW w:w="7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 of loans on non-accrual</w:t>
            </w:r>
          </w:p>
        </w:tc>
        <w:tc>
          <w:tcPr>
            <w:tcW w:w="18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76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3440" w:type="dxa"/>
            <w:vAlign w:val="bottom"/>
            <w:gridSpan w:val="4"/>
          </w:tcPr>
          <w:p>
            <w:pPr>
              <w:jc w:val="right"/>
              <w:ind w:right="1366"/>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4"/>
        </w:trPr>
        <w:tc>
          <w:tcPr>
            <w:tcW w:w="7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Residential mortgage:</w:t>
            </w:r>
          </w:p>
        </w:tc>
        <w:tc>
          <w:tcPr>
            <w:tcW w:w="1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0" w:type="dxa"/>
            <w:vAlign w:val="bottom"/>
          </w:tcPr>
          <w:p>
            <w:pPr>
              <w:spacing w:after="0"/>
              <w:rPr>
                <w:sz w:val="1"/>
                <w:szCs w:val="1"/>
                <w:color w:val="auto"/>
              </w:rPr>
            </w:pPr>
          </w:p>
        </w:tc>
      </w:tr>
      <w:tr>
        <w:trPr>
          <w:trHeight w:val="188"/>
        </w:trPr>
        <w:tc>
          <w:tcPr>
            <w:tcW w:w="7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 mortgage:</w:t>
            </w:r>
          </w:p>
        </w:tc>
        <w:tc>
          <w:tcPr>
            <w:tcW w:w="1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4"/>
        </w:trPr>
        <w:tc>
          <w:tcPr>
            <w:tcW w:w="7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non-accrual mortgages</w:t>
            </w: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Immaterial interest income was recognized on non-accrual financing receivables for the three and nine months ended September 30, 2026 and 2025.</w:t>
      </w:r>
    </w:p>
    <w:p>
      <w:pPr>
        <w:spacing w:after="0" w:line="151" w:lineRule="exact"/>
        <w:rPr>
          <w:sz w:val="20"/>
          <w:szCs w:val="20"/>
          <w:color w:val="auto"/>
        </w:rPr>
      </w:pPr>
    </w:p>
    <w:p>
      <w:pPr>
        <w:jc w:val="both"/>
        <w:ind w:firstLine="318"/>
        <w:spacing w:after="0" w:line="239" w:lineRule="auto"/>
        <w:rPr>
          <w:sz w:val="20"/>
          <w:szCs w:val="20"/>
          <w:color w:val="auto"/>
        </w:rPr>
      </w:pPr>
      <w:r>
        <w:rPr>
          <w:rFonts w:ascii="Times New Roman" w:cs="Times New Roman" w:eastAsia="Times New Roman" w:hAnsi="Times New Roman"/>
          <w:sz w:val="18"/>
          <w:szCs w:val="18"/>
          <w:color w:val="auto"/>
        </w:rPr>
        <w:t>It is our policy to cease to accrue interest on loans that are delinquent for 90 days or more. For loans less than 90 days delinquent, interest is accrued unless it is determined that the accrued interest is not collectible. If a loan becomes 90 days or more delinquent, it is our general policy to initiate foreclosure proceedings unless a workout arrangement to bring the loan current is in place. As of September 30, 2026 and December 31, 2025, we had $136 million and $79 million, respectively, of mortgage loans that were over 90 days past due.</w:t>
      </w:r>
    </w:p>
    <w:p>
      <w:pPr>
        <w:spacing w:after="0" w:line="130"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8"/>
          <w:szCs w:val="18"/>
          <w:color w:val="auto"/>
        </w:rPr>
        <w:t>As of September 30, 2026 and December 31, 2025, we had $135 million and $111 million, respectively, of residential mortgage loans that were in the process of foreclosure.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Expected Credit Loss</w:t>
      </w:r>
    </w:p>
    <w:p>
      <w:pPr>
        <w:spacing w:after="0" w:line="11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estimate expected credit losses for our commercial and residential mortgage loan portfolios using a probability of default/loss given default model. Significant inputs to this model include, where applicable, the loans' current performance, underlying collateral type, location, contractual life, LTV, DSC, and Debt to Income or FICO. The model projects losses using a two year reasonable and supportable forecast and then reverts over a three-year period to market-wide historical loss experience. Changes in our allowance for expected credit losses on mortgage loans are recognized in Recognized gains and losses, net in the accompanying unaudited Condensed Consolidated Statements of Earnings.</w:t>
      </w:r>
    </w:p>
    <w:p>
      <w:pPr>
        <w:spacing w:after="0" w:line="2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allowances for our mortgage loan portfolio are summarized as follows:</w:t>
      </w:r>
    </w:p>
    <w:p>
      <w:pPr>
        <w:spacing w:after="0" w:line="52" w:lineRule="exact"/>
        <w:rPr>
          <w:sz w:val="20"/>
          <w:szCs w:val="20"/>
          <w:color w:val="auto"/>
        </w:rPr>
      </w:pPr>
    </w:p>
    <w:p>
      <w:pPr>
        <w:ind w:left="4700"/>
        <w:spacing w:after="0"/>
        <w:tabs>
          <w:tab w:leader="none" w:pos="8300" w:val="left"/>
        </w:tabs>
        <w:rPr>
          <w:sz w:val="20"/>
          <w:szCs w:val="20"/>
          <w:color w:val="auto"/>
        </w:rPr>
      </w:pPr>
      <w:r>
        <w:rPr>
          <w:rFonts w:ascii="Times New Roman" w:cs="Times New Roman" w:eastAsia="Times New Roman" w:hAnsi="Times New Roman"/>
          <w:sz w:val="14"/>
          <w:szCs w:val="14"/>
          <w:b w:val="1"/>
          <w:bCs w:val="1"/>
          <w:color w:val="auto"/>
        </w:rPr>
        <w:t>Three months ended September 30, 2026</w:t>
      </w:r>
      <w:r>
        <w:rPr>
          <w:sz w:val="20"/>
          <w:szCs w:val="20"/>
          <w:color w:val="auto"/>
        </w:rPr>
        <w:tab/>
      </w:r>
      <w:r>
        <w:rPr>
          <w:rFonts w:ascii="Times New Roman" w:cs="Times New Roman" w:eastAsia="Times New Roman" w:hAnsi="Times New Roman"/>
          <w:sz w:val="14"/>
          <w:szCs w:val="14"/>
          <w:b w:val="1"/>
          <w:bCs w:val="1"/>
          <w:color w:val="auto"/>
        </w:rPr>
        <w:t>Nine months ended September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2645410</wp:posOffset>
            </wp:positionH>
            <wp:positionV relativeFrom="paragraph">
              <wp:posOffset>31115</wp:posOffset>
            </wp:positionV>
            <wp:extent cx="44926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492625"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6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2645410</wp:posOffset>
            </wp:positionH>
            <wp:positionV relativeFrom="paragraph">
              <wp:posOffset>31115</wp:posOffset>
            </wp:positionV>
            <wp:extent cx="222948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229485" cy="8255"/>
                    </a:xfrm>
                    <a:prstGeom prst="rect">
                      <a:avLst/>
                    </a:prstGeom>
                    <a:noFill/>
                  </pic:spPr>
                </pic:pic>
              </a:graphicData>
            </a:graphic>
          </wp:anchor>
        </w:drawing>
      </w:r>
    </w:p>
    <w:p>
      <w:pPr>
        <w:spacing w:after="0" w:line="34" w:lineRule="exact"/>
        <w:rPr>
          <w:sz w:val="20"/>
          <w:szCs w:val="20"/>
          <w:color w:val="auto"/>
        </w:rPr>
      </w:pPr>
    </w:p>
    <w:p>
      <w:pPr>
        <w:ind w:left="4380"/>
        <w:spacing w:after="0"/>
        <w:tabs>
          <w:tab w:leader="none" w:pos="5520" w:val="left"/>
        </w:tabs>
        <w:rPr>
          <w:sz w:val="20"/>
          <w:szCs w:val="20"/>
          <w:color w:val="auto"/>
        </w:rPr>
      </w:pPr>
      <w:r>
        <w:rPr>
          <w:rFonts w:ascii="Times New Roman" w:cs="Times New Roman" w:eastAsia="Times New Roman" w:hAnsi="Times New Roman"/>
          <w:sz w:val="14"/>
          <w:szCs w:val="14"/>
          <w:b w:val="1"/>
          <w:bCs w:val="1"/>
          <w:color w:val="auto"/>
        </w:rPr>
        <w:t>Residential</w:t>
      </w:r>
      <w:r>
        <w:rPr>
          <w:sz w:val="20"/>
          <w:szCs w:val="20"/>
          <w:color w:val="auto"/>
        </w:rPr>
        <w:tab/>
      </w:r>
      <w:r>
        <w:rPr>
          <w:rFonts w:ascii="Times New Roman" w:cs="Times New Roman" w:eastAsia="Times New Roman" w:hAnsi="Times New Roman"/>
          <w:sz w:val="14"/>
          <w:szCs w:val="14"/>
          <w:b w:val="1"/>
          <w:bCs w:val="1"/>
          <w:color w:val="auto"/>
        </w:rPr>
        <w:t>Commercial</w:t>
      </w:r>
    </w:p>
    <w:p>
      <w:pPr>
        <w:ind w:left="4420"/>
        <w:spacing w:after="0"/>
        <w:tabs>
          <w:tab w:leader="none" w:pos="5600" w:val="left"/>
          <w:tab w:leader="none" w:pos="6940" w:val="left"/>
        </w:tabs>
        <w:rPr>
          <w:sz w:val="20"/>
          <w:szCs w:val="20"/>
          <w:color w:val="auto"/>
        </w:rPr>
      </w:pPr>
      <w:r>
        <w:rPr>
          <w:rFonts w:ascii="Times New Roman" w:cs="Times New Roman" w:eastAsia="Times New Roman" w:hAnsi="Times New Roman"/>
          <w:sz w:val="14"/>
          <w:szCs w:val="14"/>
          <w:b w:val="1"/>
          <w:bCs w:val="1"/>
          <w:color w:val="auto"/>
        </w:rPr>
        <w:t>Mortgage</w:t>
      </w:r>
      <w:r>
        <w:rPr>
          <w:sz w:val="20"/>
          <w:szCs w:val="20"/>
          <w:color w:val="auto"/>
        </w:rPr>
        <w:tab/>
      </w:r>
      <w:r>
        <w:rPr>
          <w:rFonts w:ascii="Times New Roman" w:cs="Times New Roman" w:eastAsia="Times New Roman" w:hAnsi="Times New Roman"/>
          <w:sz w:val="14"/>
          <w:szCs w:val="14"/>
          <w:b w:val="1"/>
          <w:bCs w:val="1"/>
          <w:color w:val="auto"/>
        </w:rPr>
        <w:t>Mortgage</w:t>
      </w:r>
      <w:r>
        <w:rPr>
          <w:sz w:val="20"/>
          <w:szCs w:val="20"/>
          <w:color w:val="auto"/>
        </w:rPr>
        <w:tab/>
      </w:r>
      <w:r>
        <w:rPr>
          <w:rFonts w:ascii="Times New Roman" w:cs="Times New Roman" w:eastAsia="Times New Roman" w:hAnsi="Times New Roman"/>
          <w:sz w:val="13"/>
          <w:szCs w:val="13"/>
          <w:b w:val="1"/>
          <w:bCs w:val="1"/>
          <w:color w:val="auto"/>
        </w:rPr>
        <w:t>Total</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wp:posOffset>
            </wp:positionH>
            <wp:positionV relativeFrom="paragraph">
              <wp:posOffset>31115</wp:posOffset>
            </wp:positionV>
            <wp:extent cx="220408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204085" cy="8255"/>
                    </a:xfrm>
                    <a:prstGeom prst="rect">
                      <a:avLst/>
                    </a:prstGeom>
                    <a:noFill/>
                  </pic:spPr>
                </pic:pic>
              </a:graphicData>
            </a:graphic>
          </wp:anchor>
        </w:drawing>
      </w:r>
    </w:p>
    <w:p>
      <w:pPr>
        <w:spacing w:after="0" w:line="34"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4"/>
          <w:szCs w:val="14"/>
          <w:b w:val="1"/>
          <w:bCs w:val="1"/>
          <w:color w:val="auto"/>
        </w:rPr>
        <w:t>Residential</w:t>
      </w:r>
      <w:r>
        <w:rPr>
          <w:sz w:val="20"/>
          <w:szCs w:val="20"/>
          <w:color w:val="auto"/>
        </w:rPr>
        <w:tab/>
      </w:r>
      <w:r>
        <w:rPr>
          <w:rFonts w:ascii="Times New Roman" w:cs="Times New Roman" w:eastAsia="Times New Roman" w:hAnsi="Times New Roman"/>
          <w:sz w:val="14"/>
          <w:szCs w:val="14"/>
          <w:b w:val="1"/>
          <w:bCs w:val="1"/>
          <w:color w:val="auto"/>
        </w:rPr>
        <w:t>Commercial</w:t>
      </w:r>
    </w:p>
    <w:p>
      <w:pPr>
        <w:ind w:left="40"/>
        <w:spacing w:after="0"/>
        <w:tabs>
          <w:tab w:leader="none" w:pos="1220" w:val="left"/>
          <w:tab w:leader="none" w:pos="2540" w:val="left"/>
        </w:tabs>
        <w:rPr>
          <w:sz w:val="20"/>
          <w:szCs w:val="20"/>
          <w:color w:val="auto"/>
        </w:rPr>
      </w:pPr>
      <w:r>
        <w:rPr>
          <w:rFonts w:ascii="Times New Roman" w:cs="Times New Roman" w:eastAsia="Times New Roman" w:hAnsi="Times New Roman"/>
          <w:sz w:val="14"/>
          <w:szCs w:val="14"/>
          <w:b w:val="1"/>
          <w:bCs w:val="1"/>
          <w:color w:val="auto"/>
        </w:rPr>
        <w:t>Mortgage</w:t>
      </w:r>
      <w:r>
        <w:rPr>
          <w:sz w:val="20"/>
          <w:szCs w:val="20"/>
          <w:color w:val="auto"/>
        </w:rPr>
        <w:tab/>
      </w:r>
      <w:r>
        <w:rPr>
          <w:rFonts w:ascii="Times New Roman" w:cs="Times New Roman" w:eastAsia="Times New Roman" w:hAnsi="Times New Roman"/>
          <w:sz w:val="14"/>
          <w:szCs w:val="14"/>
          <w:b w:val="1"/>
          <w:bCs w:val="1"/>
          <w:color w:val="auto"/>
        </w:rPr>
        <w:t>Mortgage</w:t>
      </w:r>
      <w:r>
        <w:rPr>
          <w:sz w:val="20"/>
          <w:szCs w:val="20"/>
          <w:color w:val="auto"/>
        </w:rPr>
        <w:tab/>
      </w:r>
      <w:r>
        <w:rPr>
          <w:rFonts w:ascii="Times New Roman" w:cs="Times New Roman" w:eastAsia="Times New Roman" w:hAnsi="Times New Roman"/>
          <w:sz w:val="14"/>
          <w:szCs w:val="14"/>
          <w:b w:val="1"/>
          <w:bCs w:val="1"/>
          <w:color w:val="auto"/>
        </w:rPr>
        <w:t>Total</w:t>
      </w:r>
    </w:p>
    <w:p>
      <w:pPr>
        <w:spacing w:after="0" w:line="11" w:lineRule="exact"/>
        <w:rPr>
          <w:sz w:val="20"/>
          <w:szCs w:val="20"/>
          <w:color w:val="auto"/>
        </w:rPr>
      </w:pPr>
    </w:p>
    <w:p>
      <w:pPr>
        <w:sectPr>
          <w:pgSz w:w="11900" w:h="16838" w:orient="portrait"/>
          <w:cols w:equalWidth="0" w:num="2">
            <w:col w:w="7260" w:space="720"/>
            <w:col w:w="326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25"/>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Beginning Balance</w:t>
            </w:r>
          </w:p>
        </w:tc>
        <w:tc>
          <w:tcPr>
            <w:tcW w:w="32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54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8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r>
      <w:tr>
        <w:trPr>
          <w:trHeight w:val="188"/>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Provision (expense) benefit for loan losses</w:t>
            </w:r>
          </w:p>
        </w:tc>
        <w:tc>
          <w:tcPr>
            <w:tcW w:w="3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24"/>
        </w:trPr>
        <w:tc>
          <w:tcPr>
            <w:tcW w:w="4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30"/>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Ending Balance</w:t>
            </w: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54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r>
      <w:tr>
        <w:trPr>
          <w:trHeight w:val="373"/>
        </w:trPr>
        <w:tc>
          <w:tcPr>
            <w:tcW w:w="4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80" w:type="dxa"/>
            <w:vAlign w:val="bottom"/>
            <w:gridSpan w:val="6"/>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20" w:type="dxa"/>
            <w:vAlign w:val="bottom"/>
            <w:gridSpan w:val="6"/>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4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15240</wp:posOffset>
            </wp:positionV>
            <wp:extent cx="44678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46786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p>
      <w:pPr>
        <w:spacing w:after="0" w:line="3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31115</wp:posOffset>
            </wp:positionV>
            <wp:extent cx="220408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204085" cy="8255"/>
                    </a:xfrm>
                    <a:prstGeom prst="rect">
                      <a:avLst/>
                    </a:prstGeom>
                    <a:noFill/>
                  </pic:spPr>
                </pic:pic>
              </a:graphicData>
            </a:graphic>
          </wp:anchor>
        </w:drawing>
      </w:r>
    </w:p>
    <w:p>
      <w:pPr>
        <w:spacing w:after="0" w:line="34" w:lineRule="exact"/>
        <w:rPr>
          <w:sz w:val="20"/>
          <w:szCs w:val="20"/>
          <w:color w:val="auto"/>
        </w:rPr>
      </w:pPr>
    </w:p>
    <w:p>
      <w:pPr>
        <w:ind w:left="4420"/>
        <w:spacing w:after="0"/>
        <w:tabs>
          <w:tab w:leader="none" w:pos="5560" w:val="left"/>
        </w:tabs>
        <w:rPr>
          <w:sz w:val="20"/>
          <w:szCs w:val="20"/>
          <w:color w:val="auto"/>
        </w:rPr>
      </w:pPr>
      <w:r>
        <w:rPr>
          <w:rFonts w:ascii="Times New Roman" w:cs="Times New Roman" w:eastAsia="Times New Roman" w:hAnsi="Times New Roman"/>
          <w:sz w:val="14"/>
          <w:szCs w:val="14"/>
          <w:b w:val="1"/>
          <w:bCs w:val="1"/>
          <w:color w:val="auto"/>
        </w:rPr>
        <w:t>Residential</w:t>
      </w:r>
      <w:r>
        <w:rPr>
          <w:sz w:val="20"/>
          <w:szCs w:val="20"/>
          <w:color w:val="auto"/>
        </w:rPr>
        <w:tab/>
      </w:r>
      <w:r>
        <w:rPr>
          <w:rFonts w:ascii="Times New Roman" w:cs="Times New Roman" w:eastAsia="Times New Roman" w:hAnsi="Times New Roman"/>
          <w:sz w:val="14"/>
          <w:szCs w:val="14"/>
          <w:b w:val="1"/>
          <w:bCs w:val="1"/>
          <w:color w:val="auto"/>
        </w:rPr>
        <w:t>Commercial</w:t>
      </w:r>
    </w:p>
    <w:p>
      <w:pPr>
        <w:ind w:left="4460"/>
        <w:spacing w:after="0"/>
        <w:tabs>
          <w:tab w:leader="none" w:pos="5640" w:val="left"/>
          <w:tab w:leader="none" w:pos="6960" w:val="left"/>
        </w:tabs>
        <w:rPr>
          <w:sz w:val="20"/>
          <w:szCs w:val="20"/>
          <w:color w:val="auto"/>
        </w:rPr>
      </w:pPr>
      <w:r>
        <w:rPr>
          <w:rFonts w:ascii="Times New Roman" w:cs="Times New Roman" w:eastAsia="Times New Roman" w:hAnsi="Times New Roman"/>
          <w:sz w:val="14"/>
          <w:szCs w:val="14"/>
          <w:b w:val="1"/>
          <w:bCs w:val="1"/>
          <w:color w:val="auto"/>
        </w:rPr>
        <w:t>Mortgage</w:t>
      </w:r>
      <w:r>
        <w:rPr>
          <w:sz w:val="20"/>
          <w:szCs w:val="20"/>
          <w:color w:val="auto"/>
        </w:rPr>
        <w:tab/>
      </w:r>
      <w:r>
        <w:rPr>
          <w:rFonts w:ascii="Times New Roman" w:cs="Times New Roman" w:eastAsia="Times New Roman" w:hAnsi="Times New Roman"/>
          <w:sz w:val="14"/>
          <w:szCs w:val="14"/>
          <w:b w:val="1"/>
          <w:bCs w:val="1"/>
          <w:color w:val="auto"/>
        </w:rPr>
        <w:t>Mortgage</w:t>
      </w:r>
      <w:r>
        <w:rPr>
          <w:sz w:val="20"/>
          <w:szCs w:val="20"/>
          <w:color w:val="auto"/>
        </w:rPr>
        <w:tab/>
      </w:r>
      <w:r>
        <w:rPr>
          <w:rFonts w:ascii="Times New Roman" w:cs="Times New Roman" w:eastAsia="Times New Roman" w:hAnsi="Times New Roman"/>
          <w:sz w:val="13"/>
          <w:szCs w:val="13"/>
          <w:b w:val="1"/>
          <w:bCs w:val="1"/>
          <w:color w:val="auto"/>
        </w:rPr>
        <w:t>Total</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wp:posOffset>
            </wp:positionH>
            <wp:positionV relativeFrom="paragraph">
              <wp:posOffset>31115</wp:posOffset>
            </wp:positionV>
            <wp:extent cx="220408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204085" cy="8255"/>
                    </a:xfrm>
                    <a:prstGeom prst="rect">
                      <a:avLst/>
                    </a:prstGeom>
                    <a:noFill/>
                  </pic:spPr>
                </pic:pic>
              </a:graphicData>
            </a:graphic>
          </wp:anchor>
        </w:drawing>
      </w:r>
    </w:p>
    <w:p>
      <w:pPr>
        <w:spacing w:after="0" w:line="34"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4"/>
          <w:szCs w:val="14"/>
          <w:b w:val="1"/>
          <w:bCs w:val="1"/>
          <w:color w:val="auto"/>
        </w:rPr>
        <w:t>Residential</w:t>
      </w:r>
      <w:r>
        <w:rPr>
          <w:sz w:val="20"/>
          <w:szCs w:val="20"/>
          <w:color w:val="auto"/>
        </w:rPr>
        <w:tab/>
      </w:r>
      <w:r>
        <w:rPr>
          <w:rFonts w:ascii="Times New Roman" w:cs="Times New Roman" w:eastAsia="Times New Roman" w:hAnsi="Times New Roman"/>
          <w:sz w:val="14"/>
          <w:szCs w:val="14"/>
          <w:b w:val="1"/>
          <w:bCs w:val="1"/>
          <w:color w:val="auto"/>
        </w:rPr>
        <w:t>Commercial</w:t>
      </w:r>
    </w:p>
    <w:p>
      <w:pPr>
        <w:ind w:left="40"/>
        <w:spacing w:after="0"/>
        <w:tabs>
          <w:tab w:leader="none" w:pos="1220" w:val="left"/>
          <w:tab w:leader="none" w:pos="2540" w:val="left"/>
        </w:tabs>
        <w:rPr>
          <w:sz w:val="20"/>
          <w:szCs w:val="20"/>
          <w:color w:val="auto"/>
        </w:rPr>
      </w:pPr>
      <w:r>
        <w:rPr>
          <w:rFonts w:ascii="Times New Roman" w:cs="Times New Roman" w:eastAsia="Times New Roman" w:hAnsi="Times New Roman"/>
          <w:sz w:val="14"/>
          <w:szCs w:val="14"/>
          <w:b w:val="1"/>
          <w:bCs w:val="1"/>
          <w:color w:val="auto"/>
        </w:rPr>
        <w:t>Mortgage</w:t>
      </w:r>
      <w:r>
        <w:rPr>
          <w:sz w:val="20"/>
          <w:szCs w:val="20"/>
          <w:color w:val="auto"/>
        </w:rPr>
        <w:tab/>
      </w:r>
      <w:r>
        <w:rPr>
          <w:rFonts w:ascii="Times New Roman" w:cs="Times New Roman" w:eastAsia="Times New Roman" w:hAnsi="Times New Roman"/>
          <w:sz w:val="14"/>
          <w:szCs w:val="14"/>
          <w:b w:val="1"/>
          <w:bCs w:val="1"/>
          <w:color w:val="auto"/>
        </w:rPr>
        <w:t>Mortgage</w:t>
      </w:r>
      <w:r>
        <w:rPr>
          <w:sz w:val="20"/>
          <w:szCs w:val="20"/>
          <w:color w:val="auto"/>
        </w:rPr>
        <w:tab/>
      </w:r>
      <w:r>
        <w:rPr>
          <w:rFonts w:ascii="Times New Roman" w:cs="Times New Roman" w:eastAsia="Times New Roman" w:hAnsi="Times New Roman"/>
          <w:sz w:val="14"/>
          <w:szCs w:val="14"/>
          <w:b w:val="1"/>
          <w:bCs w:val="1"/>
          <w:color w:val="auto"/>
        </w:rPr>
        <w:t>Total</w:t>
      </w:r>
    </w:p>
    <w:p>
      <w:pPr>
        <w:spacing w:after="0" w:line="20" w:lineRule="exact"/>
        <w:rPr>
          <w:sz w:val="20"/>
          <w:szCs w:val="20"/>
          <w:color w:val="auto"/>
        </w:rPr>
      </w:pPr>
    </w:p>
    <w:p>
      <w:pPr>
        <w:sectPr>
          <w:pgSz w:w="11900" w:h="16838" w:orient="portrait"/>
          <w:cols w:equalWidth="0" w:num="2">
            <w:col w:w="7280" w:space="700"/>
            <w:col w:w="326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Beginning Balance</w:t>
            </w:r>
          </w:p>
        </w:tc>
        <w:tc>
          <w:tcPr>
            <w:tcW w:w="460" w:type="dxa"/>
            <w:vAlign w:val="bottom"/>
            <w:tcBorders>
              <w:top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center"/>
              <w:ind w:left="289"/>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r>
      <w:tr>
        <w:trPr>
          <w:trHeight w:val="188"/>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Provision (expense) benefit for loan losses</w:t>
            </w:r>
          </w:p>
        </w:tc>
        <w:tc>
          <w:tcPr>
            <w:tcW w:w="460" w:type="dxa"/>
            <w:vAlign w:val="bottom"/>
          </w:tcPr>
          <w:p>
            <w:pPr>
              <w:spacing w:after="0"/>
              <w:rPr>
                <w:sz w:val="16"/>
                <w:szCs w:val="16"/>
                <w:color w:val="auto"/>
              </w:rPr>
            </w:pPr>
          </w:p>
        </w:tc>
        <w:tc>
          <w:tcPr>
            <w:tcW w:w="740" w:type="dxa"/>
            <w:vAlign w:val="bottom"/>
            <w:gridSpan w:val="2"/>
          </w:tcPr>
          <w:p>
            <w:pPr>
              <w:jc w:val="center"/>
              <w:ind w:left="209"/>
              <w:spacing w:after="0"/>
              <w:rPr>
                <w:sz w:val="20"/>
                <w:szCs w:val="20"/>
                <w:color w:val="auto"/>
              </w:rPr>
            </w:pPr>
            <w:r>
              <w:rPr>
                <w:rFonts w:ascii="Times New Roman" w:cs="Times New Roman" w:eastAsia="Times New Roman" w:hAnsi="Times New Roman"/>
                <w:sz w:val="14"/>
                <w:szCs w:val="14"/>
                <w:color w:val="auto"/>
                <w:w w:val="99"/>
              </w:rPr>
              <w:t>—</w:t>
            </w:r>
          </w:p>
        </w:tc>
        <w:tc>
          <w:tcPr>
            <w:tcW w:w="4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24"/>
        </w:trPr>
        <w:tc>
          <w:tcPr>
            <w:tcW w:w="42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0"/>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Ending Balance</w:t>
            </w:r>
          </w:p>
        </w:tc>
        <w:tc>
          <w:tcPr>
            <w:tcW w:w="46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center"/>
              <w:ind w:left="289"/>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An allowance for expected credit loss is not measured on accrued interest income for CMLs as we have a process to write-off interest on loans that enter into non-accrual status (90 days or more past due). Allowances for expected credit losses are measured on accrued interest income for RMLs and were immaterial for the three and nine months ended September 30, 2026 and 2025.</w:t>
      </w:r>
    </w:p>
    <w:p>
      <w:pPr>
        <w:spacing w:after="0" w:line="7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As of September 30, 2026 and December 31, 2025, the accrued interest receivable balance on CMLs totaled $13 million and $11 million, respectively, and the accrued interest receivable on RMLs totaled $62 million and $45 million, respectively. Accrued interest receivable is classified within Prepaid expenses and other assets within the unaudited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Investment Income</w:t>
      </w:r>
    </w:p>
    <w:p>
      <w:pPr>
        <w:spacing w:after="0" w:line="11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major sources of Interest and investment income reported on the accompanying unaudited Condensed Consolidated Statements of Earnings were as follows: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20" w:type="dxa"/>
            <w:vAlign w:val="bottom"/>
          </w:tcPr>
          <w:p>
            <w:pPr>
              <w:spacing w:after="0"/>
              <w:rPr>
                <w:sz w:val="16"/>
                <w:szCs w:val="16"/>
                <w:color w:val="auto"/>
              </w:rPr>
            </w:pPr>
          </w:p>
        </w:tc>
        <w:tc>
          <w:tcPr>
            <w:tcW w:w="2640" w:type="dxa"/>
            <w:vAlign w:val="bottom"/>
            <w:gridSpan w:val="4"/>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20" w:type="dxa"/>
            <w:vAlign w:val="bottom"/>
            <w:gridSpan w:val="5"/>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4"/>
        </w:trPr>
        <w:tc>
          <w:tcPr>
            <w:tcW w:w="54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1"/>
        </w:trPr>
        <w:tc>
          <w:tcPr>
            <w:tcW w:w="5420" w:type="dxa"/>
            <w:vAlign w:val="bottom"/>
          </w:tcPr>
          <w:p>
            <w:pPr>
              <w:spacing w:after="0"/>
              <w:rPr>
                <w:sz w:val="15"/>
                <w:szCs w:val="15"/>
                <w:color w:val="auto"/>
              </w:rPr>
            </w:pPr>
          </w:p>
        </w:tc>
        <w:tc>
          <w:tcPr>
            <w:tcW w:w="98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4"/>
        </w:trPr>
        <w:tc>
          <w:tcPr>
            <w:tcW w:w="54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1"/>
        </w:trPr>
        <w:tc>
          <w:tcPr>
            <w:tcW w:w="5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60" w:type="dxa"/>
            <w:vAlign w:val="bottom"/>
            <w:gridSpan w:val="3"/>
          </w:tcPr>
          <w:p>
            <w:pPr>
              <w:jc w:val="right"/>
              <w:ind w:right="70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60" w:type="dxa"/>
            <w:vAlign w:val="bottom"/>
            <w:gridSpan w:val="3"/>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00" w:type="dxa"/>
            <w:vAlign w:val="bottom"/>
          </w:tcPr>
          <w:p>
            <w:pPr>
              <w:spacing w:after="0"/>
              <w:rPr>
                <w:sz w:val="15"/>
                <w:szCs w:val="15"/>
                <w:color w:val="auto"/>
              </w:rPr>
            </w:pPr>
          </w:p>
        </w:tc>
      </w:tr>
      <w:tr>
        <w:trPr>
          <w:trHeight w:val="24"/>
        </w:trPr>
        <w:tc>
          <w:tcPr>
            <w:tcW w:w="5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92"/>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Fixed maturity securities, available-for-sale</w:t>
            </w:r>
          </w:p>
        </w:tc>
        <w:tc>
          <w:tcPr>
            <w:tcW w:w="980" w:type="dxa"/>
            <w:vAlign w:val="bottom"/>
            <w:tcBorders>
              <w:bottom w:val="single" w:sz="8" w:color="CCEEFF"/>
            </w:tcBorders>
            <w:shd w:val="clear" w:color="auto" w:fill="CCEEFF"/>
          </w:tcPr>
          <w:p>
            <w:pPr>
              <w:jc w:val="right"/>
              <w:ind w:right="82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w:t>
            </w:r>
          </w:p>
        </w:tc>
        <w:tc>
          <w:tcPr>
            <w:tcW w:w="1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w:t>
            </w:r>
          </w:p>
        </w:tc>
        <w:tc>
          <w:tcPr>
            <w:tcW w:w="1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1,704</w:t>
            </w:r>
          </w:p>
        </w:tc>
        <w:tc>
          <w:tcPr>
            <w:tcW w:w="1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1,747</w:t>
            </w:r>
          </w:p>
        </w:tc>
      </w:tr>
      <w:tr>
        <w:trPr>
          <w:trHeight w:val="188"/>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securities</w:t>
            </w:r>
          </w:p>
        </w:tc>
        <w:tc>
          <w:tcPr>
            <w:tcW w:w="9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24"/>
        </w:trPr>
        <w:tc>
          <w:tcPr>
            <w:tcW w:w="5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92"/>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Preferred securities</w:t>
            </w:r>
          </w:p>
        </w:tc>
        <w:tc>
          <w:tcPr>
            <w:tcW w:w="9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88"/>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Mortgage loans</w:t>
            </w:r>
          </w:p>
        </w:tc>
        <w:tc>
          <w:tcPr>
            <w:tcW w:w="9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w:t>
            </w:r>
          </w:p>
        </w:tc>
      </w:tr>
      <w:tr>
        <w:trPr>
          <w:trHeight w:val="24"/>
        </w:trPr>
        <w:tc>
          <w:tcPr>
            <w:tcW w:w="5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92"/>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Invested cash and short-term investments</w:t>
            </w:r>
          </w:p>
        </w:tc>
        <w:tc>
          <w:tcPr>
            <w:tcW w:w="9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w:t>
            </w:r>
          </w:p>
        </w:tc>
      </w:tr>
      <w:tr>
        <w:trPr>
          <w:trHeight w:val="188"/>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Limited partnerships</w:t>
            </w:r>
          </w:p>
        </w:tc>
        <w:tc>
          <w:tcPr>
            <w:tcW w:w="9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w:t>
            </w:r>
          </w:p>
        </w:tc>
      </w:tr>
      <w:tr>
        <w:trPr>
          <w:trHeight w:val="24"/>
        </w:trPr>
        <w:tc>
          <w:tcPr>
            <w:tcW w:w="5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92"/>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deferred property exchange income</w:t>
            </w:r>
          </w:p>
        </w:tc>
        <w:tc>
          <w:tcPr>
            <w:tcW w:w="9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r>
      <w:tr>
        <w:trPr>
          <w:trHeight w:val="188"/>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investments</w:t>
            </w:r>
          </w:p>
        </w:tc>
        <w:tc>
          <w:tcPr>
            <w:tcW w:w="9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w:t>
            </w:r>
          </w:p>
        </w:tc>
      </w:tr>
      <w:tr>
        <w:trPr>
          <w:trHeight w:val="24"/>
        </w:trPr>
        <w:tc>
          <w:tcPr>
            <w:tcW w:w="54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5"/>
        </w:trPr>
        <w:tc>
          <w:tcPr>
            <w:tcW w:w="54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Gross investment income</w:t>
            </w:r>
          </w:p>
        </w:tc>
        <w:tc>
          <w:tcPr>
            <w:tcW w:w="9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868</w:t>
            </w:r>
          </w:p>
        </w:tc>
        <w:tc>
          <w:tcPr>
            <w:tcW w:w="1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924</w:t>
            </w:r>
          </w:p>
        </w:tc>
        <w:tc>
          <w:tcPr>
            <w:tcW w:w="1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2,648</w:t>
            </w:r>
          </w:p>
        </w:tc>
        <w:tc>
          <w:tcPr>
            <w:tcW w:w="1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2,593</w:t>
            </w:r>
          </w:p>
        </w:tc>
      </w:tr>
      <w:tr>
        <w:trPr>
          <w:trHeight w:val="188"/>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 expense</w:t>
            </w:r>
          </w:p>
        </w:tc>
        <w:tc>
          <w:tcPr>
            <w:tcW w:w="9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w:t>
            </w:r>
          </w:p>
        </w:tc>
      </w:tr>
      <w:tr>
        <w:trPr>
          <w:trHeight w:val="24"/>
        </w:trPr>
        <w:tc>
          <w:tcPr>
            <w:tcW w:w="54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and investment income</w:t>
            </w:r>
          </w:p>
        </w:tc>
        <w:tc>
          <w:tcPr>
            <w:tcW w:w="980" w:type="dxa"/>
            <w:vAlign w:val="bottom"/>
            <w:tcBorders>
              <w:bottom w:val="single" w:sz="8" w:color="auto"/>
            </w:tcBorders>
            <w:shd w:val="clear" w:color="auto" w:fill="CCEEFF"/>
          </w:tcPr>
          <w:p>
            <w:pPr>
              <w:jc w:val="right"/>
              <w:ind w:right="82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796</w:t>
            </w: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857</w:t>
            </w: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2,429</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2,394</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jc w:val="both"/>
        <w:ind w:firstLine="318"/>
        <w:spacing w:after="0" w:line="239" w:lineRule="auto"/>
        <w:rPr>
          <w:sz w:val="20"/>
          <w:szCs w:val="20"/>
          <w:color w:val="auto"/>
        </w:rPr>
      </w:pPr>
      <w:r>
        <w:rPr>
          <w:rFonts w:ascii="Times New Roman" w:cs="Times New Roman" w:eastAsia="Times New Roman" w:hAnsi="Times New Roman"/>
          <w:sz w:val="18"/>
          <w:szCs w:val="18"/>
          <w:color w:val="auto"/>
        </w:rPr>
        <w:t>Interest and investment income is shown net of amounts attributable to certain funds withheld reinsurance agreements, which is passed along to the reinsurer in accordance with the terms of these agreements. Interest and investment income attributable to these agreements, and thus excluded from the totals in the table above, was $291 million and $782 million for the three and nine months ended September 30, 2026, respectively, and $219 million and $592 million for the three and nine months ended September 30, 2025, respectively.</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Recognized Gains and Losses, Net</w:t>
      </w:r>
    </w:p>
    <w:p>
      <w:pPr>
        <w:spacing w:after="0" w:line="115" w:lineRule="exact"/>
        <w:rPr>
          <w:sz w:val="20"/>
          <w:szCs w:val="20"/>
          <w:color w:val="auto"/>
        </w:rPr>
      </w:pPr>
    </w:p>
    <w:p>
      <w:pPr>
        <w:jc w:val="both"/>
        <w:ind w:right="20" w:firstLine="318"/>
        <w:spacing w:after="0" w:line="272" w:lineRule="auto"/>
        <w:rPr>
          <w:sz w:val="20"/>
          <w:szCs w:val="20"/>
          <w:color w:val="auto"/>
        </w:rPr>
      </w:pPr>
      <w:r>
        <w:rPr>
          <w:rFonts w:ascii="Times New Roman" w:cs="Times New Roman" w:eastAsia="Times New Roman" w:hAnsi="Times New Roman"/>
          <w:sz w:val="18"/>
          <w:szCs w:val="18"/>
          <w:color w:val="auto"/>
        </w:rPr>
        <w:t>Details underlying Recognized gains and losses, net reported on the accompanying unaudited Condensed Consolidated Statements of Earnings were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40" w:type="dxa"/>
            <w:vAlign w:val="bottom"/>
          </w:tcPr>
          <w:p>
            <w:pPr>
              <w:spacing w:after="0"/>
              <w:rPr>
                <w:sz w:val="16"/>
                <w:szCs w:val="16"/>
                <w:color w:val="auto"/>
              </w:rPr>
            </w:pPr>
          </w:p>
        </w:tc>
        <w:tc>
          <w:tcPr>
            <w:tcW w:w="25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340" w:type="dxa"/>
            <w:vAlign w:val="bottom"/>
          </w:tcPr>
          <w:p>
            <w:pPr>
              <w:spacing w:after="0"/>
              <w:rPr>
                <w:sz w:val="16"/>
                <w:szCs w:val="16"/>
                <w:color w:val="auto"/>
              </w:rPr>
            </w:pPr>
          </w:p>
        </w:tc>
      </w:tr>
      <w:tr>
        <w:trPr>
          <w:trHeight w:val="24"/>
        </w:trPr>
        <w:tc>
          <w:tcPr>
            <w:tcW w:w="55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181"/>
        </w:trPr>
        <w:tc>
          <w:tcPr>
            <w:tcW w:w="5540" w:type="dxa"/>
            <w:vAlign w:val="bottom"/>
          </w:tcPr>
          <w:p>
            <w:pPr>
              <w:spacing w:after="0"/>
              <w:rPr>
                <w:sz w:val="15"/>
                <w:szCs w:val="15"/>
                <w:color w:val="auto"/>
              </w:rPr>
            </w:pPr>
          </w:p>
        </w:tc>
        <w:tc>
          <w:tcPr>
            <w:tcW w:w="94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Pr>
          <w:p>
            <w:pPr>
              <w:spacing w:after="0"/>
              <w:rPr>
                <w:sz w:val="15"/>
                <w:szCs w:val="15"/>
                <w:color w:val="auto"/>
              </w:rPr>
            </w:pPr>
          </w:p>
        </w:tc>
      </w:tr>
      <w:tr>
        <w:trPr>
          <w:trHeight w:val="24"/>
        </w:trPr>
        <w:tc>
          <w:tcPr>
            <w:tcW w:w="55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181"/>
        </w:trPr>
        <w:tc>
          <w:tcPr>
            <w:tcW w:w="5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0" w:type="dxa"/>
            <w:vAlign w:val="bottom"/>
            <w:gridSpan w:val="3"/>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500" w:type="dxa"/>
            <w:vAlign w:val="bottom"/>
            <w:gridSpan w:val="3"/>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5"/>
                <w:szCs w:val="15"/>
                <w:color w:val="auto"/>
              </w:rPr>
            </w:pPr>
          </w:p>
        </w:tc>
      </w:tr>
      <w:tr>
        <w:trPr>
          <w:trHeight w:val="24"/>
        </w:trPr>
        <w:tc>
          <w:tcPr>
            <w:tcW w:w="5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192"/>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realized losses on fixed maturity securities</w:t>
            </w:r>
          </w:p>
        </w:tc>
        <w:tc>
          <w:tcPr>
            <w:tcW w:w="940" w:type="dxa"/>
            <w:vAlign w:val="bottom"/>
            <w:tcBorders>
              <w:bottom w:val="single" w:sz="8" w:color="CCEEFF"/>
            </w:tcBorders>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88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1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88"/>
        </w:trPr>
        <w:tc>
          <w:tcPr>
            <w:tcW w:w="5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realized/unrealized losses on equity securities (1)</w:t>
            </w:r>
          </w:p>
        </w:tc>
        <w:tc>
          <w:tcPr>
            <w:tcW w:w="9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(111)</w:t>
            </w:r>
          </w:p>
        </w:tc>
      </w:tr>
      <w:tr>
        <w:trPr>
          <w:trHeight w:val="24"/>
        </w:trPr>
        <w:tc>
          <w:tcPr>
            <w:tcW w:w="5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192"/>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realized/unrealized (losses) gains on preferred securities (2)</w:t>
            </w:r>
          </w:p>
        </w:tc>
        <w:tc>
          <w:tcPr>
            <w:tcW w:w="9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88"/>
        </w:trPr>
        <w:tc>
          <w:tcPr>
            <w:tcW w:w="5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realized/unrealized (losses) gains on other invested assets</w:t>
            </w:r>
          </w:p>
        </w:tc>
        <w:tc>
          <w:tcPr>
            <w:tcW w:w="9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r>
      <w:tr>
        <w:trPr>
          <w:trHeight w:val="24"/>
        </w:trPr>
        <w:tc>
          <w:tcPr>
            <w:tcW w:w="5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192"/>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allowance for expected credit losses</w:t>
            </w:r>
          </w:p>
        </w:tc>
        <w:tc>
          <w:tcPr>
            <w:tcW w:w="9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188"/>
        </w:trPr>
        <w:tc>
          <w:tcPr>
            <w:tcW w:w="5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realized (loss) gain on sale of F&amp;G Life Re</w:t>
            </w:r>
          </w:p>
        </w:tc>
        <w:tc>
          <w:tcPr>
            <w:tcW w:w="9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4"/>
        </w:trPr>
        <w:tc>
          <w:tcPr>
            <w:tcW w:w="5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192"/>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Derivatives and embedded derivatives:</w:t>
            </w:r>
          </w:p>
        </w:tc>
        <w:tc>
          <w:tcPr>
            <w:tcW w:w="9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r>
      <w:tr>
        <w:trPr>
          <w:trHeight w:val="188"/>
        </w:trPr>
        <w:tc>
          <w:tcPr>
            <w:tcW w:w="5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Realized gains and losses on certain derivative instruments</w:t>
            </w:r>
          </w:p>
        </w:tc>
        <w:tc>
          <w:tcPr>
            <w:tcW w:w="9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(124)</w:t>
            </w:r>
          </w:p>
        </w:tc>
      </w:tr>
      <w:tr>
        <w:trPr>
          <w:trHeight w:val="24"/>
        </w:trPr>
        <w:tc>
          <w:tcPr>
            <w:tcW w:w="5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192"/>
        </w:trPr>
        <w:tc>
          <w:tcPr>
            <w:tcW w:w="5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Unrealized (losses) gains on certain derivative instruments</w:t>
            </w:r>
          </w:p>
        </w:tc>
        <w:tc>
          <w:tcPr>
            <w:tcW w:w="9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w:t>
            </w:r>
          </w:p>
        </w:tc>
        <w:tc>
          <w:tcPr>
            <w:tcW w:w="1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1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w:t>
            </w:r>
          </w:p>
        </w:tc>
        <w:tc>
          <w:tcPr>
            <w:tcW w:w="1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w:t>
            </w:r>
          </w:p>
        </w:tc>
      </w:tr>
      <w:tr>
        <w:trPr>
          <w:trHeight w:val="188"/>
        </w:trPr>
        <w:tc>
          <w:tcPr>
            <w:tcW w:w="5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Change in fair value of reinsurance related embedded derivatives (3)</w:t>
            </w:r>
          </w:p>
        </w:tc>
        <w:tc>
          <w:tcPr>
            <w:tcW w:w="9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711</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(162)</w:t>
            </w:r>
          </w:p>
        </w:tc>
      </w:tr>
      <w:tr>
        <w:trPr>
          <w:trHeight w:val="24"/>
        </w:trPr>
        <w:tc>
          <w:tcPr>
            <w:tcW w:w="5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12"/>
        </w:trPr>
        <w:tc>
          <w:tcPr>
            <w:tcW w:w="5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Change in fair value of other derivatives and embedded derivatives</w:t>
            </w:r>
          </w:p>
        </w:tc>
        <w:tc>
          <w:tcPr>
            <w:tcW w:w="9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81"/>
        </w:trPr>
        <w:tc>
          <w:tcPr>
            <w:tcW w:w="5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realized/unrealized gains on derivatives and embedded derivatives</w:t>
            </w:r>
          </w:p>
        </w:tc>
        <w:tc>
          <w:tcPr>
            <w:tcW w:w="94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10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12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598</w:t>
            </w:r>
          </w:p>
        </w:tc>
        <w:tc>
          <w:tcPr>
            <w:tcW w:w="12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w:t>
            </w:r>
          </w:p>
        </w:tc>
      </w:tr>
      <w:tr>
        <w:trPr>
          <w:trHeight w:val="24"/>
        </w:trPr>
        <w:tc>
          <w:tcPr>
            <w:tcW w:w="55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230"/>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Recognized gains and losses, net</w:t>
            </w:r>
          </w:p>
        </w:tc>
        <w:tc>
          <w:tcPr>
            <w:tcW w:w="940" w:type="dxa"/>
            <w:vAlign w:val="bottom"/>
            <w:tcBorders>
              <w:bottom w:val="single" w:sz="8" w:color="auto"/>
            </w:tcBorders>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88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r>
    </w:tbl>
    <w:p>
      <w:pPr>
        <w:spacing w:after="0" w:line="136" w:lineRule="exact"/>
        <w:rPr>
          <w:sz w:val="20"/>
          <w:szCs w:val="20"/>
          <w:color w:val="auto"/>
        </w:rPr>
      </w:pPr>
    </w:p>
    <w:p>
      <w:pPr>
        <w:ind w:firstLine="6"/>
        <w:spacing w:after="0" w:line="265" w:lineRule="auto"/>
        <w:tabs>
          <w:tab w:leader="none" w:pos="205"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net valuation losses of $58 million and $43 million for the three months ended September 30, 2026 and 2025, respectively, and net valuation losses of $67 million and $121 million for the nine months ended September 30, 2026 and 2025, respectively.</w:t>
      </w:r>
    </w:p>
    <w:p>
      <w:pPr>
        <w:ind w:firstLine="6"/>
        <w:spacing w:after="0" w:line="246" w:lineRule="auto"/>
        <w:tabs>
          <w:tab w:leader="none" w:pos="202"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net valuation (losses) gains of $(16) million and $10 million for the three months ended September 30, 2026 and 2025, respectively, and net valuation (losses) gains of $(17) million and $7 million for the nine months ended September 30, 2026 and 2025, respectively.</w:t>
      </w:r>
    </w:p>
    <w:p>
      <w:pPr>
        <w:spacing w:after="0" w:line="1" w:lineRule="exact"/>
        <w:rPr>
          <w:rFonts w:ascii="Times New Roman" w:cs="Times New Roman" w:eastAsia="Times New Roman" w:hAnsi="Times New Roman"/>
          <w:sz w:val="14"/>
          <w:szCs w:val="14"/>
          <w:color w:val="auto"/>
        </w:rPr>
      </w:pPr>
    </w:p>
    <w:p>
      <w:pPr>
        <w:ind w:left="200" w:hanging="194"/>
        <w:spacing w:after="0"/>
        <w:tabs>
          <w:tab w:leader="none" w:pos="2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in fair value of reinsurance related embedded derivatives is due to activity related to the reinsurance treaties.</w:t>
      </w:r>
    </w:p>
    <w:p>
      <w:pPr>
        <w:spacing w:after="0" w:line="12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Recognized gains and losses, net is shown net of amounts attributable to certain funds withheld reinsurance agreements, which are passed along to the reinsurer in accordance with the terms of these agreements. Recognized gains and losses, net attributable to these agreements, and thus excluded from the totals in the table above, were $559 million and $691 million for the three and nine months ended September 30, 2026, respectively, and were $(77) million and $(176) million for the three and nine months ended September 30, 2025, respectively.</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proceeds from the sale of fixed-maturity securities and the gross gains and losses associated with those transactions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40" w:type="dxa"/>
            <w:vAlign w:val="bottom"/>
          </w:tcPr>
          <w:p>
            <w:pPr>
              <w:spacing w:after="0"/>
              <w:rPr>
                <w:sz w:val="16"/>
                <w:szCs w:val="16"/>
                <w:color w:val="auto"/>
              </w:rPr>
            </w:pPr>
          </w:p>
        </w:tc>
        <w:tc>
          <w:tcPr>
            <w:tcW w:w="2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540" w:type="dxa"/>
            <w:vAlign w:val="bottom"/>
            <w:gridSpan w:val="3"/>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4"/>
        </w:trPr>
        <w:tc>
          <w:tcPr>
            <w:tcW w:w="53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1"/>
        </w:trPr>
        <w:tc>
          <w:tcPr>
            <w:tcW w:w="5340" w:type="dxa"/>
            <w:vAlign w:val="bottom"/>
          </w:tcPr>
          <w:p>
            <w:pPr>
              <w:spacing w:after="0"/>
              <w:rPr>
                <w:sz w:val="15"/>
                <w:szCs w:val="15"/>
                <w:color w:val="auto"/>
              </w:rPr>
            </w:pPr>
          </w:p>
        </w:tc>
        <w:tc>
          <w:tcPr>
            <w:tcW w:w="92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Pr>
          <w:p>
            <w:pPr>
              <w:spacing w:after="0"/>
              <w:rPr>
                <w:sz w:val="15"/>
                <w:szCs w:val="15"/>
                <w:color w:val="auto"/>
              </w:rPr>
            </w:pPr>
          </w:p>
        </w:tc>
        <w:tc>
          <w:tcPr>
            <w:tcW w:w="1100" w:type="dxa"/>
            <w:vAlign w:val="bottom"/>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tcPr>
          <w:p>
            <w:pPr>
              <w:spacing w:after="0"/>
              <w:rPr>
                <w:sz w:val="15"/>
                <w:szCs w:val="15"/>
                <w:color w:val="auto"/>
              </w:rPr>
            </w:pPr>
          </w:p>
        </w:tc>
        <w:tc>
          <w:tcPr>
            <w:tcW w:w="1080" w:type="dxa"/>
            <w:vAlign w:val="bottom"/>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4"/>
        </w:trPr>
        <w:tc>
          <w:tcPr>
            <w:tcW w:w="53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1"/>
        </w:trPr>
        <w:tc>
          <w:tcPr>
            <w:tcW w:w="5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12"/>
        </w:trPr>
        <w:tc>
          <w:tcPr>
            <w:tcW w:w="5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w:t>
            </w:r>
          </w:p>
        </w:tc>
        <w:tc>
          <w:tcPr>
            <w:tcW w:w="920" w:type="dxa"/>
            <w:vAlign w:val="bottom"/>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2,178</w:t>
            </w:r>
          </w:p>
        </w:tc>
        <w:tc>
          <w:tcPr>
            <w:tcW w:w="1100" w:type="dxa"/>
            <w:vAlign w:val="bottom"/>
          </w:tcPr>
          <w:p>
            <w:pPr>
              <w:jc w:val="right"/>
              <w:ind w:right="88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925</w:t>
            </w:r>
          </w:p>
        </w:tc>
        <w:tc>
          <w:tcPr>
            <w:tcW w:w="100" w:type="dxa"/>
            <w:vAlign w:val="bottom"/>
          </w:tcPr>
          <w:p>
            <w:pPr>
              <w:spacing w:after="0"/>
              <w:rPr>
                <w:sz w:val="18"/>
                <w:szCs w:val="18"/>
                <w:color w:val="auto"/>
              </w:rPr>
            </w:pPr>
          </w:p>
        </w:tc>
        <w:tc>
          <w:tcPr>
            <w:tcW w:w="3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8,303</w:t>
            </w:r>
          </w:p>
        </w:tc>
        <w:tc>
          <w:tcPr>
            <w:tcW w:w="38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3,628</w:t>
            </w:r>
          </w:p>
        </w:tc>
      </w:tr>
      <w:tr>
        <w:trPr>
          <w:trHeight w:val="24"/>
        </w:trPr>
        <w:tc>
          <w:tcPr>
            <w:tcW w:w="5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92"/>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gains</w:t>
            </w:r>
          </w:p>
        </w:tc>
        <w:tc>
          <w:tcPr>
            <w:tcW w:w="9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4</w:t>
            </w:r>
          </w:p>
        </w:tc>
        <w:tc>
          <w:tcPr>
            <w:tcW w:w="1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30</w:t>
            </w:r>
          </w:p>
        </w:tc>
        <w:tc>
          <w:tcPr>
            <w:tcW w:w="3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188"/>
        </w:trPr>
        <w:tc>
          <w:tcPr>
            <w:tcW w:w="5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Gross losses</w:t>
            </w:r>
          </w:p>
        </w:tc>
        <w:tc>
          <w:tcPr>
            <w:tcW w:w="920" w:type="dxa"/>
            <w:vAlign w:val="bottom"/>
          </w:tcPr>
          <w:p>
            <w:pPr>
              <w:spacing w:after="0"/>
              <w:rPr>
                <w:sz w:val="16"/>
                <w:szCs w:val="16"/>
                <w:color w:val="auto"/>
              </w:rPr>
            </w:pPr>
          </w:p>
        </w:tc>
        <w:tc>
          <w:tcPr>
            <w:tcW w:w="5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(47)</w:t>
            </w:r>
          </w:p>
        </w:tc>
        <w:tc>
          <w:tcPr>
            <w:tcW w:w="110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(204)</w:t>
            </w:r>
          </w:p>
        </w:tc>
        <w:tc>
          <w:tcPr>
            <w:tcW w:w="3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r>
    </w:tbl>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Variable Interest Entities</w:t>
      </w:r>
    </w:p>
    <w:p>
      <w:pPr>
        <w:spacing w:after="0" w:line="113"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Our involvement with VIEs is primarily through investments in entities that provide exposure to a diversified portfolio of investment asset classes. A VIE is an entity that does not have sufficient equity to finance its own activities without additional financial support, where investors lack certain characteristics of a controlling financial interest, or where the entity is structured with non-substantive voting rights. VIEs are consolidated by their ‘primary beneficiary,’ a designation given to an entity that receives both the benefits from the VIE as well as the substantive power to make its key economic decisions. We perform ongoing qualitative assessments of our variable interests in VIEs to determine whether we have a controlling financial interest and are therefore the primary beneficiary of the VIE. We consolidate the assets and liabilities (if applicable) of VIEs for which we are determined to be the primary beneficiary in our consolidated financial statements.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Consolidated Variable Interest Entities</w:t>
      </w:r>
    </w:p>
    <w:p>
      <w:pPr>
        <w:spacing w:after="0" w:line="11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have concluded that we are the primary beneficiary for certain VIEs where we have both the power to direct the most significant activities of the VIE and the obligation to absorb losses or the right to receive benefits that could potentially be significant to the VIE.</w:t>
      </w:r>
    </w:p>
    <w:p>
      <w:pPr>
        <w:spacing w:after="0" w:line="5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Consolidated VIEs are structured investments that are managed by third parties. These structured investments are established as special purpose vehicles (“SPVs”) designed to hold specific assets, which include limited partnerships, fixed maturity securities, middle market loans, short-term investments, and cash and cash equivalents. The assets of each VIE can be used only to settle obligations of the VIE. Asset and liability information held by consolidated VIEs included on the unaudited Condensed Consolidated Balance Sheets are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60" w:type="dxa"/>
            <w:vAlign w:val="bottom"/>
          </w:tcPr>
          <w:p>
            <w:pPr>
              <w:spacing w:after="0"/>
              <w:rPr>
                <w:sz w:val="16"/>
                <w:szCs w:val="16"/>
                <w:color w:val="auto"/>
              </w:rPr>
            </w:pPr>
          </w:p>
        </w:tc>
        <w:tc>
          <w:tcPr>
            <w:tcW w:w="1480" w:type="dxa"/>
            <w:vAlign w:val="bottom"/>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4"/>
        </w:trPr>
        <w:tc>
          <w:tcPr>
            <w:tcW w:w="78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r>
      <w:tr>
        <w:trPr>
          <w:trHeight w:val="185"/>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tcBorders>
              <w:bottom w:val="single" w:sz="8" w:color="CCEEFF"/>
            </w:tcBorders>
            <w:shd w:val="clear" w:color="auto" w:fill="CCEEFF"/>
          </w:tcPr>
          <w:p>
            <w:pPr>
              <w:spacing w:after="0"/>
              <w:rPr>
                <w:sz w:val="16"/>
                <w:szCs w:val="16"/>
                <w:color w:val="auto"/>
              </w:rPr>
            </w:pPr>
          </w:p>
        </w:tc>
        <w:tc>
          <w:tcPr>
            <w:tcW w:w="3220" w:type="dxa"/>
            <w:vAlign w:val="bottom"/>
            <w:tcBorders>
              <w:bottom w:val="single" w:sz="8" w:color="CCEEFF"/>
            </w:tcBorders>
            <w:gridSpan w:val="4"/>
            <w:shd w:val="clear" w:color="auto" w:fill="CCEEFF"/>
          </w:tcPr>
          <w:p>
            <w:pPr>
              <w:jc w:val="right"/>
              <w:ind w:right="1249"/>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188"/>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Investments in unconsolidated affiliates</w:t>
            </w: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10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w:t>
            </w:r>
          </w:p>
        </w:tc>
      </w:tr>
      <w:tr>
        <w:trPr>
          <w:trHeight w:val="24"/>
        </w:trPr>
        <w:tc>
          <w:tcPr>
            <w:tcW w:w="7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92"/>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Fixed maturity securities, at fair value under fair value option</w:t>
            </w:r>
          </w:p>
        </w:tc>
        <w:tc>
          <w:tcPr>
            <w:tcW w:w="18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8"/>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long-term investments</w:t>
            </w:r>
          </w:p>
        </w:tc>
        <w:tc>
          <w:tcPr>
            <w:tcW w:w="1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w:t>
            </w:r>
          </w:p>
        </w:tc>
      </w:tr>
      <w:tr>
        <w:trPr>
          <w:trHeight w:val="24"/>
        </w:trPr>
        <w:tc>
          <w:tcPr>
            <w:tcW w:w="7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92"/>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Short-term investments</w:t>
            </w:r>
          </w:p>
        </w:tc>
        <w:tc>
          <w:tcPr>
            <w:tcW w:w="18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r>
      <w:tr>
        <w:trPr>
          <w:trHeight w:val="188"/>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4"/>
        </w:trPr>
        <w:tc>
          <w:tcPr>
            <w:tcW w:w="78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5"/>
        </w:trPr>
        <w:tc>
          <w:tcPr>
            <w:tcW w:w="78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assets</w:t>
            </w:r>
          </w:p>
        </w:tc>
        <w:tc>
          <w:tcPr>
            <w:tcW w:w="1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702</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w:t>
            </w:r>
          </w:p>
        </w:tc>
      </w:tr>
      <w:tr>
        <w:trPr>
          <w:trHeight w:val="192"/>
        </w:trPr>
        <w:tc>
          <w:tcPr>
            <w:tcW w:w="784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480" w:type="dxa"/>
            <w:vAlign w:val="bottom"/>
            <w:tcBorders>
              <w:top w:val="single" w:sz="8" w:color="auto"/>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480" w:type="dxa"/>
            <w:vAlign w:val="bottom"/>
            <w:tcBorders>
              <w:top w:val="single" w:sz="8" w:color="auto"/>
              <w:bottom w:val="single" w:sz="8" w:color="auto"/>
            </w:tcBorders>
          </w:tcPr>
          <w:p>
            <w:pPr>
              <w:spacing w:after="0"/>
              <w:rPr>
                <w:sz w:val="16"/>
                <w:szCs w:val="16"/>
                <w:color w:val="auto"/>
              </w:rPr>
            </w:pPr>
          </w:p>
        </w:tc>
      </w:tr>
      <w:tr>
        <w:trPr>
          <w:trHeight w:val="230"/>
        </w:trPr>
        <w:tc>
          <w:tcPr>
            <w:tcW w:w="78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Total consolidated VIE investments</w:t>
            </w: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 xml:space="preserve">We are not required to provide financial support to these VIEs beyond our contractual obligations. Our maximum exposure to loss related to these consolidated VIEs is limited to our capital invested plus any unfunded capital commitments (refer to unfunded commitments in Note F </w:t>
      </w:r>
      <w:r>
        <w:rPr>
          <w:rFonts w:ascii="Times New Roman" w:cs="Times New Roman" w:eastAsia="Times New Roman" w:hAnsi="Times New Roman"/>
          <w:sz w:val="18"/>
          <w:szCs w:val="18"/>
          <w:i w:val="1"/>
          <w:iCs w:val="1"/>
          <w:color w:val="auto"/>
        </w:rPr>
        <w:t>Commitments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The maximum loss exposure of our consolidated VIEs as of September 30, 2026 was $888 million.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Unconsolidated Variable Interest Entities</w:t>
      </w:r>
    </w:p>
    <w:p>
      <w:pPr>
        <w:spacing w:after="0" w:line="11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own investments in VIEs that are not consolidated within our financial statements. While we participate in the benefits from these VIEs in which we invest, but do not consolidate, the substantive power to make the key economic decisions for each respective VIE resides with entities not under our common control. It is for this reason that we are not considered the primary beneficiary for the VIE investments that are not consolidated.</w:t>
      </w:r>
    </w:p>
    <w:p>
      <w:pPr>
        <w:spacing w:after="0" w:line="72"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invest in various limited partnerships and limited liability companies primarily as a passive investor. These investments are primarily in credit funds with a bias towards current income, real assets, or private equity. Limited partnership and limited liability company interests are accounted for under the equity method and are included in Investments in unconsolidated affiliates on our unaudited Condensed Consolidated Balance Sheets. In addition, we invest in structured investments, which may be VIEs, but for which we are not the primary beneficiary. These structured investments typically invest in fixed income investments and are managed by third parties and include asset-backed securities, commercial mortgage-backed securities and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residential mortgage-backed securities included in fixed maturity securities available for sale on our unaudited Condensed Consolidated Balance Sheets.</w:t>
      </w:r>
    </w:p>
    <w:p>
      <w:pPr>
        <w:spacing w:after="0" w:line="11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 xml:space="preserve">Our maximum loss exposure with respect to these VIEs is limited to the investment carrying amounts reported in our unaudited Condensed Consolidated Balance Sheets for limited partnerships and the amortized costs of certain of our fixed maturity securities, in addition to any required unfunded commitments (also refer to Note F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carrying value and the maximum loss exposure of our unconsolidated VIEs as of September 30, 2026 and</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6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20" w:type="dxa"/>
            <w:vAlign w:val="bottom"/>
          </w:tcPr>
          <w:p>
            <w:pPr>
              <w:spacing w:after="0"/>
              <w:rPr>
                <w:sz w:val="16"/>
                <w:szCs w:val="16"/>
                <w:color w:val="auto"/>
              </w:rPr>
            </w:pPr>
          </w:p>
        </w:tc>
        <w:tc>
          <w:tcPr>
            <w:tcW w:w="2440" w:type="dxa"/>
            <w:vAlign w:val="bottom"/>
            <w:gridSpan w:val="4"/>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4"/>
        </w:trPr>
        <w:tc>
          <w:tcPr>
            <w:tcW w:w="60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gridSpan w:val="4"/>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6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6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5"/>
                <w:szCs w:val="15"/>
                <w:color w:val="auto"/>
              </w:rPr>
            </w:pPr>
          </w:p>
        </w:tc>
        <w:tc>
          <w:tcPr>
            <w:tcW w:w="2440" w:type="dxa"/>
            <w:vAlign w:val="bottom"/>
            <w:gridSpan w:val="4"/>
          </w:tcPr>
          <w:p>
            <w:pPr>
              <w:jc w:val="right"/>
              <w:ind w:right="84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4"/>
        </w:trPr>
        <w:tc>
          <w:tcPr>
            <w:tcW w:w="60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6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20" w:type="dxa"/>
            <w:vAlign w:val="bottom"/>
          </w:tcPr>
          <w:p>
            <w:pPr>
              <w:spacing w:after="0"/>
              <w:rPr>
                <w:sz w:val="12"/>
                <w:szCs w:val="12"/>
                <w:color w:val="auto"/>
              </w:rPr>
            </w:pPr>
          </w:p>
        </w:tc>
        <w:tc>
          <w:tcPr>
            <w:tcW w:w="1220" w:type="dxa"/>
            <w:vAlign w:val="bottom"/>
            <w:gridSpan w:val="2"/>
          </w:tcPr>
          <w:p>
            <w:pPr>
              <w:jc w:val="center"/>
              <w:ind w:right="240"/>
              <w:spacing w:after="0" w:line="141" w:lineRule="exact"/>
              <w:rPr>
                <w:sz w:val="20"/>
                <w:szCs w:val="20"/>
                <w:color w:val="auto"/>
              </w:rPr>
            </w:pPr>
            <w:r>
              <w:rPr>
                <w:rFonts w:ascii="Times New Roman" w:cs="Times New Roman" w:eastAsia="Times New Roman" w:hAnsi="Times New Roman"/>
                <w:sz w:val="14"/>
                <w:szCs w:val="14"/>
                <w:b w:val="1"/>
                <w:bCs w:val="1"/>
                <w:color w:val="auto"/>
              </w:rPr>
              <w:t>Maximum Loss</w:t>
            </w:r>
          </w:p>
        </w:tc>
        <w:tc>
          <w:tcPr>
            <w:tcW w:w="120" w:type="dxa"/>
            <w:vAlign w:val="bottom"/>
          </w:tcPr>
          <w:p>
            <w:pPr>
              <w:spacing w:after="0"/>
              <w:rPr>
                <w:sz w:val="12"/>
                <w:szCs w:val="12"/>
                <w:color w:val="auto"/>
              </w:rPr>
            </w:pP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20" w:type="dxa"/>
            <w:vAlign w:val="bottom"/>
          </w:tcPr>
          <w:p>
            <w:pPr>
              <w:spacing w:after="0"/>
              <w:rPr>
                <w:sz w:val="12"/>
                <w:szCs w:val="12"/>
                <w:color w:val="auto"/>
              </w:rPr>
            </w:pPr>
          </w:p>
        </w:tc>
        <w:tc>
          <w:tcPr>
            <w:tcW w:w="1120" w:type="dxa"/>
            <w:vAlign w:val="bottom"/>
          </w:tcPr>
          <w:p>
            <w:pPr>
              <w:jc w:val="right"/>
              <w:ind w:right="69"/>
              <w:spacing w:after="0" w:line="141" w:lineRule="exact"/>
              <w:rPr>
                <w:sz w:val="20"/>
                <w:szCs w:val="20"/>
                <w:color w:val="auto"/>
              </w:rPr>
            </w:pPr>
            <w:r>
              <w:rPr>
                <w:rFonts w:ascii="Times New Roman" w:cs="Times New Roman" w:eastAsia="Times New Roman" w:hAnsi="Times New Roman"/>
                <w:sz w:val="14"/>
                <w:szCs w:val="14"/>
                <w:b w:val="1"/>
                <w:bCs w:val="1"/>
                <w:color w:val="auto"/>
              </w:rPr>
              <w:t>Maximum Loss</w:t>
            </w:r>
          </w:p>
        </w:tc>
        <w:tc>
          <w:tcPr>
            <w:tcW w:w="0" w:type="dxa"/>
            <w:vAlign w:val="bottom"/>
          </w:tcPr>
          <w:p>
            <w:pPr>
              <w:spacing w:after="0"/>
              <w:rPr>
                <w:sz w:val="1"/>
                <w:szCs w:val="1"/>
                <w:color w:val="auto"/>
              </w:rPr>
            </w:pPr>
          </w:p>
        </w:tc>
      </w:tr>
      <w:tr>
        <w:trPr>
          <w:trHeight w:val="191"/>
        </w:trPr>
        <w:tc>
          <w:tcPr>
            <w:tcW w:w="6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Exposure</w:t>
            </w:r>
          </w:p>
        </w:tc>
        <w:tc>
          <w:tcPr>
            <w:tcW w:w="1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Exposure</w:t>
            </w:r>
          </w:p>
        </w:tc>
        <w:tc>
          <w:tcPr>
            <w:tcW w:w="0" w:type="dxa"/>
            <w:vAlign w:val="bottom"/>
          </w:tcPr>
          <w:p>
            <w:pPr>
              <w:spacing w:after="0"/>
              <w:rPr>
                <w:sz w:val="1"/>
                <w:szCs w:val="1"/>
                <w:color w:val="auto"/>
              </w:rPr>
            </w:pPr>
          </w:p>
        </w:tc>
      </w:tr>
      <w:tr>
        <w:trPr>
          <w:trHeight w:val="191"/>
        </w:trPr>
        <w:tc>
          <w:tcPr>
            <w:tcW w:w="6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 in unconsolidated affiliates</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5,319</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6,714</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6,389</w:t>
            </w:r>
          </w:p>
        </w:tc>
        <w:tc>
          <w:tcPr>
            <w:tcW w:w="0" w:type="dxa"/>
            <w:vAlign w:val="bottom"/>
          </w:tcPr>
          <w:p>
            <w:pPr>
              <w:spacing w:after="0"/>
              <w:rPr>
                <w:sz w:val="1"/>
                <w:szCs w:val="1"/>
                <w:color w:val="auto"/>
              </w:rPr>
            </w:pPr>
          </w:p>
        </w:tc>
      </w:tr>
      <w:tr>
        <w:trPr>
          <w:trHeight w:val="188"/>
        </w:trPr>
        <w:tc>
          <w:tcPr>
            <w:tcW w:w="6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Fixed maturity securities</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25,012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27,482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26,419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28,803</w:t>
            </w:r>
          </w:p>
        </w:tc>
        <w:tc>
          <w:tcPr>
            <w:tcW w:w="0" w:type="dxa"/>
            <w:vAlign w:val="bottom"/>
          </w:tcPr>
          <w:p>
            <w:pPr>
              <w:spacing w:after="0"/>
              <w:rPr>
                <w:sz w:val="1"/>
                <w:szCs w:val="1"/>
                <w:color w:val="auto"/>
              </w:rPr>
            </w:pPr>
          </w:p>
        </w:tc>
      </w:tr>
      <w:tr>
        <w:trPr>
          <w:trHeight w:val="24"/>
        </w:trPr>
        <w:tc>
          <w:tcPr>
            <w:tcW w:w="60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unconsolidated VIE investments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30,331</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34,196</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31,564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35,192</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E — Derivative Financial Instruments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Refer to Note C </w:t>
      </w:r>
      <w:r>
        <w:rPr>
          <w:rFonts w:ascii="Times New Roman" w:cs="Times New Roman" w:eastAsia="Times New Roman" w:hAnsi="Times New Roman"/>
          <w:sz w:val="18"/>
          <w:szCs w:val="18"/>
          <w:i w:val="1"/>
          <w:iCs w:val="1"/>
          <w:color w:val="auto"/>
        </w:rPr>
        <w:t>Fair Value of Financial Instruments for</w:t>
      </w:r>
      <w:r>
        <w:rPr>
          <w:rFonts w:ascii="Times New Roman" w:cs="Times New Roman" w:eastAsia="Times New Roman" w:hAnsi="Times New Roman"/>
          <w:sz w:val="18"/>
          <w:szCs w:val="18"/>
          <w:color w:val="auto"/>
        </w:rPr>
        <w:t xml:space="preserve"> descriptions of the fair value methodologies used for derivative financial instruments.</w:t>
      </w:r>
    </w:p>
    <w:p>
      <w:pPr>
        <w:spacing w:after="0" w:line="8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notional and carrying amounts of derivative financial instruments, including derivative instruments embedded in indexed annuities and IUL contracts, and reinsurance are as follows: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8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60" w:type="dxa"/>
            <w:vAlign w:val="bottom"/>
            <w:gridSpan w:val="6"/>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4"/>
        </w:trPr>
        <w:tc>
          <w:tcPr>
            <w:tcW w:w="5140" w:type="dxa"/>
            <w:vAlign w:val="bottom"/>
          </w:tcPr>
          <w:p>
            <w:pPr>
              <w:spacing w:after="0"/>
              <w:rPr>
                <w:sz w:val="2"/>
                <w:szCs w:val="2"/>
                <w:color w:val="auto"/>
              </w:rPr>
            </w:pPr>
          </w:p>
        </w:tc>
        <w:tc>
          <w:tcPr>
            <w:tcW w:w="1220" w:type="dxa"/>
            <w:vAlign w:val="bottom"/>
            <w:tcBorders>
              <w:bottom w:val="single" w:sz="8" w:color="auto"/>
            </w:tcBorders>
            <w:gridSpan w:val="5"/>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81"/>
        </w:trPr>
        <w:tc>
          <w:tcPr>
            <w:tcW w:w="5140" w:type="dxa"/>
            <w:vAlign w:val="bottom"/>
          </w:tcPr>
          <w:p>
            <w:pPr>
              <w:spacing w:after="0"/>
              <w:rPr>
                <w:sz w:val="15"/>
                <w:szCs w:val="15"/>
                <w:color w:val="auto"/>
              </w:rPr>
            </w:pPr>
          </w:p>
        </w:tc>
        <w:tc>
          <w:tcPr>
            <w:tcW w:w="12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Gross Notional</w:t>
            </w: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Pr>
          <w:p>
            <w:pPr>
              <w:spacing w:after="0"/>
              <w:rPr>
                <w:sz w:val="15"/>
                <w:szCs w:val="15"/>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Gross Notional</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6"/>
              </w:rPr>
              <w:t>Assets</w:t>
            </w:r>
          </w:p>
        </w:tc>
        <w:tc>
          <w:tcPr>
            <w:tcW w:w="100" w:type="dxa"/>
            <w:vAlign w:val="bottom"/>
          </w:tcPr>
          <w:p>
            <w:pPr>
              <w:spacing w:after="0"/>
              <w:rPr>
                <w:sz w:val="15"/>
                <w:szCs w:val="15"/>
                <w:color w:val="auto"/>
              </w:rPr>
            </w:pPr>
          </w:p>
        </w:tc>
        <w:tc>
          <w:tcPr>
            <w:tcW w:w="820" w:type="dxa"/>
            <w:vAlign w:val="bottom"/>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Liabilities</w:t>
            </w:r>
          </w:p>
        </w:tc>
      </w:tr>
      <w:tr>
        <w:trPr>
          <w:trHeight w:val="212"/>
        </w:trPr>
        <w:tc>
          <w:tcPr>
            <w:tcW w:w="5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2"/>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designated as hedging instruments</w:t>
            </w: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4"/>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92"/>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swaps (a)</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1,600</w:t>
            </w:r>
          </w:p>
        </w:tc>
        <w:tc>
          <w:tcPr>
            <w:tcW w:w="3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850</w:t>
            </w:r>
          </w:p>
        </w:tc>
        <w:tc>
          <w:tcPr>
            <w:tcW w:w="3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8"/>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swaps (a)</w:t>
            </w:r>
          </w:p>
        </w:tc>
        <w:tc>
          <w:tcPr>
            <w:tcW w:w="3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24"/>
        </w:trPr>
        <w:tc>
          <w:tcPr>
            <w:tcW w:w="5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5"/>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derivatives designated as hedging instruments</w:t>
            </w:r>
          </w:p>
        </w:tc>
        <w:tc>
          <w:tcPr>
            <w:tcW w:w="3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1,600</w:t>
            </w: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871</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245"/>
        </w:trPr>
        <w:tc>
          <w:tcPr>
            <w:tcW w:w="514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r>
      <w:tr>
        <w:trPr>
          <w:trHeight w:val="192"/>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not designated as hedging instruments</w:t>
            </w:r>
          </w:p>
        </w:tc>
        <w:tc>
          <w:tcPr>
            <w:tcW w:w="3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r>
      <w:tr>
        <w:trPr>
          <w:trHeight w:val="188"/>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options (a)</w:t>
            </w:r>
          </w:p>
        </w:tc>
        <w:tc>
          <w:tcPr>
            <w:tcW w:w="3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32,496</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29,651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4"/>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92"/>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swaps (a)</w:t>
            </w:r>
          </w:p>
        </w:tc>
        <w:tc>
          <w:tcPr>
            <w:tcW w:w="3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8,920</w:t>
            </w: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6,453</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88"/>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swaps (a)</w:t>
            </w:r>
          </w:p>
        </w:tc>
        <w:tc>
          <w:tcPr>
            <w:tcW w:w="3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1,083</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24"/>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92"/>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Futures contracts (a)</w:t>
            </w:r>
          </w:p>
        </w:tc>
        <w:tc>
          <w:tcPr>
            <w:tcW w:w="3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8"/>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forwards (a)</w:t>
            </w:r>
          </w:p>
        </w:tc>
        <w:tc>
          <w:tcPr>
            <w:tcW w:w="3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4"/>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92"/>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embedded derivatives (b)</w:t>
            </w:r>
          </w:p>
        </w:tc>
        <w:tc>
          <w:tcPr>
            <w:tcW w:w="3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8"/>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Indexed annuities/IUL embedded derivatives (c)</w:t>
            </w:r>
          </w:p>
        </w:tc>
        <w:tc>
          <w:tcPr>
            <w:tcW w:w="3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6,456</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6,542</w:t>
            </w:r>
          </w:p>
        </w:tc>
      </w:tr>
      <w:tr>
        <w:trPr>
          <w:trHeight w:val="24"/>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12"/>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Reinsurance related embedded derivatives (d)</w:t>
            </w:r>
          </w:p>
        </w:tc>
        <w:tc>
          <w:tcPr>
            <w:tcW w:w="3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r>
      <w:tr>
        <w:trPr>
          <w:trHeight w:val="181"/>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derivatives not designated as hedging instruments</w:t>
            </w:r>
          </w:p>
        </w:tc>
        <w:tc>
          <w:tcPr>
            <w:tcW w:w="30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42,712</w:t>
            </w:r>
          </w:p>
        </w:tc>
        <w:tc>
          <w:tcPr>
            <w:tcW w:w="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2,093</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6,180</w:t>
            </w:r>
          </w:p>
        </w:tc>
        <w:tc>
          <w:tcPr>
            <w:tcW w:w="10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36,768</w:t>
            </w:r>
          </w:p>
        </w:tc>
        <w:tc>
          <w:tcPr>
            <w:tcW w:w="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1,585</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6,627</w:t>
            </w:r>
          </w:p>
        </w:tc>
      </w:tr>
      <w:tr>
        <w:trPr>
          <w:trHeight w:val="24"/>
        </w:trPr>
        <w:tc>
          <w:tcPr>
            <w:tcW w:w="5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25"/>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derivatives</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44,312</w:t>
            </w:r>
          </w:p>
        </w:tc>
        <w:tc>
          <w:tcPr>
            <w:tcW w:w="3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37,639</w:t>
            </w:r>
          </w:p>
        </w:tc>
        <w:tc>
          <w:tcPr>
            <w:tcW w:w="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6,631</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150" w:lineRule="exact"/>
        <w:rPr>
          <w:sz w:val="20"/>
          <w:szCs w:val="20"/>
          <w:color w:val="auto"/>
        </w:rPr>
      </w:pPr>
    </w:p>
    <w:p>
      <w:pPr>
        <w:ind w:left="320" w:hanging="314"/>
        <w:spacing w:after="0" w:line="265" w:lineRule="auto"/>
        <w:tabs>
          <w:tab w:leader="none" w:pos="318"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 of derivative assets is reported in Derivative investments, and the fair value of derivative liabilities is reported in Accounts payable and accrued liabilities on the unaudited Condensed Consolidated Balance Sheets.</w:t>
      </w:r>
    </w:p>
    <w:p>
      <w:pPr>
        <w:ind w:left="320" w:hanging="314"/>
        <w:spacing w:after="0"/>
        <w:tabs>
          <w:tab w:leader="none" w:pos="3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 is included in Other long term investments on the unaudited Condensed Consolidated Balance Sheets.</w:t>
      </w:r>
    </w:p>
    <w:p>
      <w:pPr>
        <w:spacing w:after="0" w:line="11" w:lineRule="exact"/>
        <w:rPr>
          <w:rFonts w:ascii="Times New Roman" w:cs="Times New Roman" w:eastAsia="Times New Roman" w:hAnsi="Times New Roman"/>
          <w:sz w:val="14"/>
          <w:szCs w:val="14"/>
          <w:color w:val="auto"/>
        </w:rPr>
      </w:pPr>
    </w:p>
    <w:p>
      <w:pPr>
        <w:ind w:left="320" w:hanging="314"/>
        <w:spacing w:after="0"/>
        <w:tabs>
          <w:tab w:leader="none" w:pos="3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 of the liability is included in Contractholder funds and the ceded portion is included in Reinsurance recoverable on the unaudited Condensed Consolidated Balance Sheets.</w:t>
      </w:r>
    </w:p>
    <w:p>
      <w:pPr>
        <w:spacing w:after="0" w:line="2" w:lineRule="exact"/>
        <w:rPr>
          <w:rFonts w:ascii="Times New Roman" w:cs="Times New Roman" w:eastAsia="Times New Roman" w:hAnsi="Times New Roman"/>
          <w:sz w:val="14"/>
          <w:szCs w:val="14"/>
          <w:color w:val="auto"/>
        </w:rPr>
      </w:pPr>
    </w:p>
    <w:p>
      <w:pPr>
        <w:ind w:left="320" w:hanging="314"/>
        <w:spacing w:after="0" w:line="267" w:lineRule="auto"/>
        <w:tabs>
          <w:tab w:leader="none" w:pos="312"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 is included in Funds withheld for reinsurance liabilities for funds withheld arrangements and Accounts payable and accrued liabilities for coinsurance arrangements, irrespective if in a net asset or net liability position, on the unaudited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amounts and locations of gains (losses), net recognized for derivatives and gains (losses), net recognized for hedged items included in the unaudited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Statements of Earnings are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60" w:type="dxa"/>
            <w:vAlign w:val="bottom"/>
            <w:gridSpan w:val="11"/>
          </w:tcPr>
          <w:p>
            <w:pPr>
              <w:jc w:val="center"/>
              <w:ind w:left="729"/>
              <w:spacing w:after="0"/>
              <w:rPr>
                <w:sz w:val="20"/>
                <w:szCs w:val="20"/>
                <w:color w:val="auto"/>
              </w:rPr>
            </w:pPr>
            <w:r>
              <w:rPr>
                <w:rFonts w:ascii="Times New Roman" w:cs="Times New Roman" w:eastAsia="Times New Roman" w:hAnsi="Times New Roman"/>
                <w:sz w:val="14"/>
                <w:szCs w:val="14"/>
                <w:b w:val="1"/>
                <w:bCs w:val="1"/>
                <w:color w:val="auto"/>
              </w:rPr>
              <w:t>Three Months Ended September 30, 2026</w:t>
            </w: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80" w:type="dxa"/>
            <w:vAlign w:val="bottom"/>
            <w:gridSpan w:val="11"/>
          </w:tcPr>
          <w:p>
            <w:pPr>
              <w:jc w:val="center"/>
              <w:ind w:left="749"/>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9"/>
              <w:spacing w:after="0" w:line="141" w:lineRule="exact"/>
              <w:rPr>
                <w:sz w:val="20"/>
                <w:szCs w:val="20"/>
                <w:color w:val="auto"/>
              </w:rPr>
            </w:pPr>
            <w:r>
              <w:rPr>
                <w:rFonts w:ascii="Times New Roman" w:cs="Times New Roman" w:eastAsia="Times New Roman" w:hAnsi="Times New Roman"/>
                <w:sz w:val="14"/>
                <w:szCs w:val="14"/>
                <w:b w:val="1"/>
                <w:bCs w:val="1"/>
                <w:color w:val="auto"/>
                <w:w w:val="99"/>
              </w:rPr>
              <w:t>Recognized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00"/>
              <w:spacing w:after="0" w:line="141" w:lineRule="exact"/>
              <w:rPr>
                <w:sz w:val="20"/>
                <w:szCs w:val="20"/>
                <w:color w:val="auto"/>
              </w:rPr>
            </w:pPr>
            <w:r>
              <w:rPr>
                <w:rFonts w:ascii="Times New Roman" w:cs="Times New Roman" w:eastAsia="Times New Roman" w:hAnsi="Times New Roman"/>
                <w:sz w:val="14"/>
                <w:szCs w:val="14"/>
                <w:b w:val="1"/>
                <w:bCs w:val="1"/>
                <w:color w:val="auto"/>
              </w:rPr>
              <w:t>Recognized</w:t>
            </w:r>
          </w:p>
        </w:tc>
        <w:tc>
          <w:tcPr>
            <w:tcW w:w="80" w:type="dxa"/>
            <w:vAlign w:val="bottom"/>
          </w:tcPr>
          <w:p>
            <w:pPr>
              <w:spacing w:after="0"/>
              <w:rPr>
                <w:sz w:val="12"/>
                <w:szCs w:val="12"/>
                <w:color w:val="auto"/>
              </w:rPr>
            </w:pPr>
          </w:p>
        </w:tc>
        <w:tc>
          <w:tcPr>
            <w:tcW w:w="1080" w:type="dxa"/>
            <w:vAlign w:val="bottom"/>
            <w:gridSpan w:val="3"/>
          </w:tcPr>
          <w:p>
            <w:pPr>
              <w:jc w:val="center"/>
              <w:ind w:right="200"/>
              <w:spacing w:after="0" w:line="141" w:lineRule="exact"/>
              <w:rPr>
                <w:sz w:val="20"/>
                <w:szCs w:val="20"/>
                <w:color w:val="auto"/>
              </w:rPr>
            </w:pPr>
            <w:r>
              <w:rPr>
                <w:rFonts w:ascii="Times New Roman" w:cs="Times New Roman" w:eastAsia="Times New Roman" w:hAnsi="Times New Roman"/>
                <w:sz w:val="14"/>
                <w:szCs w:val="14"/>
                <w:b w:val="1"/>
                <w:bCs w:val="1"/>
                <w:color w:val="auto"/>
              </w:rPr>
              <w:t>Benefits and</w:t>
            </w:r>
          </w:p>
        </w:tc>
        <w:tc>
          <w:tcPr>
            <w:tcW w:w="100" w:type="dxa"/>
            <w:vAlign w:val="bottom"/>
          </w:tcPr>
          <w:p>
            <w:pPr>
              <w:spacing w:after="0"/>
              <w:rPr>
                <w:sz w:val="12"/>
                <w:szCs w:val="12"/>
                <w:color w:val="auto"/>
              </w:rPr>
            </w:pPr>
          </w:p>
        </w:tc>
        <w:tc>
          <w:tcPr>
            <w:tcW w:w="1020" w:type="dxa"/>
            <w:vAlign w:val="bottom"/>
            <w:gridSpan w:val="2"/>
          </w:tcPr>
          <w:p>
            <w:pPr>
              <w:jc w:val="center"/>
              <w:ind w:right="200"/>
              <w:spacing w:after="0" w:line="141" w:lineRule="exact"/>
              <w:rPr>
                <w:sz w:val="20"/>
                <w:szCs w:val="20"/>
                <w:color w:val="auto"/>
              </w:rPr>
            </w:pPr>
            <w:r>
              <w:rPr>
                <w:rFonts w:ascii="Times New Roman" w:cs="Times New Roman" w:eastAsia="Times New Roman" w:hAnsi="Times New Roman"/>
                <w:sz w:val="14"/>
                <w:szCs w:val="14"/>
                <w:b w:val="1"/>
                <w:bCs w:val="1"/>
                <w:color w:val="auto"/>
                <w:w w:val="99"/>
              </w:rPr>
              <w:t>Benefits and</w:t>
            </w:r>
          </w:p>
        </w:tc>
        <w:tc>
          <w:tcPr>
            <w:tcW w:w="100" w:type="dxa"/>
            <w:vAlign w:val="bottom"/>
          </w:tcPr>
          <w:p>
            <w:pPr>
              <w:spacing w:after="0"/>
              <w:rPr>
                <w:sz w:val="12"/>
                <w:szCs w:val="12"/>
                <w:color w:val="auto"/>
              </w:rPr>
            </w:pPr>
          </w:p>
        </w:tc>
        <w:tc>
          <w:tcPr>
            <w:tcW w:w="940" w:type="dxa"/>
            <w:vAlign w:val="bottom"/>
          </w:tcPr>
          <w:p>
            <w:pPr>
              <w:jc w:val="center"/>
              <w:ind w:right="9"/>
              <w:spacing w:after="0" w:line="141" w:lineRule="exact"/>
              <w:rPr>
                <w:sz w:val="20"/>
                <w:szCs w:val="20"/>
                <w:color w:val="auto"/>
              </w:rPr>
            </w:pPr>
            <w:r>
              <w:rPr>
                <w:rFonts w:ascii="Times New Roman" w:cs="Times New Roman" w:eastAsia="Times New Roman" w:hAnsi="Times New Roman"/>
                <w:sz w:val="14"/>
                <w:szCs w:val="14"/>
                <w:b w:val="1"/>
                <w:bCs w:val="1"/>
                <w:color w:val="auto"/>
              </w:rPr>
              <w:t>Recognized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160"/>
              <w:spacing w:after="0" w:line="141" w:lineRule="exact"/>
              <w:rPr>
                <w:sz w:val="20"/>
                <w:szCs w:val="20"/>
                <w:color w:val="auto"/>
              </w:rPr>
            </w:pPr>
            <w:r>
              <w:rPr>
                <w:rFonts w:ascii="Times New Roman" w:cs="Times New Roman" w:eastAsia="Times New Roman" w:hAnsi="Times New Roman"/>
                <w:sz w:val="14"/>
                <w:szCs w:val="14"/>
                <w:b w:val="1"/>
                <w:bCs w:val="1"/>
                <w:color w:val="auto"/>
              </w:rPr>
              <w:t>Recognized</w:t>
            </w:r>
          </w:p>
        </w:tc>
        <w:tc>
          <w:tcPr>
            <w:tcW w:w="100" w:type="dxa"/>
            <w:vAlign w:val="bottom"/>
          </w:tcPr>
          <w:p>
            <w:pPr>
              <w:spacing w:after="0"/>
              <w:rPr>
                <w:sz w:val="12"/>
                <w:szCs w:val="12"/>
                <w:color w:val="auto"/>
              </w:rPr>
            </w:pPr>
          </w:p>
        </w:tc>
        <w:tc>
          <w:tcPr>
            <w:tcW w:w="1080" w:type="dxa"/>
            <w:vAlign w:val="bottom"/>
            <w:gridSpan w:val="3"/>
          </w:tcPr>
          <w:p>
            <w:pPr>
              <w:jc w:val="center"/>
              <w:ind w:right="200"/>
              <w:spacing w:after="0" w:line="141" w:lineRule="exact"/>
              <w:rPr>
                <w:sz w:val="20"/>
                <w:szCs w:val="20"/>
                <w:color w:val="auto"/>
              </w:rPr>
            </w:pPr>
            <w:r>
              <w:rPr>
                <w:rFonts w:ascii="Times New Roman" w:cs="Times New Roman" w:eastAsia="Times New Roman" w:hAnsi="Times New Roman"/>
                <w:sz w:val="14"/>
                <w:szCs w:val="14"/>
                <w:b w:val="1"/>
                <w:bCs w:val="1"/>
                <w:color w:val="auto"/>
              </w:rPr>
              <w:t>Benefits and</w:t>
            </w:r>
          </w:p>
        </w:tc>
        <w:tc>
          <w:tcPr>
            <w:tcW w:w="100" w:type="dxa"/>
            <w:vAlign w:val="bottom"/>
          </w:tcPr>
          <w:p>
            <w:pPr>
              <w:spacing w:after="0"/>
              <w:rPr>
                <w:sz w:val="12"/>
                <w:szCs w:val="12"/>
                <w:color w:val="auto"/>
              </w:rPr>
            </w:pPr>
          </w:p>
        </w:tc>
        <w:tc>
          <w:tcPr>
            <w:tcW w:w="920" w:type="dxa"/>
            <w:vAlign w:val="bottom"/>
          </w:tcPr>
          <w:p>
            <w:pPr>
              <w:jc w:val="center"/>
              <w:ind w:right="29"/>
              <w:spacing w:after="0" w:line="141" w:lineRule="exact"/>
              <w:rPr>
                <w:sz w:val="20"/>
                <w:szCs w:val="20"/>
                <w:color w:val="auto"/>
              </w:rPr>
            </w:pPr>
            <w:r>
              <w:rPr>
                <w:rFonts w:ascii="Times New Roman" w:cs="Times New Roman" w:eastAsia="Times New Roman" w:hAnsi="Times New Roman"/>
                <w:sz w:val="14"/>
                <w:szCs w:val="14"/>
                <w:b w:val="1"/>
                <w:bCs w:val="1"/>
                <w:color w:val="auto"/>
                <w:w w:val="99"/>
              </w:rPr>
              <w:t>Benefits and</w:t>
            </w:r>
          </w:p>
        </w:tc>
        <w:tc>
          <w:tcPr>
            <w:tcW w:w="0" w:type="dxa"/>
            <w:vAlign w:val="bottom"/>
          </w:tcPr>
          <w:p>
            <w:pPr>
              <w:spacing w:after="0"/>
              <w:rPr>
                <w:sz w:val="1"/>
                <w:szCs w:val="1"/>
                <w:color w:val="auto"/>
              </w:rPr>
            </w:pPr>
          </w:p>
        </w:tc>
      </w:tr>
      <w:tr>
        <w:trPr>
          <w:trHeight w:val="144"/>
        </w:trPr>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29"/>
              <w:spacing w:after="0" w:line="144" w:lineRule="exact"/>
              <w:rPr>
                <w:sz w:val="20"/>
                <w:szCs w:val="20"/>
                <w:color w:val="auto"/>
              </w:rPr>
            </w:pPr>
            <w:r>
              <w:rPr>
                <w:rFonts w:ascii="Times New Roman" w:cs="Times New Roman" w:eastAsia="Times New Roman" w:hAnsi="Times New Roman"/>
                <w:sz w:val="14"/>
                <w:szCs w:val="14"/>
                <w:b w:val="1"/>
                <w:bCs w:val="1"/>
                <w:color w:val="auto"/>
              </w:rPr>
              <w:t>gains (losses),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00"/>
              <w:spacing w:after="0" w:line="144" w:lineRule="exact"/>
              <w:rPr>
                <w:sz w:val="20"/>
                <w:szCs w:val="20"/>
                <w:color w:val="auto"/>
              </w:rPr>
            </w:pPr>
            <w:r>
              <w:rPr>
                <w:rFonts w:ascii="Times New Roman" w:cs="Times New Roman" w:eastAsia="Times New Roman" w:hAnsi="Times New Roman"/>
                <w:sz w:val="14"/>
                <w:szCs w:val="14"/>
                <w:b w:val="1"/>
                <w:bCs w:val="1"/>
                <w:color w:val="auto"/>
              </w:rPr>
              <w:t>gains (losses),</w:t>
            </w:r>
          </w:p>
        </w:tc>
        <w:tc>
          <w:tcPr>
            <w:tcW w:w="1160" w:type="dxa"/>
            <w:vAlign w:val="bottom"/>
            <w:gridSpan w:val="4"/>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rPr>
              <w:t>other changes in</w:t>
            </w:r>
          </w:p>
        </w:tc>
        <w:tc>
          <w:tcPr>
            <w:tcW w:w="1120" w:type="dxa"/>
            <w:vAlign w:val="bottom"/>
            <w:gridSpan w:val="3"/>
          </w:tcPr>
          <w:p>
            <w:pPr>
              <w:ind w:left="20"/>
              <w:spacing w:after="0" w:line="144" w:lineRule="exact"/>
              <w:rPr>
                <w:sz w:val="20"/>
                <w:szCs w:val="20"/>
                <w:color w:val="auto"/>
              </w:rPr>
            </w:pPr>
            <w:r>
              <w:rPr>
                <w:rFonts w:ascii="Times New Roman" w:cs="Times New Roman" w:eastAsia="Times New Roman" w:hAnsi="Times New Roman"/>
                <w:sz w:val="14"/>
                <w:szCs w:val="14"/>
                <w:b w:val="1"/>
                <w:bCs w:val="1"/>
                <w:color w:val="auto"/>
              </w:rPr>
              <w:t>other changes in</w:t>
            </w:r>
          </w:p>
        </w:tc>
        <w:tc>
          <w:tcPr>
            <w:tcW w:w="100" w:type="dxa"/>
            <w:vAlign w:val="bottom"/>
          </w:tcPr>
          <w:p>
            <w:pPr>
              <w:spacing w:after="0"/>
              <w:rPr>
                <w:sz w:val="12"/>
                <w:szCs w:val="12"/>
                <w:color w:val="auto"/>
              </w:rPr>
            </w:pPr>
          </w:p>
        </w:tc>
        <w:tc>
          <w:tcPr>
            <w:tcW w:w="940" w:type="dxa"/>
            <w:vAlign w:val="bottom"/>
          </w:tcPr>
          <w:p>
            <w:pPr>
              <w:jc w:val="center"/>
              <w:ind w:right="9"/>
              <w:spacing w:after="0" w:line="144" w:lineRule="exact"/>
              <w:rPr>
                <w:sz w:val="20"/>
                <w:szCs w:val="20"/>
                <w:color w:val="auto"/>
              </w:rPr>
            </w:pPr>
            <w:r>
              <w:rPr>
                <w:rFonts w:ascii="Times New Roman" w:cs="Times New Roman" w:eastAsia="Times New Roman" w:hAnsi="Times New Roman"/>
                <w:sz w:val="14"/>
                <w:szCs w:val="14"/>
                <w:b w:val="1"/>
                <w:bCs w:val="1"/>
                <w:color w:val="auto"/>
              </w:rPr>
              <w:t>gains (losses),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160"/>
              <w:spacing w:after="0" w:line="144" w:lineRule="exact"/>
              <w:rPr>
                <w:sz w:val="20"/>
                <w:szCs w:val="20"/>
                <w:color w:val="auto"/>
              </w:rPr>
            </w:pPr>
            <w:r>
              <w:rPr>
                <w:rFonts w:ascii="Times New Roman" w:cs="Times New Roman" w:eastAsia="Times New Roman" w:hAnsi="Times New Roman"/>
                <w:sz w:val="14"/>
                <w:szCs w:val="14"/>
                <w:b w:val="1"/>
                <w:bCs w:val="1"/>
                <w:color w:val="auto"/>
              </w:rPr>
              <w:t>gains (losses),</w:t>
            </w:r>
          </w:p>
        </w:tc>
        <w:tc>
          <w:tcPr>
            <w:tcW w:w="1180" w:type="dxa"/>
            <w:vAlign w:val="bottom"/>
            <w:gridSpan w:val="4"/>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rPr>
              <w:t>other changes in</w:t>
            </w:r>
          </w:p>
        </w:tc>
        <w:tc>
          <w:tcPr>
            <w:tcW w:w="1020" w:type="dxa"/>
            <w:vAlign w:val="bottom"/>
            <w:gridSpan w:val="2"/>
          </w:tcPr>
          <w:p>
            <w:pPr>
              <w:ind w:left="20"/>
              <w:spacing w:after="0" w:line="144" w:lineRule="exact"/>
              <w:rPr>
                <w:sz w:val="20"/>
                <w:szCs w:val="20"/>
                <w:color w:val="auto"/>
              </w:rPr>
            </w:pPr>
            <w:r>
              <w:rPr>
                <w:rFonts w:ascii="Times New Roman" w:cs="Times New Roman" w:eastAsia="Times New Roman" w:hAnsi="Times New Roman"/>
                <w:sz w:val="14"/>
                <w:szCs w:val="14"/>
                <w:b w:val="1"/>
                <w:bCs w:val="1"/>
                <w:color w:val="auto"/>
                <w:w w:val="99"/>
              </w:rPr>
              <w:t>other changes in</w:t>
            </w:r>
          </w:p>
        </w:tc>
        <w:tc>
          <w:tcPr>
            <w:tcW w:w="0" w:type="dxa"/>
            <w:vAlign w:val="bottom"/>
          </w:tcPr>
          <w:p>
            <w:pPr>
              <w:spacing w:after="0"/>
              <w:rPr>
                <w:sz w:val="1"/>
                <w:szCs w:val="1"/>
                <w:color w:val="auto"/>
              </w:rPr>
            </w:pPr>
          </w:p>
        </w:tc>
      </w:tr>
      <w:tr>
        <w:trPr>
          <w:trHeight w:val="134"/>
        </w:trPr>
        <w:tc>
          <w:tcPr>
            <w:tcW w:w="2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ind w:right="9"/>
              <w:spacing w:after="0" w:line="135" w:lineRule="exact"/>
              <w:rPr>
                <w:sz w:val="20"/>
                <w:szCs w:val="20"/>
                <w:color w:val="auto"/>
              </w:rPr>
            </w:pPr>
            <w:r>
              <w:rPr>
                <w:rFonts w:ascii="Times New Roman" w:cs="Times New Roman" w:eastAsia="Times New Roman" w:hAnsi="Times New Roman"/>
                <w:sz w:val="14"/>
                <w:szCs w:val="14"/>
                <w:b w:val="1"/>
                <w:bCs w:val="1"/>
                <w:color w:val="auto"/>
                <w:w w:val="99"/>
              </w:rPr>
              <w:t>net for</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4"/>
                <w:szCs w:val="14"/>
                <w:b w:val="1"/>
                <w:bCs w:val="1"/>
                <w:color w:val="auto"/>
                <w:w w:val="99"/>
              </w:rPr>
              <w:t>net for hedged</w:t>
            </w:r>
          </w:p>
        </w:tc>
        <w:tc>
          <w:tcPr>
            <w:tcW w:w="80" w:type="dxa"/>
            <w:vAlign w:val="bottom"/>
          </w:tcPr>
          <w:p>
            <w:pPr>
              <w:spacing w:after="0"/>
              <w:rPr>
                <w:sz w:val="11"/>
                <w:szCs w:val="11"/>
                <w:color w:val="auto"/>
              </w:rPr>
            </w:pPr>
          </w:p>
        </w:tc>
        <w:tc>
          <w:tcPr>
            <w:tcW w:w="1080" w:type="dxa"/>
            <w:vAlign w:val="bottom"/>
            <w:gridSpan w:val="3"/>
          </w:tcPr>
          <w:p>
            <w:pPr>
              <w:jc w:val="center"/>
              <w:ind w:right="200"/>
              <w:spacing w:after="0" w:line="135" w:lineRule="exact"/>
              <w:rPr>
                <w:sz w:val="20"/>
                <w:szCs w:val="20"/>
                <w:color w:val="auto"/>
              </w:rPr>
            </w:pPr>
            <w:r>
              <w:rPr>
                <w:rFonts w:ascii="Times New Roman" w:cs="Times New Roman" w:eastAsia="Times New Roman" w:hAnsi="Times New Roman"/>
                <w:sz w:val="14"/>
                <w:szCs w:val="14"/>
                <w:b w:val="1"/>
                <w:bCs w:val="1"/>
                <w:color w:val="auto"/>
                <w:w w:val="99"/>
              </w:rPr>
              <w:t>policy reserves</w:t>
            </w:r>
          </w:p>
        </w:tc>
        <w:tc>
          <w:tcPr>
            <w:tcW w:w="112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policy reserves</w:t>
            </w:r>
          </w:p>
        </w:tc>
        <w:tc>
          <w:tcPr>
            <w:tcW w:w="10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w w:val="99"/>
              </w:rPr>
              <w:t>net for</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4"/>
                <w:szCs w:val="14"/>
                <w:b w:val="1"/>
                <w:bCs w:val="1"/>
                <w:color w:val="auto"/>
                <w:w w:val="99"/>
              </w:rPr>
              <w:t>net for hedged</w:t>
            </w:r>
          </w:p>
        </w:tc>
        <w:tc>
          <w:tcPr>
            <w:tcW w:w="100" w:type="dxa"/>
            <w:vAlign w:val="bottom"/>
          </w:tcPr>
          <w:p>
            <w:pPr>
              <w:spacing w:after="0"/>
              <w:rPr>
                <w:sz w:val="11"/>
                <w:szCs w:val="11"/>
                <w:color w:val="auto"/>
              </w:rPr>
            </w:pPr>
          </w:p>
        </w:tc>
        <w:tc>
          <w:tcPr>
            <w:tcW w:w="1080" w:type="dxa"/>
            <w:vAlign w:val="bottom"/>
            <w:gridSpan w:val="3"/>
          </w:tcPr>
          <w:p>
            <w:pPr>
              <w:jc w:val="center"/>
              <w:ind w:right="200"/>
              <w:spacing w:after="0" w:line="135" w:lineRule="exact"/>
              <w:rPr>
                <w:sz w:val="20"/>
                <w:szCs w:val="20"/>
                <w:color w:val="auto"/>
              </w:rPr>
            </w:pPr>
            <w:r>
              <w:rPr>
                <w:rFonts w:ascii="Times New Roman" w:cs="Times New Roman" w:eastAsia="Times New Roman" w:hAnsi="Times New Roman"/>
                <w:sz w:val="14"/>
                <w:szCs w:val="14"/>
                <w:b w:val="1"/>
                <w:bCs w:val="1"/>
                <w:color w:val="auto"/>
                <w:w w:val="99"/>
              </w:rPr>
              <w:t>policy reserves</w:t>
            </w:r>
          </w:p>
        </w:tc>
        <w:tc>
          <w:tcPr>
            <w:tcW w:w="10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w w:val="99"/>
              </w:rPr>
              <w:t>policy reserves</w:t>
            </w:r>
          </w:p>
        </w:tc>
        <w:tc>
          <w:tcPr>
            <w:tcW w:w="0" w:type="dxa"/>
            <w:vAlign w:val="bottom"/>
          </w:tcPr>
          <w:p>
            <w:pPr>
              <w:spacing w:after="0"/>
              <w:rPr>
                <w:sz w:val="1"/>
                <w:szCs w:val="1"/>
                <w:color w:val="auto"/>
              </w:rPr>
            </w:pPr>
          </w:p>
        </w:tc>
      </w:tr>
      <w:tr>
        <w:trPr>
          <w:trHeight w:val="186"/>
        </w:trPr>
        <w:tc>
          <w:tcPr>
            <w:tcW w:w="2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item</w:t>
            </w:r>
          </w:p>
        </w:tc>
        <w:tc>
          <w:tcPr>
            <w:tcW w:w="80" w:type="dxa"/>
            <w:vAlign w:val="bottom"/>
          </w:tcPr>
          <w:p>
            <w:pPr>
              <w:spacing w:after="0"/>
              <w:rPr>
                <w:sz w:val="16"/>
                <w:szCs w:val="16"/>
                <w:color w:val="auto"/>
              </w:rPr>
            </w:pPr>
          </w:p>
        </w:tc>
        <w:tc>
          <w:tcPr>
            <w:tcW w:w="108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 derivatives</w:t>
            </w:r>
          </w:p>
        </w:tc>
        <w:tc>
          <w:tcPr>
            <w:tcW w:w="11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for hedged item</w:t>
            </w:r>
          </w:p>
        </w:tc>
        <w:tc>
          <w:tcPr>
            <w:tcW w:w="100" w:type="dxa"/>
            <w:vAlign w:val="bottom"/>
          </w:tcPr>
          <w:p>
            <w:pPr>
              <w:spacing w:after="0"/>
              <w:rPr>
                <w:sz w:val="16"/>
                <w:szCs w:val="16"/>
                <w:color w:val="auto"/>
              </w:rPr>
            </w:pPr>
          </w:p>
        </w:tc>
        <w:tc>
          <w:tcPr>
            <w:tcW w:w="940" w:type="dxa"/>
            <w:vAlign w:val="bottom"/>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item</w:t>
            </w:r>
          </w:p>
        </w:tc>
        <w:tc>
          <w:tcPr>
            <w:tcW w:w="100" w:type="dxa"/>
            <w:vAlign w:val="bottom"/>
          </w:tcPr>
          <w:p>
            <w:pPr>
              <w:spacing w:after="0"/>
              <w:rPr>
                <w:sz w:val="16"/>
                <w:szCs w:val="16"/>
                <w:color w:val="auto"/>
              </w:rPr>
            </w:pPr>
          </w:p>
        </w:tc>
        <w:tc>
          <w:tcPr>
            <w:tcW w:w="108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 derivatives</w:t>
            </w: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for hedged item</w:t>
            </w:r>
          </w:p>
        </w:tc>
        <w:tc>
          <w:tcPr>
            <w:tcW w:w="0" w:type="dxa"/>
            <w:vAlign w:val="bottom"/>
          </w:tcPr>
          <w:p>
            <w:pPr>
              <w:spacing w:after="0"/>
              <w:rPr>
                <w:sz w:val="1"/>
                <w:szCs w:val="1"/>
                <w:color w:val="auto"/>
              </w:rPr>
            </w:pPr>
          </w:p>
        </w:tc>
      </w:tr>
      <w:tr>
        <w:trPr>
          <w:trHeight w:val="24"/>
        </w:trPr>
        <w:tc>
          <w:tcPr>
            <w:tcW w:w="20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4"/>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2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gridSpan w:val="4"/>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0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designated as hedging instruments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swaps</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8"/>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swaps</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80" w:type="dxa"/>
            <w:vAlign w:val="bottom"/>
            <w:gridSpan w:val="3"/>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20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040" w:type="dxa"/>
            <w:vAlign w:val="bottom"/>
            <w:shd w:val="clear" w:color="auto" w:fill="CCEEFF"/>
          </w:tcPr>
          <w:p>
            <w:pPr>
              <w:ind w:left="100"/>
              <w:spacing w:after="0" w:line="128" w:lineRule="exact"/>
              <w:rPr>
                <w:sz w:val="20"/>
                <w:szCs w:val="20"/>
                <w:color w:val="auto"/>
              </w:rPr>
            </w:pPr>
            <w:r>
              <w:rPr>
                <w:rFonts w:ascii="Times New Roman" w:cs="Times New Roman" w:eastAsia="Times New Roman" w:hAnsi="Times New Roman"/>
                <w:sz w:val="14"/>
                <w:szCs w:val="14"/>
                <w:b w:val="1"/>
                <w:bCs w:val="1"/>
                <w:color w:val="auto"/>
              </w:rPr>
              <w:t>Total derivatives designated as</w:t>
            </w:r>
          </w:p>
        </w:tc>
        <w:tc>
          <w:tcPr>
            <w:tcW w:w="12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7"/>
        </w:trPr>
        <w:tc>
          <w:tcPr>
            <w:tcW w:w="2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hedging instruments</w:t>
            </w:r>
          </w:p>
        </w:tc>
        <w:tc>
          <w:tcPr>
            <w:tcW w:w="12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204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30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not designated as hedging instruments</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options</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80" w:type="dxa"/>
            <w:vAlign w:val="bottom"/>
            <w:gridSpan w:val="3"/>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swaps</w:t>
            </w:r>
          </w:p>
        </w:tc>
        <w:tc>
          <w:tcPr>
            <w:tcW w:w="1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gridSpan w:val="3"/>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swaps</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80" w:type="dxa"/>
            <w:vAlign w:val="bottom"/>
            <w:gridSpan w:val="3"/>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Futures contracts</w:t>
            </w:r>
          </w:p>
        </w:tc>
        <w:tc>
          <w:tcPr>
            <w:tcW w:w="1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gridSpan w:val="3"/>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forwards</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80" w:type="dxa"/>
            <w:vAlign w:val="bottom"/>
            <w:gridSpan w:val="3"/>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embedded derivatives</w:t>
            </w:r>
          </w:p>
        </w:tc>
        <w:tc>
          <w:tcPr>
            <w:tcW w:w="1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gridSpan w:val="3"/>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0"/>
        </w:trPr>
        <w:tc>
          <w:tcPr>
            <w:tcW w:w="2040" w:type="dxa"/>
            <w:vAlign w:val="bottom"/>
          </w:tcPr>
          <w:p>
            <w:pPr>
              <w:ind w:left="20"/>
              <w:spacing w:after="0" w:line="150" w:lineRule="exact"/>
              <w:rPr>
                <w:sz w:val="20"/>
                <w:szCs w:val="20"/>
                <w:color w:val="auto"/>
              </w:rPr>
            </w:pPr>
            <w:r>
              <w:rPr>
                <w:rFonts w:ascii="Times New Roman" w:cs="Times New Roman" w:eastAsia="Times New Roman" w:hAnsi="Times New Roman"/>
                <w:sz w:val="14"/>
                <w:szCs w:val="14"/>
                <w:color w:val="auto"/>
              </w:rPr>
              <w:t>Indexed annuities/IUL embedded</w:t>
            </w:r>
          </w:p>
        </w:tc>
        <w:tc>
          <w:tcPr>
            <w:tcW w:w="12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(753)</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derivatives</w:t>
            </w:r>
          </w:p>
        </w:tc>
        <w:tc>
          <w:tcPr>
            <w:tcW w:w="1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40" w:type="dxa"/>
            <w:vAlign w:val="bottom"/>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Reinsurance related embedded</w:t>
            </w:r>
          </w:p>
        </w:tc>
        <w:tc>
          <w:tcPr>
            <w:tcW w:w="12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shd w:val="clear" w:color="auto" w:fill="CCEEFF"/>
          </w:tcPr>
          <w:p>
            <w:pPr>
              <w:spacing w:after="0"/>
              <w:rPr>
                <w:sz w:val="13"/>
                <w:szCs w:val="13"/>
                <w:color w:val="auto"/>
              </w:rPr>
            </w:pPr>
          </w:p>
        </w:tc>
        <w:tc>
          <w:tcPr>
            <w:tcW w:w="20" w:type="dxa"/>
            <w:vAlign w:val="bottom"/>
            <w:vMerge w:val="restart"/>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spacing w:after="0"/>
              <w:rPr>
                <w:sz w:val="13"/>
                <w:szCs w:val="13"/>
                <w:color w:val="auto"/>
              </w:rPr>
            </w:pPr>
          </w:p>
        </w:tc>
        <w:tc>
          <w:tcPr>
            <w:tcW w:w="20" w:type="dxa"/>
            <w:vAlign w:val="bottom"/>
            <w:vMerge w:val="restart"/>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derivatives</w:t>
            </w:r>
          </w:p>
        </w:tc>
        <w:tc>
          <w:tcPr>
            <w:tcW w:w="12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vMerge w:val="continue"/>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vMerge w:val="continue"/>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2040" w:type="dxa"/>
            <w:vAlign w:val="bottom"/>
          </w:tcPr>
          <w:p>
            <w:pPr>
              <w:ind w:left="100"/>
              <w:spacing w:after="0" w:line="128" w:lineRule="exact"/>
              <w:rPr>
                <w:sz w:val="20"/>
                <w:szCs w:val="20"/>
                <w:color w:val="auto"/>
              </w:rPr>
            </w:pPr>
            <w:r>
              <w:rPr>
                <w:rFonts w:ascii="Times New Roman" w:cs="Times New Roman" w:eastAsia="Times New Roman" w:hAnsi="Times New Roman"/>
                <w:sz w:val="14"/>
                <w:szCs w:val="14"/>
                <w:b w:val="1"/>
                <w:bCs w:val="1"/>
                <w:color w:val="auto"/>
              </w:rPr>
              <w:t>Total derivatives not designated</w:t>
            </w:r>
          </w:p>
        </w:tc>
        <w:tc>
          <w:tcPr>
            <w:tcW w:w="12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(753)</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20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as hedging instruments</w:t>
            </w: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Total derivatives</w:t>
            </w: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(780)</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2"/>
        </w:trPr>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40" w:type="dxa"/>
            <w:vAlign w:val="bottom"/>
            <w:gridSpan w:val="9"/>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 September 30, 2026</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40" w:type="dxa"/>
            <w:vAlign w:val="bottom"/>
            <w:gridSpan w:val="9"/>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20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9"/>
        </w:trPr>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restart"/>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w w:val="99"/>
              </w:rPr>
              <w:t>Recognized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Recognized</w:t>
            </w:r>
          </w:p>
        </w:tc>
        <w:tc>
          <w:tcPr>
            <w:tcW w:w="80" w:type="dxa"/>
            <w:vAlign w:val="bottom"/>
          </w:tcPr>
          <w:p>
            <w:pPr>
              <w:spacing w:after="0"/>
              <w:rPr>
                <w:sz w:val="12"/>
                <w:szCs w:val="12"/>
                <w:color w:val="auto"/>
              </w:rPr>
            </w:pPr>
          </w:p>
        </w:tc>
        <w:tc>
          <w:tcPr>
            <w:tcW w:w="1080" w:type="dxa"/>
            <w:vAlign w:val="bottom"/>
            <w:gridSpan w:val="3"/>
          </w:tcPr>
          <w:p>
            <w:pPr>
              <w:jc w:val="center"/>
              <w:ind w:right="200"/>
              <w:spacing w:after="0" w:line="139" w:lineRule="exact"/>
              <w:rPr>
                <w:sz w:val="20"/>
                <w:szCs w:val="20"/>
                <w:color w:val="auto"/>
              </w:rPr>
            </w:pPr>
            <w:r>
              <w:rPr>
                <w:rFonts w:ascii="Times New Roman" w:cs="Times New Roman" w:eastAsia="Times New Roman" w:hAnsi="Times New Roman"/>
                <w:sz w:val="14"/>
                <w:szCs w:val="14"/>
                <w:b w:val="1"/>
                <w:bCs w:val="1"/>
                <w:color w:val="auto"/>
              </w:rPr>
              <w:t>Benefits and</w:t>
            </w:r>
          </w:p>
        </w:tc>
        <w:tc>
          <w:tcPr>
            <w:tcW w:w="100" w:type="dxa"/>
            <w:vAlign w:val="bottom"/>
          </w:tcPr>
          <w:p>
            <w:pPr>
              <w:spacing w:after="0"/>
              <w:rPr>
                <w:sz w:val="12"/>
                <w:szCs w:val="12"/>
                <w:color w:val="auto"/>
              </w:rPr>
            </w:pPr>
          </w:p>
        </w:tc>
        <w:tc>
          <w:tcPr>
            <w:tcW w:w="1020" w:type="dxa"/>
            <w:vAlign w:val="bottom"/>
            <w:gridSpan w:val="2"/>
          </w:tcPr>
          <w:p>
            <w:pPr>
              <w:jc w:val="center"/>
              <w:ind w:right="200"/>
              <w:spacing w:after="0" w:line="139" w:lineRule="exact"/>
              <w:rPr>
                <w:sz w:val="20"/>
                <w:szCs w:val="20"/>
                <w:color w:val="auto"/>
              </w:rPr>
            </w:pPr>
            <w:r>
              <w:rPr>
                <w:rFonts w:ascii="Times New Roman" w:cs="Times New Roman" w:eastAsia="Times New Roman" w:hAnsi="Times New Roman"/>
                <w:sz w:val="14"/>
                <w:szCs w:val="14"/>
                <w:b w:val="1"/>
                <w:bCs w:val="1"/>
                <w:color w:val="auto"/>
                <w:w w:val="99"/>
              </w:rPr>
              <w:t>Benefits and</w:t>
            </w:r>
          </w:p>
        </w:tc>
        <w:tc>
          <w:tcPr>
            <w:tcW w:w="100" w:type="dxa"/>
            <w:vAlign w:val="bottom"/>
          </w:tcPr>
          <w:p>
            <w:pPr>
              <w:spacing w:after="0"/>
              <w:rPr>
                <w:sz w:val="12"/>
                <w:szCs w:val="12"/>
                <w:color w:val="auto"/>
              </w:rPr>
            </w:pPr>
          </w:p>
        </w:tc>
        <w:tc>
          <w:tcPr>
            <w:tcW w:w="940" w:type="dxa"/>
            <w:vAlign w:val="bottom"/>
            <w:vMerge w:val="restart"/>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rPr>
              <w:t>Recognized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Recognized</w:t>
            </w:r>
          </w:p>
        </w:tc>
        <w:tc>
          <w:tcPr>
            <w:tcW w:w="100" w:type="dxa"/>
            <w:vAlign w:val="bottom"/>
          </w:tcPr>
          <w:p>
            <w:pPr>
              <w:spacing w:after="0"/>
              <w:rPr>
                <w:sz w:val="12"/>
                <w:szCs w:val="12"/>
                <w:color w:val="auto"/>
              </w:rPr>
            </w:pPr>
          </w:p>
        </w:tc>
        <w:tc>
          <w:tcPr>
            <w:tcW w:w="1080" w:type="dxa"/>
            <w:vAlign w:val="bottom"/>
            <w:gridSpan w:val="3"/>
          </w:tcPr>
          <w:p>
            <w:pPr>
              <w:jc w:val="center"/>
              <w:ind w:right="200"/>
              <w:spacing w:after="0" w:line="139" w:lineRule="exact"/>
              <w:rPr>
                <w:sz w:val="20"/>
                <w:szCs w:val="20"/>
                <w:color w:val="auto"/>
              </w:rPr>
            </w:pPr>
            <w:r>
              <w:rPr>
                <w:rFonts w:ascii="Times New Roman" w:cs="Times New Roman" w:eastAsia="Times New Roman" w:hAnsi="Times New Roman"/>
                <w:sz w:val="14"/>
                <w:szCs w:val="14"/>
                <w:b w:val="1"/>
                <w:bCs w:val="1"/>
                <w:color w:val="auto"/>
              </w:rPr>
              <w:t>Benefits and</w:t>
            </w:r>
          </w:p>
        </w:tc>
        <w:tc>
          <w:tcPr>
            <w:tcW w:w="100" w:type="dxa"/>
            <w:vAlign w:val="bottom"/>
          </w:tcPr>
          <w:p>
            <w:pPr>
              <w:spacing w:after="0"/>
              <w:rPr>
                <w:sz w:val="12"/>
                <w:szCs w:val="12"/>
                <w:color w:val="auto"/>
              </w:rPr>
            </w:pPr>
          </w:p>
        </w:tc>
        <w:tc>
          <w:tcPr>
            <w:tcW w:w="920" w:type="dxa"/>
            <w:vAlign w:val="bottom"/>
          </w:tcPr>
          <w:p>
            <w:pPr>
              <w:jc w:val="center"/>
              <w:ind w:right="29"/>
              <w:spacing w:after="0" w:line="139" w:lineRule="exact"/>
              <w:rPr>
                <w:sz w:val="20"/>
                <w:szCs w:val="20"/>
                <w:color w:val="auto"/>
              </w:rPr>
            </w:pPr>
            <w:r>
              <w:rPr>
                <w:rFonts w:ascii="Times New Roman" w:cs="Times New Roman" w:eastAsia="Times New Roman" w:hAnsi="Times New Roman"/>
                <w:sz w:val="14"/>
                <w:szCs w:val="14"/>
                <w:b w:val="1"/>
                <w:bCs w:val="1"/>
                <w:color w:val="auto"/>
                <w:w w:val="99"/>
              </w:rPr>
              <w:t>Benefits and</w:t>
            </w:r>
          </w:p>
        </w:tc>
        <w:tc>
          <w:tcPr>
            <w:tcW w:w="0" w:type="dxa"/>
            <w:vAlign w:val="bottom"/>
          </w:tcPr>
          <w:p>
            <w:pPr>
              <w:spacing w:after="0"/>
              <w:rPr>
                <w:sz w:val="1"/>
                <w:szCs w:val="1"/>
                <w:color w:val="auto"/>
              </w:rPr>
            </w:pPr>
          </w:p>
        </w:tc>
      </w:tr>
      <w:tr>
        <w:trPr>
          <w:trHeight w:val="146"/>
        </w:trPr>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160" w:type="dxa"/>
            <w:vAlign w:val="bottom"/>
            <w:gridSpan w:val="4"/>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other changes in</w:t>
            </w:r>
          </w:p>
        </w:tc>
        <w:tc>
          <w:tcPr>
            <w:tcW w:w="1120" w:type="dxa"/>
            <w:vAlign w:val="bottom"/>
            <w:gridSpan w:val="3"/>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w w:val="99"/>
              </w:rPr>
              <w:t>other changes in</w:t>
            </w: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180" w:type="dxa"/>
            <w:vAlign w:val="bottom"/>
            <w:gridSpan w:val="4"/>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other changes in</w:t>
            </w:r>
          </w:p>
        </w:tc>
        <w:tc>
          <w:tcPr>
            <w:tcW w:w="102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9"/>
              </w:rPr>
              <w:t>other changes in</w:t>
            </w:r>
          </w:p>
        </w:tc>
        <w:tc>
          <w:tcPr>
            <w:tcW w:w="0" w:type="dxa"/>
            <w:vAlign w:val="bottom"/>
          </w:tcPr>
          <w:p>
            <w:pPr>
              <w:spacing w:after="0"/>
              <w:rPr>
                <w:sz w:val="1"/>
                <w:szCs w:val="1"/>
                <w:color w:val="auto"/>
              </w:rPr>
            </w:pPr>
          </w:p>
        </w:tc>
      </w:tr>
      <w:tr>
        <w:trPr>
          <w:trHeight w:val="134"/>
        </w:trPr>
        <w:tc>
          <w:tcPr>
            <w:tcW w:w="20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4"/>
                <w:szCs w:val="14"/>
                <w:b w:val="1"/>
                <w:bCs w:val="1"/>
                <w:color w:val="auto"/>
                <w:w w:val="99"/>
              </w:rPr>
              <w:t>gains (losses) for</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3"/>
          </w:tcPr>
          <w:p>
            <w:pPr>
              <w:ind w:left="40"/>
              <w:spacing w:after="0" w:line="135" w:lineRule="exact"/>
              <w:rPr>
                <w:sz w:val="20"/>
                <w:szCs w:val="20"/>
                <w:color w:val="auto"/>
              </w:rPr>
            </w:pPr>
            <w:r>
              <w:rPr>
                <w:rFonts w:ascii="Times New Roman" w:cs="Times New Roman" w:eastAsia="Times New Roman" w:hAnsi="Times New Roman"/>
                <w:sz w:val="14"/>
                <w:szCs w:val="14"/>
                <w:b w:val="1"/>
                <w:bCs w:val="1"/>
                <w:color w:val="auto"/>
              </w:rPr>
              <w:t>gains (losses) for</w:t>
            </w:r>
          </w:p>
        </w:tc>
        <w:tc>
          <w:tcPr>
            <w:tcW w:w="80" w:type="dxa"/>
            <w:vAlign w:val="bottom"/>
          </w:tcPr>
          <w:p>
            <w:pPr>
              <w:spacing w:after="0"/>
              <w:rPr>
                <w:sz w:val="11"/>
                <w:szCs w:val="11"/>
                <w:color w:val="auto"/>
              </w:rPr>
            </w:pPr>
          </w:p>
        </w:tc>
        <w:tc>
          <w:tcPr>
            <w:tcW w:w="1080" w:type="dxa"/>
            <w:vAlign w:val="bottom"/>
            <w:gridSpan w:val="3"/>
          </w:tcPr>
          <w:p>
            <w:pPr>
              <w:jc w:val="center"/>
              <w:ind w:right="200"/>
              <w:spacing w:after="0" w:line="135" w:lineRule="exact"/>
              <w:rPr>
                <w:sz w:val="20"/>
                <w:szCs w:val="20"/>
                <w:color w:val="auto"/>
              </w:rPr>
            </w:pPr>
            <w:r>
              <w:rPr>
                <w:rFonts w:ascii="Times New Roman" w:cs="Times New Roman" w:eastAsia="Times New Roman" w:hAnsi="Times New Roman"/>
                <w:sz w:val="14"/>
                <w:szCs w:val="14"/>
                <w:b w:val="1"/>
                <w:bCs w:val="1"/>
                <w:color w:val="auto"/>
                <w:w w:val="99"/>
              </w:rPr>
              <w:t>policy reserves</w:t>
            </w:r>
          </w:p>
        </w:tc>
        <w:tc>
          <w:tcPr>
            <w:tcW w:w="112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policy reserves</w:t>
            </w:r>
          </w:p>
        </w:tc>
        <w:tc>
          <w:tcPr>
            <w:tcW w:w="104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4"/>
                <w:szCs w:val="14"/>
                <w:b w:val="1"/>
                <w:bCs w:val="1"/>
                <w:color w:val="auto"/>
                <w:w w:val="99"/>
              </w:rPr>
              <w:t>gains (losses) for</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gains (losses) for</w:t>
            </w:r>
          </w:p>
        </w:tc>
        <w:tc>
          <w:tcPr>
            <w:tcW w:w="100" w:type="dxa"/>
            <w:vAlign w:val="bottom"/>
          </w:tcPr>
          <w:p>
            <w:pPr>
              <w:spacing w:after="0"/>
              <w:rPr>
                <w:sz w:val="11"/>
                <w:szCs w:val="11"/>
                <w:color w:val="auto"/>
              </w:rPr>
            </w:pPr>
          </w:p>
        </w:tc>
        <w:tc>
          <w:tcPr>
            <w:tcW w:w="1080" w:type="dxa"/>
            <w:vAlign w:val="bottom"/>
            <w:gridSpan w:val="3"/>
          </w:tcPr>
          <w:p>
            <w:pPr>
              <w:jc w:val="center"/>
              <w:ind w:right="200"/>
              <w:spacing w:after="0" w:line="135" w:lineRule="exact"/>
              <w:rPr>
                <w:sz w:val="20"/>
                <w:szCs w:val="20"/>
                <w:color w:val="auto"/>
              </w:rPr>
            </w:pPr>
            <w:r>
              <w:rPr>
                <w:rFonts w:ascii="Times New Roman" w:cs="Times New Roman" w:eastAsia="Times New Roman" w:hAnsi="Times New Roman"/>
                <w:sz w:val="14"/>
                <w:szCs w:val="14"/>
                <w:b w:val="1"/>
                <w:bCs w:val="1"/>
                <w:color w:val="auto"/>
                <w:w w:val="99"/>
              </w:rPr>
              <w:t>policy reserves</w:t>
            </w:r>
          </w:p>
        </w:tc>
        <w:tc>
          <w:tcPr>
            <w:tcW w:w="10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w w:val="99"/>
              </w:rPr>
              <w:t>policy reserves</w:t>
            </w:r>
          </w:p>
        </w:tc>
        <w:tc>
          <w:tcPr>
            <w:tcW w:w="0" w:type="dxa"/>
            <w:vAlign w:val="bottom"/>
          </w:tcPr>
          <w:p>
            <w:pPr>
              <w:spacing w:after="0"/>
              <w:rPr>
                <w:sz w:val="1"/>
                <w:szCs w:val="1"/>
                <w:color w:val="auto"/>
              </w:rPr>
            </w:pPr>
          </w:p>
        </w:tc>
      </w:tr>
      <w:tr>
        <w:trPr>
          <w:trHeight w:val="186"/>
        </w:trPr>
        <w:tc>
          <w:tcPr>
            <w:tcW w:w="2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hedged item</w:t>
            </w:r>
          </w:p>
        </w:tc>
        <w:tc>
          <w:tcPr>
            <w:tcW w:w="80" w:type="dxa"/>
            <w:vAlign w:val="bottom"/>
          </w:tcPr>
          <w:p>
            <w:pPr>
              <w:spacing w:after="0"/>
              <w:rPr>
                <w:sz w:val="16"/>
                <w:szCs w:val="16"/>
                <w:color w:val="auto"/>
              </w:rPr>
            </w:pPr>
          </w:p>
        </w:tc>
        <w:tc>
          <w:tcPr>
            <w:tcW w:w="108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 derivatives</w:t>
            </w:r>
          </w:p>
        </w:tc>
        <w:tc>
          <w:tcPr>
            <w:tcW w:w="11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for hedged item</w:t>
            </w:r>
          </w:p>
        </w:tc>
        <w:tc>
          <w:tcPr>
            <w:tcW w:w="100" w:type="dxa"/>
            <w:vAlign w:val="bottom"/>
          </w:tcPr>
          <w:p>
            <w:pPr>
              <w:spacing w:after="0"/>
              <w:rPr>
                <w:sz w:val="16"/>
                <w:szCs w:val="16"/>
                <w:color w:val="auto"/>
              </w:rPr>
            </w:pPr>
          </w:p>
        </w:tc>
        <w:tc>
          <w:tcPr>
            <w:tcW w:w="940" w:type="dxa"/>
            <w:vAlign w:val="bottom"/>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hedged item</w:t>
            </w:r>
          </w:p>
        </w:tc>
        <w:tc>
          <w:tcPr>
            <w:tcW w:w="100" w:type="dxa"/>
            <w:vAlign w:val="bottom"/>
          </w:tcPr>
          <w:p>
            <w:pPr>
              <w:spacing w:after="0"/>
              <w:rPr>
                <w:sz w:val="16"/>
                <w:szCs w:val="16"/>
                <w:color w:val="auto"/>
              </w:rPr>
            </w:pPr>
          </w:p>
        </w:tc>
        <w:tc>
          <w:tcPr>
            <w:tcW w:w="108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 derivatives</w:t>
            </w: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for hedged item</w:t>
            </w:r>
          </w:p>
        </w:tc>
        <w:tc>
          <w:tcPr>
            <w:tcW w:w="0" w:type="dxa"/>
            <w:vAlign w:val="bottom"/>
          </w:tcPr>
          <w:p>
            <w:pPr>
              <w:spacing w:after="0"/>
              <w:rPr>
                <w:sz w:val="1"/>
                <w:szCs w:val="1"/>
                <w:color w:val="auto"/>
              </w:rPr>
            </w:pPr>
          </w:p>
        </w:tc>
      </w:tr>
      <w:tr>
        <w:trPr>
          <w:trHeight w:val="24"/>
        </w:trPr>
        <w:tc>
          <w:tcPr>
            <w:tcW w:w="20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4"/>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2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gridSpan w:val="4"/>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0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designated as hedging instruments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gridSpan w:val="3"/>
          </w:tcPr>
          <w:p>
            <w:pPr>
              <w:spacing w:after="0"/>
              <w:rPr>
                <w:sz w:val="2"/>
                <w:szCs w:val="2"/>
                <w:color w:val="auto"/>
              </w:rPr>
            </w:pPr>
          </w:p>
        </w:tc>
        <w:tc>
          <w:tcPr>
            <w:tcW w:w="10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gridSpan w:val="3"/>
          </w:tcPr>
          <w:p>
            <w:pPr>
              <w:spacing w:after="0"/>
              <w:rPr>
                <w:sz w:val="2"/>
                <w:szCs w:val="2"/>
                <w:color w:val="auto"/>
              </w:rPr>
            </w:pPr>
          </w:p>
        </w:tc>
        <w:tc>
          <w:tcPr>
            <w:tcW w:w="10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swaps</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88"/>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swaps</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3"/>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20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2040" w:type="dxa"/>
            <w:vAlign w:val="bottom"/>
            <w:shd w:val="clear" w:color="auto" w:fill="CCEEFF"/>
          </w:tcPr>
          <w:p>
            <w:pPr>
              <w:ind w:left="100"/>
              <w:spacing w:after="0" w:line="126" w:lineRule="exact"/>
              <w:rPr>
                <w:sz w:val="20"/>
                <w:szCs w:val="20"/>
                <w:color w:val="auto"/>
              </w:rPr>
            </w:pPr>
            <w:r>
              <w:rPr>
                <w:rFonts w:ascii="Times New Roman" w:cs="Times New Roman" w:eastAsia="Times New Roman" w:hAnsi="Times New Roman"/>
                <w:sz w:val="14"/>
                <w:szCs w:val="14"/>
                <w:b w:val="1"/>
                <w:bCs w:val="1"/>
                <w:color w:val="auto"/>
              </w:rPr>
              <w:t>Total derivatives designated as</w:t>
            </w:r>
          </w:p>
        </w:tc>
        <w:tc>
          <w:tcPr>
            <w:tcW w:w="120" w:type="dxa"/>
            <w:vAlign w:val="bottom"/>
            <w:shd w:val="clear" w:color="auto" w:fill="CCEEFF"/>
          </w:tcPr>
          <w:p>
            <w:pPr>
              <w:spacing w:after="0"/>
              <w:rPr>
                <w:sz w:val="10"/>
                <w:szCs w:val="10"/>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92"/>
        </w:trPr>
        <w:tc>
          <w:tcPr>
            <w:tcW w:w="2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hedging instruments</w:t>
            </w:r>
          </w:p>
        </w:tc>
        <w:tc>
          <w:tcPr>
            <w:tcW w:w="12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vMerge w:val="continue"/>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vMerge w:val="continue"/>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2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30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not designated as hedging instruments</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options</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80" w:type="dxa"/>
            <w:vAlign w:val="bottom"/>
            <w:gridSpan w:val="3"/>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swaps</w:t>
            </w:r>
          </w:p>
        </w:tc>
        <w:tc>
          <w:tcPr>
            <w:tcW w:w="1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gridSpan w:val="3"/>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swaps</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80" w:type="dxa"/>
            <w:vAlign w:val="bottom"/>
            <w:gridSpan w:val="3"/>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Futures contracts</w:t>
            </w:r>
          </w:p>
        </w:tc>
        <w:tc>
          <w:tcPr>
            <w:tcW w:w="1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gridSpan w:val="3"/>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forwards</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80" w:type="dxa"/>
            <w:vAlign w:val="bottom"/>
            <w:gridSpan w:val="3"/>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embedded derivatives</w:t>
            </w:r>
          </w:p>
        </w:tc>
        <w:tc>
          <w:tcPr>
            <w:tcW w:w="1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gridSpan w:val="3"/>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6"/>
        </w:trPr>
        <w:tc>
          <w:tcPr>
            <w:tcW w:w="2040" w:type="dxa"/>
            <w:vAlign w:val="bottom"/>
          </w:tcPr>
          <w:p>
            <w:pPr>
              <w:ind w:left="20"/>
              <w:spacing w:after="0" w:line="146" w:lineRule="exact"/>
              <w:rPr>
                <w:sz w:val="20"/>
                <w:szCs w:val="20"/>
                <w:color w:val="auto"/>
              </w:rPr>
            </w:pPr>
            <w:r>
              <w:rPr>
                <w:rFonts w:ascii="Times New Roman" w:cs="Times New Roman" w:eastAsia="Times New Roman" w:hAnsi="Times New Roman"/>
                <w:sz w:val="14"/>
                <w:szCs w:val="14"/>
                <w:color w:val="auto"/>
              </w:rPr>
              <w:t>Indexed annuities/IUL embedded</w:t>
            </w:r>
          </w:p>
        </w:tc>
        <w:tc>
          <w:tcPr>
            <w:tcW w:w="12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(521)</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derivatives</w:t>
            </w:r>
          </w:p>
        </w:tc>
        <w:tc>
          <w:tcPr>
            <w:tcW w:w="1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40" w:type="dxa"/>
            <w:vAlign w:val="bottom"/>
            <w:shd w:val="clear" w:color="auto" w:fill="CCEEFF"/>
          </w:tcPr>
          <w:p>
            <w:pPr>
              <w:ind w:left="20"/>
              <w:spacing w:after="0" w:line="153" w:lineRule="exact"/>
              <w:rPr>
                <w:sz w:val="20"/>
                <w:szCs w:val="20"/>
                <w:color w:val="auto"/>
              </w:rPr>
            </w:pPr>
            <w:r>
              <w:rPr>
                <w:rFonts w:ascii="Times New Roman" w:cs="Times New Roman" w:eastAsia="Times New Roman" w:hAnsi="Times New Roman"/>
                <w:sz w:val="14"/>
                <w:szCs w:val="14"/>
                <w:color w:val="auto"/>
              </w:rPr>
              <w:t>Reinsurance related embedded</w:t>
            </w:r>
          </w:p>
        </w:tc>
        <w:tc>
          <w:tcPr>
            <w:tcW w:w="12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shd w:val="clear" w:color="auto" w:fill="CCEEFF"/>
          </w:tcPr>
          <w:p>
            <w:pPr>
              <w:spacing w:after="0"/>
              <w:rPr>
                <w:sz w:val="13"/>
                <w:szCs w:val="13"/>
                <w:color w:val="auto"/>
              </w:rPr>
            </w:pPr>
          </w:p>
        </w:tc>
        <w:tc>
          <w:tcPr>
            <w:tcW w:w="20" w:type="dxa"/>
            <w:vAlign w:val="bottom"/>
            <w:vMerge w:val="restart"/>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spacing w:after="0"/>
              <w:rPr>
                <w:sz w:val="13"/>
                <w:szCs w:val="13"/>
                <w:color w:val="auto"/>
              </w:rPr>
            </w:pPr>
          </w:p>
        </w:tc>
        <w:tc>
          <w:tcPr>
            <w:tcW w:w="20" w:type="dxa"/>
            <w:vAlign w:val="bottom"/>
            <w:vMerge w:val="restart"/>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9"/>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derivatives</w:t>
            </w: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vMerge w:val="continue"/>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vMerge w:val="continue"/>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040" w:type="dxa"/>
            <w:vAlign w:val="bottom"/>
          </w:tcPr>
          <w:p>
            <w:pPr>
              <w:ind w:left="100"/>
              <w:spacing w:after="0" w:line="126" w:lineRule="exact"/>
              <w:rPr>
                <w:sz w:val="20"/>
                <w:szCs w:val="20"/>
                <w:color w:val="auto"/>
              </w:rPr>
            </w:pPr>
            <w:r>
              <w:rPr>
                <w:rFonts w:ascii="Times New Roman" w:cs="Times New Roman" w:eastAsia="Times New Roman" w:hAnsi="Times New Roman"/>
                <w:sz w:val="14"/>
                <w:szCs w:val="14"/>
                <w:b w:val="1"/>
                <w:bCs w:val="1"/>
                <w:color w:val="auto"/>
              </w:rPr>
              <w:t>Total derivatives not designated</w:t>
            </w:r>
          </w:p>
        </w:tc>
        <w:tc>
          <w:tcPr>
            <w:tcW w:w="12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583</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(521)</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20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as hedging instruments</w:t>
            </w: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Total derivatives</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w:t>
            </w:r>
          </w:p>
        </w:tc>
        <w:tc>
          <w:tcPr>
            <w:tcW w:w="2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2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amounts are recorded in the unaudited Condensed Consolidated Balance Sheets related to the carrying amount of hedged assets and (liabilities) and the cumulative basis adjustment included in the carrying amount for fair value hedges: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700" w:type="dxa"/>
            <w:vAlign w:val="bottom"/>
            <w:gridSpan w:val="4"/>
          </w:tcPr>
          <w:p>
            <w:pPr>
              <w:ind w:left="110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360" w:type="dxa"/>
            <w:vAlign w:val="bottom"/>
          </w:tcPr>
          <w:p>
            <w:pPr>
              <w:spacing w:after="0"/>
              <w:rPr>
                <w:sz w:val="16"/>
                <w:szCs w:val="16"/>
                <w:color w:val="auto"/>
              </w:rPr>
            </w:pPr>
          </w:p>
        </w:tc>
        <w:tc>
          <w:tcPr>
            <w:tcW w:w="3500" w:type="dxa"/>
            <w:vAlign w:val="bottom"/>
            <w:gridSpan w:val="3"/>
          </w:tcPr>
          <w:p>
            <w:pPr>
              <w:jc w:val="right"/>
              <w:ind w:right="1286"/>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4"/>
        </w:trPr>
        <w:tc>
          <w:tcPr>
            <w:tcW w:w="3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3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80" w:type="dxa"/>
            <w:vAlign w:val="bottom"/>
            <w:gridSpan w:val="2"/>
          </w:tcPr>
          <w:p>
            <w:pPr>
              <w:jc w:val="center"/>
              <w:ind w:right="160"/>
              <w:spacing w:after="0" w:line="141" w:lineRule="exact"/>
              <w:rPr>
                <w:sz w:val="20"/>
                <w:szCs w:val="20"/>
                <w:color w:val="auto"/>
              </w:rPr>
            </w:pPr>
            <w:r>
              <w:rPr>
                <w:rFonts w:ascii="Times New Roman" w:cs="Times New Roman" w:eastAsia="Times New Roman" w:hAnsi="Times New Roman"/>
                <w:sz w:val="14"/>
                <w:szCs w:val="14"/>
                <w:b w:val="1"/>
                <w:bCs w:val="1"/>
                <w:color w:val="auto"/>
              </w:rPr>
              <w:t>Cumulative Amount of Fair</w:t>
            </w: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94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Cumulative Amount of Fair</w:t>
            </w:r>
          </w:p>
        </w:tc>
        <w:tc>
          <w:tcPr>
            <w:tcW w:w="0" w:type="dxa"/>
            <w:vAlign w:val="bottom"/>
          </w:tcPr>
          <w:p>
            <w:pPr>
              <w:spacing w:after="0"/>
              <w:rPr>
                <w:sz w:val="1"/>
                <w:szCs w:val="1"/>
                <w:color w:val="auto"/>
              </w:rPr>
            </w:pPr>
          </w:p>
        </w:tc>
      </w:tr>
      <w:tr>
        <w:trPr>
          <w:trHeight w:val="144"/>
        </w:trPr>
        <w:tc>
          <w:tcPr>
            <w:tcW w:w="3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80" w:type="dxa"/>
            <w:vAlign w:val="bottom"/>
            <w:gridSpan w:val="2"/>
          </w:tcPr>
          <w:p>
            <w:pPr>
              <w:jc w:val="center"/>
              <w:ind w:right="160"/>
              <w:spacing w:after="0" w:line="144" w:lineRule="exact"/>
              <w:rPr>
                <w:sz w:val="20"/>
                <w:szCs w:val="20"/>
                <w:color w:val="auto"/>
              </w:rPr>
            </w:pPr>
            <w:r>
              <w:rPr>
                <w:rFonts w:ascii="Times New Roman" w:cs="Times New Roman" w:eastAsia="Times New Roman" w:hAnsi="Times New Roman"/>
                <w:sz w:val="14"/>
                <w:szCs w:val="14"/>
                <w:b w:val="1"/>
                <w:bCs w:val="1"/>
                <w:color w:val="auto"/>
              </w:rPr>
              <w:t>Value Hedging Adjustment</w:t>
            </w: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tcPr>
          <w:p>
            <w:pPr>
              <w:jc w:val="center"/>
              <w:ind w:right="46"/>
              <w:spacing w:after="0" w:line="144" w:lineRule="exact"/>
              <w:rPr>
                <w:sz w:val="20"/>
                <w:szCs w:val="20"/>
                <w:color w:val="auto"/>
              </w:rPr>
            </w:pPr>
            <w:r>
              <w:rPr>
                <w:rFonts w:ascii="Times New Roman" w:cs="Times New Roman" w:eastAsia="Times New Roman" w:hAnsi="Times New Roman"/>
                <w:sz w:val="14"/>
                <w:szCs w:val="14"/>
                <w:b w:val="1"/>
                <w:bCs w:val="1"/>
                <w:color w:val="auto"/>
              </w:rPr>
              <w:t>Value Hedging Adjustment</w:t>
            </w:r>
          </w:p>
        </w:tc>
        <w:tc>
          <w:tcPr>
            <w:tcW w:w="0" w:type="dxa"/>
            <w:vAlign w:val="bottom"/>
          </w:tcPr>
          <w:p>
            <w:pPr>
              <w:spacing w:after="0"/>
              <w:rPr>
                <w:sz w:val="1"/>
                <w:szCs w:val="1"/>
                <w:color w:val="auto"/>
              </w:rPr>
            </w:pPr>
          </w:p>
        </w:tc>
      </w:tr>
      <w:tr>
        <w:trPr>
          <w:trHeight w:val="134"/>
        </w:trPr>
        <w:tc>
          <w:tcPr>
            <w:tcW w:w="34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Line Item in the unaudited Condensed Consolidated</w:t>
            </w:r>
          </w:p>
        </w:tc>
        <w:tc>
          <w:tcPr>
            <w:tcW w:w="1900" w:type="dxa"/>
            <w:vAlign w:val="bottom"/>
            <w:gridSpan w:val="2"/>
            <w:vMerge w:val="restart"/>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Carrying Amount of Hedged</w:t>
            </w:r>
          </w:p>
        </w:tc>
        <w:tc>
          <w:tcPr>
            <w:tcW w:w="140" w:type="dxa"/>
            <w:vAlign w:val="bottom"/>
          </w:tcPr>
          <w:p>
            <w:pPr>
              <w:spacing w:after="0"/>
              <w:rPr>
                <w:sz w:val="11"/>
                <w:szCs w:val="11"/>
                <w:color w:val="auto"/>
              </w:rPr>
            </w:pPr>
          </w:p>
        </w:tc>
        <w:tc>
          <w:tcPr>
            <w:tcW w:w="188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4"/>
                <w:szCs w:val="14"/>
                <w:b w:val="1"/>
                <w:bCs w:val="1"/>
                <w:color w:val="auto"/>
              </w:rPr>
              <w:t>included in the Carrying</w:t>
            </w:r>
          </w:p>
        </w:tc>
        <w:tc>
          <w:tcPr>
            <w:tcW w:w="19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Carrying Amount of Hedged</w:t>
            </w:r>
          </w:p>
        </w:tc>
        <w:tc>
          <w:tcPr>
            <w:tcW w:w="180" w:type="dxa"/>
            <w:vAlign w:val="bottom"/>
          </w:tcPr>
          <w:p>
            <w:pPr>
              <w:spacing w:after="0"/>
              <w:rPr>
                <w:sz w:val="11"/>
                <w:szCs w:val="11"/>
                <w:color w:val="auto"/>
              </w:rPr>
            </w:pPr>
          </w:p>
        </w:tc>
        <w:tc>
          <w:tcPr>
            <w:tcW w:w="1760" w:type="dxa"/>
            <w:vAlign w:val="bottom"/>
          </w:tcPr>
          <w:p>
            <w:pPr>
              <w:jc w:val="center"/>
              <w:ind w:right="46"/>
              <w:spacing w:after="0" w:line="135" w:lineRule="exact"/>
              <w:rPr>
                <w:sz w:val="20"/>
                <w:szCs w:val="20"/>
                <w:color w:val="auto"/>
              </w:rPr>
            </w:pPr>
            <w:r>
              <w:rPr>
                <w:rFonts w:ascii="Times New Roman" w:cs="Times New Roman" w:eastAsia="Times New Roman" w:hAnsi="Times New Roman"/>
                <w:sz w:val="14"/>
                <w:szCs w:val="14"/>
                <w:b w:val="1"/>
                <w:bCs w:val="1"/>
                <w:color w:val="auto"/>
              </w:rPr>
              <w:t>included in the Carrying</w:t>
            </w:r>
          </w:p>
        </w:tc>
        <w:tc>
          <w:tcPr>
            <w:tcW w:w="0" w:type="dxa"/>
            <w:vAlign w:val="bottom"/>
          </w:tcPr>
          <w:p>
            <w:pPr>
              <w:spacing w:after="0"/>
              <w:rPr>
                <w:sz w:val="1"/>
                <w:szCs w:val="1"/>
                <w:color w:val="auto"/>
              </w:rPr>
            </w:pPr>
          </w:p>
        </w:tc>
      </w:tr>
      <w:tr>
        <w:trPr>
          <w:trHeight w:val="146"/>
        </w:trPr>
        <w:tc>
          <w:tcPr>
            <w:tcW w:w="3460" w:type="dxa"/>
            <w:vAlign w:val="bottom"/>
            <w:gridSpan w:val="2"/>
            <w:vMerge w:val="continue"/>
          </w:tcPr>
          <w:p>
            <w:pPr>
              <w:spacing w:after="0"/>
              <w:rPr>
                <w:sz w:val="12"/>
                <w:szCs w:val="12"/>
                <w:color w:val="auto"/>
              </w:rPr>
            </w:pPr>
          </w:p>
        </w:tc>
        <w:tc>
          <w:tcPr>
            <w:tcW w:w="1900" w:type="dxa"/>
            <w:vAlign w:val="bottom"/>
            <w:gridSpan w:val="2"/>
            <w:vMerge w:val="continue"/>
          </w:tcPr>
          <w:p>
            <w:pPr>
              <w:spacing w:after="0"/>
              <w:rPr>
                <w:sz w:val="12"/>
                <w:szCs w:val="12"/>
                <w:color w:val="auto"/>
              </w:rPr>
            </w:pPr>
          </w:p>
        </w:tc>
        <w:tc>
          <w:tcPr>
            <w:tcW w:w="2020" w:type="dxa"/>
            <w:vAlign w:val="bottom"/>
            <w:gridSpan w:val="3"/>
          </w:tcPr>
          <w:p>
            <w:pPr>
              <w:jc w:val="center"/>
              <w:ind w:right="40"/>
              <w:spacing w:after="0" w:line="146" w:lineRule="exact"/>
              <w:rPr>
                <w:sz w:val="20"/>
                <w:szCs w:val="20"/>
                <w:color w:val="auto"/>
              </w:rPr>
            </w:pPr>
            <w:r>
              <w:rPr>
                <w:rFonts w:ascii="Times New Roman" w:cs="Times New Roman" w:eastAsia="Times New Roman" w:hAnsi="Times New Roman"/>
                <w:sz w:val="14"/>
                <w:szCs w:val="14"/>
                <w:b w:val="1"/>
                <w:bCs w:val="1"/>
                <w:color w:val="auto"/>
              </w:rPr>
              <w:t>Amount of the Hedged Assets</w:t>
            </w:r>
          </w:p>
        </w:tc>
        <w:tc>
          <w:tcPr>
            <w:tcW w:w="1920" w:type="dxa"/>
            <w:vAlign w:val="bottom"/>
            <w:gridSpan w:val="2"/>
            <w:vMerge w:val="continue"/>
          </w:tcPr>
          <w:p>
            <w:pPr>
              <w:spacing w:after="0"/>
              <w:rPr>
                <w:sz w:val="12"/>
                <w:szCs w:val="12"/>
                <w:color w:val="auto"/>
              </w:rPr>
            </w:pPr>
          </w:p>
        </w:tc>
        <w:tc>
          <w:tcPr>
            <w:tcW w:w="1940" w:type="dxa"/>
            <w:vAlign w:val="bottom"/>
            <w:gridSpan w:val="2"/>
          </w:tcPr>
          <w:p>
            <w:pPr>
              <w:jc w:val="center"/>
              <w:ind w:left="3"/>
              <w:spacing w:after="0" w:line="146" w:lineRule="exact"/>
              <w:rPr>
                <w:sz w:val="20"/>
                <w:szCs w:val="20"/>
                <w:color w:val="auto"/>
              </w:rPr>
            </w:pPr>
            <w:r>
              <w:rPr>
                <w:rFonts w:ascii="Times New Roman" w:cs="Times New Roman" w:eastAsia="Times New Roman" w:hAnsi="Times New Roman"/>
                <w:sz w:val="14"/>
                <w:szCs w:val="14"/>
                <w:b w:val="1"/>
                <w:bCs w:val="1"/>
                <w:color w:val="auto"/>
              </w:rPr>
              <w:t>Amount of the Hedged Assets</w:t>
            </w:r>
          </w:p>
        </w:tc>
        <w:tc>
          <w:tcPr>
            <w:tcW w:w="0" w:type="dxa"/>
            <w:vAlign w:val="bottom"/>
          </w:tcPr>
          <w:p>
            <w:pPr>
              <w:spacing w:after="0"/>
              <w:rPr>
                <w:sz w:val="1"/>
                <w:szCs w:val="1"/>
                <w:color w:val="auto"/>
              </w:rPr>
            </w:pPr>
          </w:p>
        </w:tc>
      </w:tr>
      <w:tr>
        <w:trPr>
          <w:trHeight w:val="191"/>
        </w:trPr>
        <w:tc>
          <w:tcPr>
            <w:tcW w:w="3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Balance Sheets that includes hedged item</w:t>
            </w:r>
          </w:p>
        </w:tc>
        <w:tc>
          <w:tcPr>
            <w:tcW w:w="220" w:type="dxa"/>
            <w:vAlign w:val="bottom"/>
          </w:tcPr>
          <w:p>
            <w:pPr>
              <w:spacing w:after="0"/>
              <w:rPr>
                <w:sz w:val="16"/>
                <w:szCs w:val="16"/>
                <w:color w:val="auto"/>
              </w:rPr>
            </w:pPr>
          </w:p>
        </w:tc>
        <w:tc>
          <w:tcPr>
            <w:tcW w:w="168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Assets (Liabilities)</w:t>
            </w:r>
          </w:p>
        </w:tc>
        <w:tc>
          <w:tcPr>
            <w:tcW w:w="140" w:type="dxa"/>
            <w:vAlign w:val="bottom"/>
          </w:tcPr>
          <w:p>
            <w:pPr>
              <w:spacing w:after="0"/>
              <w:rPr>
                <w:sz w:val="16"/>
                <w:szCs w:val="16"/>
                <w:color w:val="auto"/>
              </w:rPr>
            </w:pPr>
          </w:p>
        </w:tc>
        <w:tc>
          <w:tcPr>
            <w:tcW w:w="18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360" w:type="dxa"/>
            <w:vAlign w:val="bottom"/>
          </w:tcPr>
          <w:p>
            <w:pPr>
              <w:spacing w:after="0"/>
              <w:rPr>
                <w:sz w:val="16"/>
                <w:szCs w:val="16"/>
                <w:color w:val="auto"/>
              </w:rPr>
            </w:pPr>
          </w:p>
        </w:tc>
        <w:tc>
          <w:tcPr>
            <w:tcW w:w="1560" w:type="dxa"/>
            <w:vAlign w:val="bottom"/>
          </w:tcPr>
          <w:p>
            <w:pPr>
              <w:jc w:val="center"/>
              <w:ind w:right="309"/>
              <w:spacing w:after="0"/>
              <w:rPr>
                <w:sz w:val="20"/>
                <w:szCs w:val="20"/>
                <w:color w:val="auto"/>
              </w:rPr>
            </w:pPr>
            <w:r>
              <w:rPr>
                <w:rFonts w:ascii="Times New Roman" w:cs="Times New Roman" w:eastAsia="Times New Roman" w:hAnsi="Times New Roman"/>
                <w:sz w:val="14"/>
                <w:szCs w:val="14"/>
                <w:b w:val="1"/>
                <w:bCs w:val="1"/>
                <w:color w:val="auto"/>
                <w:w w:val="99"/>
              </w:rPr>
              <w:t>Assets (Liabilities)</w:t>
            </w:r>
          </w:p>
        </w:tc>
        <w:tc>
          <w:tcPr>
            <w:tcW w:w="180" w:type="dxa"/>
            <w:vAlign w:val="bottom"/>
          </w:tcPr>
          <w:p>
            <w:pPr>
              <w:spacing w:after="0"/>
              <w:rPr>
                <w:sz w:val="16"/>
                <w:szCs w:val="16"/>
                <w:color w:val="auto"/>
              </w:rPr>
            </w:pPr>
          </w:p>
        </w:tc>
        <w:tc>
          <w:tcPr>
            <w:tcW w:w="1760" w:type="dxa"/>
            <w:vAlign w:val="bottom"/>
          </w:tcPr>
          <w:p>
            <w:pPr>
              <w:jc w:val="center"/>
              <w:ind w:right="26"/>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0" w:type="dxa"/>
            <w:vAlign w:val="bottom"/>
          </w:tcPr>
          <w:p>
            <w:pPr>
              <w:spacing w:after="0"/>
              <w:rPr>
                <w:sz w:val="1"/>
                <w:szCs w:val="1"/>
                <w:color w:val="auto"/>
              </w:rPr>
            </w:pPr>
          </w:p>
        </w:tc>
      </w:tr>
      <w:tr>
        <w:trPr>
          <w:trHeight w:val="186"/>
        </w:trPr>
        <w:tc>
          <w:tcPr>
            <w:tcW w:w="33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240" w:type="dxa"/>
            <w:vAlign w:val="bottom"/>
            <w:tcBorders>
              <w:top w:val="single" w:sz="8" w:color="auto"/>
            </w:tcBorders>
            <w:gridSpan w:val="3"/>
          </w:tcPr>
          <w:p>
            <w:pPr>
              <w:ind w:left="14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5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7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3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Fixed maturity securities, AFS, at amortized cost</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80" w:type="dxa"/>
            <w:vAlign w:val="bottom"/>
            <w:gridSpan w:val="2"/>
            <w:shd w:val="clear" w:color="auto" w:fill="CCEEFF"/>
          </w:tcPr>
          <w:p>
            <w:pPr>
              <w:ind w:left="160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8"/>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Contractholder funds</w:t>
            </w:r>
          </w:p>
        </w:tc>
        <w:tc>
          <w:tcPr>
            <w:tcW w:w="22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(1,638)</w:t>
            </w:r>
          </w:p>
        </w:tc>
        <w:tc>
          <w:tcPr>
            <w:tcW w:w="140" w:type="dxa"/>
            <w:vAlign w:val="bottom"/>
          </w:tcPr>
          <w:p>
            <w:pPr>
              <w:spacing w:after="0"/>
              <w:rPr>
                <w:sz w:val="16"/>
                <w:szCs w:val="16"/>
                <w:color w:val="auto"/>
              </w:rPr>
            </w:pPr>
          </w:p>
        </w:tc>
        <w:tc>
          <w:tcPr>
            <w:tcW w:w="1800" w:type="dxa"/>
            <w:vAlign w:val="bottom"/>
          </w:tcPr>
          <w:p>
            <w:pPr>
              <w:ind w:left="1600"/>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(862)</w:t>
            </w:r>
          </w:p>
        </w:tc>
        <w:tc>
          <w:tcPr>
            <w:tcW w:w="18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bl>
    <w:p>
      <w:pPr>
        <w:spacing w:after="0" w:line="20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For the three and nine months ended September 30, 2026 and 2025, the derivative instruments’ gains (losses), net excluded from the assessment of hedge effectiveness was immaterial.</w:t>
      </w:r>
    </w:p>
    <w:p>
      <w:pPr>
        <w:spacing w:after="0" w:line="5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During the first quarter of 2026, the foreign currency swap designated as a fair value hedge of foreign fixed maturity AFS securities matured and fair value hedge accounting was discontinued. There were no significant impacts associated with the discontinuation and no cumulative fair value hedging adjustments remained as of September 30, 2026. There were no cumulative fair value hedging adjustments for hedged assets and liabilities for which hedge accounting was discontinued as of December 31, 2025.</w:t>
      </w:r>
    </w:p>
    <w:p>
      <w:pPr>
        <w:spacing w:after="0" w:line="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Derivatives designated as hedging instruments</w:t>
      </w:r>
    </w:p>
    <w:p>
      <w:pPr>
        <w:spacing w:after="0" w:line="11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utilize interest rate swaps and foreign currency swaps that are designated and accounted for as fair value hedges to reduce interest rate risk for certain funding agreements and to reduce the risk of certain exposures to foreign currency risk for foreign AFS fixed maturity securities. For fair value hedges of funding agreements, changes in fair value are reported in Benefits and other changes in policy reserves. For fair value hedges of AFS fixed maturity securities, changes in fair value included in the assessment of effectiveness are reported in Recognized gains and losses, net in the unaudited Condensed Consolidated Statements of Earnings. The change in the fair value of components excluded from the assessment of hedge effectiveness is recorded in OCI and is recognized in net income through periodic settlements.</w:t>
      </w:r>
    </w:p>
    <w:p>
      <w:pPr>
        <w:spacing w:after="0" w:line="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Derivatives not designated as hedging instruments</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Indexed Annuities/IUL Embedded Derivative, Equity Options and Futures</w:t>
      </w:r>
    </w:p>
    <w:p>
      <w:pPr>
        <w:spacing w:after="0" w:line="113"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have indexed annuities and IUL contracts that permit the holder to elect an interest rate return or an equity index linked component, where interest credited to the contracts is linked to the performance of various equity indices, such as the S&amp;P 500 Index. This feature represents an embedded derivative under GAAP. The indexed annuities/IUL embedded derivatives are valued at fair value and included in the liability for Contractholder funds in the unaudited Condensed Consolidated Balance Sheets with the ceded portion of the reinsured indexed crediting feature embedded derivatives, recorded as a component of the Reinsurance recoverable in the unaudited Condensed Consolidated Balance Sheets. Changes in fair value are included as a component of Benefits and other changes in policy reserves in the unaudited Condensed Consolidated Statements of Earnings.</w:t>
      </w:r>
    </w:p>
    <w:p>
      <w:pPr>
        <w:spacing w:after="0" w:line="79"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We purchase derivatives consisting of a combination of equity options and futures contracts (specifically for indexed annuity contracts) on the applicable market indices to fund the index credits due to indexed annuity/IUL contractholders. The equity options are one, two, three, five and six year options purchased to match the funding requirements of the underlying policies. On the respective anniversary dates of the indexed policies, the index used to compute the interest credit is reset and we purchase new equity options to fund the next index credit. We manage the cost of these purchases through the terms of our indexed annuities/IUL contracts, which permit us to change caps, spreads or participation rates, subject to guaranteed minimums, on each contract’s anniversary date. The change in the fair value of the equity options and futures contracts is generally designed to offset the portion of the change in the fair value of the indexed annuities/IUL embedded derivatives related to index performance through the current credit period. The equity options and futures contracts are marked to fair value with the change in fair value included as a component of Recognized gains and losses, net, in the unaudited Condensed Consolidated Statements of Earnings. The change in fair value of the equity options and futures contracts includes the gains and losses recognized at the expiration of the instrument term or upon early termination and the changes in fair value of open positions.</w:t>
      </w:r>
    </w:p>
    <w:p>
      <w:pPr>
        <w:spacing w:after="0" w:line="8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Other market exposures are hedged periodically depending on market conditions and our risk tolerance. Our indexed annuities/IUL hedging strategy economically hedges the equity returns and exposes us to the risk that unhedged market exposures result in divergence between changes in the fair value of the liabilities and the hedging assets. We use a variety of</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techniques, including direct estimation of market sensitivities, to monitor this risk daily. We intend to continue to adjust the hedging strategy as market conditions and our risk tolerance changes.</w:t>
      </w:r>
    </w:p>
    <w:p>
      <w:pPr>
        <w:spacing w:after="0" w:line="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Interest Rate Swaps</w:t>
      </w:r>
    </w:p>
    <w:p>
      <w:pPr>
        <w:spacing w:after="0" w:line="11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utilize interest rate swaps to reduce market risks from interest rate changes on our earnings associated with our floating rate investments. With an interest rate swap, we agree with another party to exchange, at specified intervals, the difference between fixed-rate and floating-rate interest amounts tied to an agreed upon notional principal.</w:t>
      </w:r>
    </w:p>
    <w:p>
      <w:pPr>
        <w:spacing w:after="0" w:line="7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interest rate swaps are marked to fair value with the change in fair value, including accrued interest and related periodic cash flows received or paid, included as a component of Recognized gains and losses, net, in the unaudited Condensed Consolidated Statements of Earnings.</w:t>
      </w:r>
    </w:p>
    <w:p>
      <w:pPr>
        <w:spacing w:after="0" w:line="4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Foreign Currency Swaps and Forwards</w:t>
      </w:r>
    </w:p>
    <w:p>
      <w:pPr>
        <w:spacing w:after="0" w:line="10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utilize foreign currency swaps and foreign currency forwards to reduce market risks from fluctuations in foreign exchange rates that impact earnings associated with our foreign currency denominated investments. Through a foreign currency swap, we agree with another party to exchange, at specified intervals, principal and interest payments in one currency for principal and interest payments in another currency, based on an agreed-upon notional amount. Foreign currency forwards are contracts to exchange one currency for another at a specified exchange rate on a future date.</w:t>
      </w:r>
    </w:p>
    <w:p>
      <w:pPr>
        <w:spacing w:after="0" w:line="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The foreign currency swaps and foreign currency forwards are marked to fair value, with changes in fair value included as a component of Recognized gains and losses, net, in the unaudited Condensed Consolidated Statements of Earnings, with changes for swaps including accrued interest and related periodic cash flows received or paid.</w:t>
      </w:r>
    </w:p>
    <w:p>
      <w:pPr>
        <w:spacing w:after="0" w:line="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Reinsurance Related Embedded Derivatives</w:t>
      </w:r>
    </w:p>
    <w:p>
      <w:pPr>
        <w:spacing w:after="0" w:line="113"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F&amp;G cedes certain business on a coinsurance funds withheld basis. Investment results for the assets that support the coinsurance are segregated within the funds withheld account and are passed directly to the reinsurer pursuant to the contractual terms of the reinsurance agreement, which creates embedded derivatives considered to be total return swaps. These total return swaps are not clearly and closely related to the underlying reinsurance agreement and thus require bifurcation. For arrangements reinsuring indexed annuities products, the funds withheld account additionally contains an embedded derivative representing the index credit obligation due the reinsurer, resulting in a compound embedded derivative. These embedded derivatives are reported in Funds withheld for reinsurance liabilities, irrespective if in a net asset position or a net liability position, on the unaudited Condensed Consolidated Balance Sheets.</w:t>
      </w:r>
    </w:p>
    <w:p>
      <w:pPr>
        <w:spacing w:after="0" w:line="6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F&amp;G also cedes certain business on a coinsurance basis. For arrangements reinsuring indexed annuities products, the embedded derivative representing the index credit obligation due the reinsurer are reported in Accounts payable and accrued liabilities, irrespective if in a net asset position or a net liability position, on the unaudited Condensed Consolidated Balance Sheets.</w:t>
      </w:r>
    </w:p>
    <w:p>
      <w:pPr>
        <w:spacing w:after="0" w:line="72" w:lineRule="exact"/>
        <w:rPr>
          <w:sz w:val="20"/>
          <w:szCs w:val="20"/>
          <w:color w:val="auto"/>
        </w:rPr>
      </w:pPr>
    </w:p>
    <w:p>
      <w:pPr>
        <w:ind w:left="320" w:right="800"/>
        <w:spacing w:after="0" w:line="368" w:lineRule="auto"/>
        <w:rPr>
          <w:sz w:val="20"/>
          <w:szCs w:val="20"/>
          <w:color w:val="auto"/>
        </w:rPr>
      </w:pPr>
      <w:r>
        <w:rPr>
          <w:rFonts w:ascii="Times New Roman" w:cs="Times New Roman" w:eastAsia="Times New Roman" w:hAnsi="Times New Roman"/>
          <w:sz w:val="18"/>
          <w:szCs w:val="18"/>
          <w:color w:val="auto"/>
        </w:rPr>
        <w:t xml:space="preserve">The related gains or losses are reported in Recognized gains and losses, net, on the unaudited Condensed Consolidated Statements of Earnings. </w:t>
      </w:r>
      <w:r>
        <w:rPr>
          <w:rFonts w:ascii="Times New Roman" w:cs="Times New Roman" w:eastAsia="Times New Roman" w:hAnsi="Times New Roman"/>
          <w:sz w:val="18"/>
          <w:szCs w:val="18"/>
          <w:i w:val="1"/>
          <w:iCs w:val="1"/>
          <w:color w:val="auto"/>
        </w:rPr>
        <w:t>Credit Risk</w:t>
      </w:r>
    </w:p>
    <w:p>
      <w:pPr>
        <w:spacing w:after="0" w:line="1"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We are exposed to credit loss in the event of non-performance by our counterparties and reflect assumptions regarding this non-performance risk in the fair value of our derivatives. The non-performance risk is the net counterparty exposure based on the fair value of the open contracts less collateral held. We maintain a policy of requiring all derivative contracts to be governed by an International Swaps and Derivatives Association (“ISDA”) Master Agreement.</w:t>
      </w:r>
    </w:p>
    <w:p>
      <w:pPr>
        <w:spacing w:after="0" w:line="5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manage credit risk related to non-performance by our counterparties by (i) entering into derivative transactions with creditworthy counterparties; (ii) obtaining collateral, such as cash and securities when appropriate; and (iii) establishing counterparty exposure limits, which are subject to periodic management review.</w:t>
      </w:r>
    </w:p>
    <w:p>
      <w:pPr>
        <w:spacing w:after="0" w:line="7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Net credit risk at any balance sheet date may reflect the timing of collateral settlements, as collateral calls issued or received near the balance sheet date may not be fully reflected in collateral balances until the subsequent settlement date. Information regarding our exposure to credit loss on the derivative instruments we hold, excluding futures contracts, is presented below:</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0" w:type="dxa"/>
            <w:vAlign w:val="bottom"/>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Collateral</w:t>
            </w:r>
          </w:p>
        </w:tc>
        <w:tc>
          <w:tcPr>
            <w:tcW w:w="280" w:type="dxa"/>
            <w:vAlign w:val="bottom"/>
          </w:tcPr>
          <w:p>
            <w:pPr>
              <w:spacing w:after="0"/>
              <w:rPr>
                <w:sz w:val="16"/>
                <w:szCs w:val="16"/>
                <w:color w:val="auto"/>
              </w:rPr>
            </w:pPr>
          </w:p>
        </w:tc>
        <w:tc>
          <w:tcPr>
            <w:tcW w:w="1420" w:type="dxa"/>
            <w:vAlign w:val="bottom"/>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Net Credit Risk</w:t>
            </w:r>
          </w:p>
        </w:tc>
      </w:tr>
      <w:tr>
        <w:trPr>
          <w:trHeight w:val="24"/>
        </w:trPr>
        <w:tc>
          <w:tcPr>
            <w:tcW w:w="61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86"/>
        </w:trPr>
        <w:tc>
          <w:tcPr>
            <w:tcW w:w="6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0" w:type="dxa"/>
            <w:vAlign w:val="bottom"/>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98"/>
        </w:trPr>
        <w:tc>
          <w:tcPr>
            <w:tcW w:w="6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September 30, 2026</w:t>
            </w:r>
          </w:p>
        </w:tc>
        <w:tc>
          <w:tcPr>
            <w:tcW w:w="1200" w:type="dxa"/>
            <w:vAlign w:val="bottom"/>
            <w:tcBorders>
              <w:bottom w:val="single" w:sz="8" w:color="CCEEFF"/>
            </w:tcBorders>
            <w:shd w:val="clear" w:color="auto" w:fill="CCEEFF"/>
          </w:tcPr>
          <w:p>
            <w:pPr>
              <w:jc w:val="right"/>
              <w:ind w:right="1029"/>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828</w:t>
            </w:r>
          </w:p>
        </w:tc>
        <w:tc>
          <w:tcPr>
            <w:tcW w:w="34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851</w:t>
            </w:r>
          </w:p>
        </w:tc>
        <w:tc>
          <w:tcPr>
            <w:tcW w:w="28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188"/>
        </w:trPr>
        <w:tc>
          <w:tcPr>
            <w:tcW w:w="6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2025</w:t>
            </w:r>
          </w:p>
        </w:tc>
        <w:tc>
          <w:tcPr>
            <w:tcW w:w="1200" w:type="dxa"/>
            <w:vAlign w:val="bottom"/>
          </w:tcPr>
          <w:p>
            <w:pPr>
              <w:spacing w:after="0"/>
              <w:rPr>
                <w:sz w:val="16"/>
                <w:szCs w:val="16"/>
                <w:color w:val="auto"/>
              </w:rPr>
            </w:pPr>
          </w:p>
        </w:tc>
        <w:tc>
          <w:tcPr>
            <w:tcW w:w="4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1,137</w:t>
            </w:r>
          </w:p>
        </w:tc>
        <w:tc>
          <w:tcPr>
            <w:tcW w:w="340" w:type="dxa"/>
            <w:vAlign w:val="bottom"/>
          </w:tcPr>
          <w:p>
            <w:pPr>
              <w:spacing w:after="0"/>
              <w:rPr>
                <w:sz w:val="16"/>
                <w:szCs w:val="16"/>
                <w:color w:val="auto"/>
              </w:rPr>
            </w:pPr>
          </w:p>
        </w:tc>
        <w:tc>
          <w:tcPr>
            <w:tcW w:w="14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1,185</w:t>
            </w:r>
          </w:p>
        </w:tc>
        <w:tc>
          <w:tcPr>
            <w:tcW w:w="2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Collateral Agreements</w:t>
      </w:r>
    </w:p>
    <w:p>
      <w:pPr>
        <w:spacing w:after="0" w:line="113"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We are required to maintain minimum ratings as a matter of routine practice as part of our over-the-counter derivative agreements on ISDA forms. Under some ISDA agreements, we have agreed to maintain certain financial strength ratings. A downgrade below these levels provides the counterparty under the agreement the right to terminate the open derivative contracts between the parties, at which time any amounts payable by us or the counterparty would be dependent on the market value of the underlying contracts. Our current rating does not allow any counterparty the right to terminate ISDA agreements. In certain transactions, both us and the counterparty have entered into a collateral support agreement requiring either party to post collateral when the net exposures exceed pre-determined thresholds. For all counterparties, except one, the threshold is set to zero. As of September 30, 2026 and December 31, 2025 counterparties posted collateral of $851 million and $1,185 million, respectively. This included cash collateral of $586 million and $928 million, respectively, for which we record an associated payable included in Accounts payable and accrued liabilities on the unaudited Condensed Consolidated Balance Sheets. Cash collateral received is not legally segregated and may be used by the Company in the normal course of business. The Company is obligated to return an equivalent amount of collateral upon settlement or termination of the related derivative contracts, or otherwise in accordance with the collateral provisions of such agreements, including in circumstances where changes in market conditions cause the Company’s mark-to-market position to decline. The remaining collateral represents securities collateral received that is not reported on the unaudited Condensed Consolidated Balance Sheets. Accordingly, the maximum amount of loss due to credit risk that we would incur if parties to the derivatives failed completely to perform according to the terms of the contracts, after giving effect to cash and securities collateral held, was $37 million and $34 million as of September 30, 2026 and December 31, 2025, respectively. As of September 30, 2026 and December 31, 2025, cash collateral pledged by the Company was $27 million and $0 million, respectively, and is recorded as a receivable for the right to reclaim such collateral, included in Prepaid expenses and other assets on the unaudited Condensed Consolidated Balance Sheets, separate from the payable described above for cash collateral received.</w:t>
      </w:r>
    </w:p>
    <w:p>
      <w:pPr>
        <w:spacing w:after="0" w:line="8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are required to pay our counterparties the effective federal funds interest rate each day for cash collateral posted to us. Cash collateral is reinvested in overnight investment sweep products, which are included in Cash and cash equivalents on the unaudited Condensed Consolidated Balance Sheets, to reduce the interest cost. Changes in cash collateral are included in the Change in derivative collateral in the unaudited Condensed Consolidated Statements of Cash Flows.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F — Commitments and Contingencies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and Regulatory Contingencies</w:t>
      </w:r>
    </w:p>
    <w:p>
      <w:pPr>
        <w:spacing w:after="0" w:line="11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 xml:space="preserve">In the ordinary course of business, we are involved in various pending and threatened litigation matters related to our operations, some of which include claims for punitive or exemplary damages. With respect to our title insurance operations, this customary litigation includes but is not limited to a wide variety of cases arising out of or related to title and escrow claims, for which we make provisions through our loss reserves. See Note B </w:t>
      </w:r>
      <w:r>
        <w:rPr>
          <w:rFonts w:ascii="Times New Roman" w:cs="Times New Roman" w:eastAsia="Times New Roman" w:hAnsi="Times New Roman"/>
          <w:sz w:val="18"/>
          <w:szCs w:val="18"/>
          <w:i w:val="1"/>
          <w:iCs w:val="1"/>
          <w:color w:val="auto"/>
        </w:rPr>
        <w:t>Summary of Reserve for Title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Claim Losses </w:t>
      </w:r>
      <w:r>
        <w:rPr>
          <w:rFonts w:ascii="Times New Roman" w:cs="Times New Roman" w:eastAsia="Times New Roman" w:hAnsi="Times New Roman"/>
          <w:sz w:val="18"/>
          <w:szCs w:val="18"/>
          <w:color w:val="auto"/>
        </w:rPr>
        <w:t>for further discussion. Additionally, like other companies, our ordinary course litigation includes a number of class action and purported class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action lawsuits, which make allegations related to aspects of our operations. We believe that no actions, other than the matters discussed below, if any, depart from customary litigation incidental to our business.</w:t>
      </w:r>
    </w:p>
    <w:p>
      <w:pPr>
        <w:spacing w:after="0" w:line="79"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review lawsuits and other legal and regulatory matters (collectively “legal proceedings”) on an ongoing basis when making accrual and disclosure decisions. When assessing reasonably possible and probable outcomes, management bases its decision on its assessment of the ultimate outcome assuming all appeals have been exhausted. For legal proceedings in which it has been determined that a loss is both probable and reasonably estimable, a liability based on known facts and that represents our best estimate has been recorded. Our accrual for legal and regulatory matters was $6 million and $7 million as of September 30, 2026 and December 31, 2025, respectively. None of the amounts we have currently recorded are considered to be material to our financial condition individually or in the aggregate. Actual losses may materially differ from the amounts recorded and the ultimate outcome of our pending legal proceedings is generally not yet determinable. While some of these matters could be material to our operating results or cash flows for any particular period if an unfavorable outcome results, at present we do not believe that the ultimate resolution of currently pending legal proceedings, either individually or in the aggregate, will have a material adverse effect on our financial condition.</w:t>
      </w:r>
    </w:p>
    <w:p>
      <w:pPr>
        <w:spacing w:after="0" w:line="79"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 xml:space="preserve">On June 10, 2025, a stockholder derivative lawsuit styled, </w:t>
      </w:r>
      <w:r>
        <w:rPr>
          <w:rFonts w:ascii="Times New Roman" w:cs="Times New Roman" w:eastAsia="Times New Roman" w:hAnsi="Times New Roman"/>
          <w:sz w:val="18"/>
          <w:szCs w:val="18"/>
          <w:i w:val="1"/>
          <w:iCs w:val="1"/>
          <w:color w:val="auto"/>
        </w:rPr>
        <w:t>Patrick Ayers v. William P. Foley, Douglas K. Ammerman, Halim Dhanidina, Thomas 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Hagerty, Daniel D. Lane, Heather H. Miller, Sandra D. Morgan, John D. Rood, Peter O. Shea, Jr., Cary H. Thompson, and Fidelity National Financial, Inc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 No. 2025-0650-LWW, was filed in the Chancery Court of the State of Delaware against FNF and its non-employee members of its Board of Directors asserting claims for breach of fiduciary duty and unjust enrichment related to the Chairman of the Board’s 2024 stock award and to director compensation paid in 2022, 2023, and 2024. The plaintiff seeks disgorgement of allegedly excessive compensation, recovery of damages on behalf of FNF, and reformation of certain corporate governance and internal control measures. On August 1, 2025, the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defendants moved to dismiss the complaint on several grounds. On June 15, 2026, the court entered an order dismissing all claims relating to the Chairman of the Board’s 2024 stock award. However, the court held that the breach of fiduciary duty claims against the Compensation Committee members who approved the non-employee directors’ compensation for 2022, 2023, and 2024, and the unjust enrichment claims against all director defendants who received such compensation, survived the motion to dismiss. On October 27, 2026, the parties reached an agreement in principle to settle the action, subject to various terms and conditions. Upon execution of a definitive settlement agreement, the settlement will be submitted to the court for approval.</w:t>
      </w:r>
    </w:p>
    <w:p>
      <w:pPr>
        <w:spacing w:after="0" w:line="79"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 xml:space="preserve">Fidelity &amp; Guaranty Life Insurance Company (“FGL Insurance”) is a defendant in a lawsuit filed in U.S. District Court for the Southern District of Texas styled, </w:t>
      </w:r>
      <w:r>
        <w:rPr>
          <w:rFonts w:ascii="Times New Roman" w:cs="Times New Roman" w:eastAsia="Times New Roman" w:hAnsi="Times New Roman"/>
          <w:sz w:val="18"/>
          <w:szCs w:val="18"/>
          <w:i w:val="1"/>
          <w:iCs w:val="1"/>
          <w:color w:val="auto"/>
        </w:rPr>
        <w:t>Insurance Distribution Consulting, LLC v. Fidelity &amp; Guaranty Life Insurance Company</w:t>
      </w:r>
      <w:r>
        <w:rPr>
          <w:rFonts w:ascii="Times New Roman" w:cs="Times New Roman" w:eastAsia="Times New Roman" w:hAnsi="Times New Roman"/>
          <w:sz w:val="18"/>
          <w:szCs w:val="18"/>
          <w:color w:val="auto"/>
        </w:rPr>
        <w:t xml:space="preserve">, Case No. 3:23-cv-00126. Plaintiff, which provides consulting services to independent marketing organizations (IMOs), alleges FGL Insurance failed to pay commissions owed to plaintiff and diverted commissions from one of plaintiff’s IMO customers, Syncis, to another IMO, Freedom Equity Group, LLC (“Freedom Equity”). Further, plaintiff alleges after FGL Insurance purportedly purchased a partial ownership interest in Syncis and Freedom Equity, plaintiff offered to sell its interests in its contracts with Syncis but FGL Insurance declined, leading plaintiff to allege a statutory violation of 42 U.S.C. §1981 for discrimination where plaintiff’s sole member is a racial minority. Plaintiff claims its damages for breach of contract from FGL Insurance’s purported failure to pay commissions are more than $162 million and its damages from FGL Insurance’s declining to purchase plaintiff’s interest in its contracts with Syncis are over $11 million. FGL Insurance denies the allegations and denies any contract or agreement existed with plaintiff to pay commissions. On April 21, 2025, FGL Insurance filed its initial motion for summary judgment. On June 5, 2025, plaintiff amended its complaint to include an additional breach of contract claim, prompting FGL Insurance to file a second motion for summary judgment on July 18, 2025, addressing the new allegation. On March 2, 2026, the magistrate judge issued a Memorandum and Recommendation (“Recommendations”) recommending that FGL Insurance’s motions for summary judgment be granted, and that its motion to exclude Plaintiff’s expert testimony as inadmissible, filed June 9, 2025, be denied as moot. Plaintiff filed its objections to the Recommendations, and FGL Insurance responded. On May 14, 2026, the trial judge entered an order adopting the magistrate judge’s Recommendations and entered final judgment. Plaintiff has appealed the decision to the U.S. Court of Appeals for the Fifth Circuit, Case No. 26-40355, where briefing is anticipated to take place over the next several months. On July 18, 2025, Peak Altitude Equity, LLC (“Peak”), a subsidiary of Fidelity &amp; Guaranty Life Holdings, Inc., was served with a lawsuit filed by IDC as a counterclaim in response to a separate breach of contract lawsuit initiated against IDC by Syncis. The case, styled, </w:t>
      </w:r>
      <w:r>
        <w:rPr>
          <w:rFonts w:ascii="Times New Roman" w:cs="Times New Roman" w:eastAsia="Times New Roman" w:hAnsi="Times New Roman"/>
          <w:sz w:val="18"/>
          <w:szCs w:val="18"/>
          <w:i w:val="1"/>
          <w:iCs w:val="1"/>
          <w:color w:val="auto"/>
        </w:rPr>
        <w:t>Syncis Insurance Solutions, LLC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Insurance Distribution Consulting</w:t>
      </w:r>
      <w:r>
        <w:rPr>
          <w:rFonts w:ascii="Times New Roman" w:cs="Times New Roman" w:eastAsia="Times New Roman" w:hAnsi="Times New Roman"/>
          <w:sz w:val="18"/>
          <w:szCs w:val="18"/>
          <w:color w:val="auto"/>
        </w:rPr>
        <w:t>, LLC, Case No. 2:25-cv-03874, is pending in the U.S. District Court for the Central District of California, and certain facts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alleged by IDC against Peak overlap with those asserted in the lawsuit filed by IDC against FGL Insurance. On September 8, 2025, Peak filed its motion to dismiss IDC’s counterclaim on various grounds. The motion has been fully briefed, and a decision is pending with the court. FGL Insurance and Peak will vigorously contest the Plaintiff’s claims in the actions. As this case continues to evolve, it is not possible to reasonably estimate the probability that plaintiff will ultimately prevail on its claims or that FGL Insurance and/or Peak will be held liable for the dispute. At this time, we do not believe the lawsuit will have a material impact on our business, operations, or financial results.</w:t>
      </w:r>
    </w:p>
    <w:p>
      <w:pPr>
        <w:spacing w:after="0" w:line="83" w:lineRule="exact"/>
        <w:rPr>
          <w:sz w:val="20"/>
          <w:szCs w:val="20"/>
          <w:color w:val="auto"/>
        </w:rPr>
      </w:pPr>
    </w:p>
    <w:p>
      <w:pPr>
        <w:jc w:val="both"/>
        <w:ind w:firstLine="318"/>
        <w:spacing w:after="0" w:line="263" w:lineRule="auto"/>
        <w:rPr>
          <w:sz w:val="20"/>
          <w:szCs w:val="20"/>
          <w:color w:val="auto"/>
        </w:rPr>
      </w:pPr>
      <w:r>
        <w:rPr>
          <w:rFonts w:ascii="Times New Roman" w:cs="Times New Roman" w:eastAsia="Times New Roman" w:hAnsi="Times New Roman"/>
          <w:sz w:val="17"/>
          <w:szCs w:val="17"/>
          <w:color w:val="auto"/>
        </w:rPr>
        <w:t>F&amp;G is a defendant in two putative class action lawsuits related to the alleged compromise of certain of F&amp;G’s customers’ personal information resulting from an alleged vulnerability in the MOVEit file transfer software. F&amp;G’s vendor, Pension Benefit Information, LLC (“PBI”), used the MOVEit software in the course of providing audit and address research services to F&amp;G and many other corporate customers. Miller v. F&amp;G, No. 4:23-cv-00326, was filed against F&amp;G in the Southern District of Iowa on August 31, 2023. Miller alleges that he is an F&amp;G customer whose information was impacted in the MOVEit incident and brings common law tort and implied contract claims for damages. Cooper v. Progress Software Corp., No. 1:23-cv-12067, was filed against F&amp;G and five other defendants in the District of Massachusetts on September 7, 2023. Cooper also alleges that he is an F&amp;G customer and brings similar common law tort claims and alleges claims as a purported third-party beneficiary of an alleged contract. Well over 150 similar lawsuits have been filed against other entities impacted by the MOVEit incident including a number of such lawsuits related to PBI’s use of MOVEit. On October 4, 2023, the U.S. Judicial Panel on Multidistrict Litigation (JPML) created a multidistrict litigation (MDL) pursuant to 28 U.S.C. § 1407 to handle all litigation brought by individuals whose information was potentially compromised in connection with the alleged MOVEit vulnerability. Both Miller and Cooper have been transferred to the MDL and consolidated under MDL Case No. 1:23-md-03083-ADB-PGL. The case is proceeding under a modified bellwether structure to decide critical issues and facilitate reciprocal discovery, and Plaintiffs’ consolidated class action complaint against all the bellwether Defendants was filed on December 6, 2024. F&amp;G was not selected as a bellwether Defendant, and there is no schedule in place for further proceedings involving the non-bellwether Defendants like F&amp;G. At this time, we do not believe the incident will have a material impact on our business, operations, or financial results.</w:t>
      </w:r>
    </w:p>
    <w:p>
      <w:pPr>
        <w:spacing w:after="0" w:line="7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From time to time, we receive inquiries and requests for information from state insurance departments, attorneys general, and other regulatory agencies about various matters relating to our business. Sometimes these take the form of civil investigative demands or subpoenas. We cooperate with all such inquiries, and we have responded to or are currently</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responding to inquiries from multiple governmental agencies. Also, regulators and courts have been dealing with issues arising from foreclosures and related processes and documentation. Various governmental entities are studying the title insurance product, market, pricing, and business practices, and potential regulatory and legislative changes, which may materially affect our business and operations. From time to time, we are assessed fines for violations of regulations or other matters or enter into settlements with such authorities, which may require us to pay fines or claims or take other actions. We do not anticipate such fines and settlements, either individually or in the aggregate, will have a material adverse effect on our business, operations, or financial results.</w:t>
      </w:r>
    </w:p>
    <w:p>
      <w:pPr>
        <w:spacing w:after="0" w:line="7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our F&amp;G segment, we have unfunded commitments as of September 30, 2026 based upon the timing of when investments and agreements are executed or signed compared to when the actual investments and agreements are funded or closed. Some investments require that funding occur over a period of months or years. A summary of unfunded commitments by commitment type as of September 30, 2026 is included below:</w:t>
      </w:r>
    </w:p>
    <w:p>
      <w:pPr>
        <w:spacing w:after="0" w:line="185" w:lineRule="exact"/>
        <w:rPr>
          <w:sz w:val="20"/>
          <w:szCs w:val="20"/>
          <w:color w:val="auto"/>
        </w:rPr>
      </w:pPr>
    </w:p>
    <w:tbl>
      <w:tblPr>
        <w:tblLayout w:type="fixed"/>
        <w:tblInd w:w="100" w:type="dxa"/>
        <w:tblCellMar>
          <w:top w:w="0" w:type="dxa"/>
          <w:left w:w="0" w:type="dxa"/>
          <w:bottom w:w="0" w:type="dxa"/>
          <w:right w:w="0" w:type="dxa"/>
        </w:tblCellMar>
      </w:tblPr>
      <w:tr>
        <w:trPr>
          <w:trHeight w:val="186"/>
        </w:trPr>
        <w:tc>
          <w:tcPr>
            <w:tcW w:w="8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20" w:type="dxa"/>
            <w:vAlign w:val="bottom"/>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0" w:type="dxa"/>
            <w:vAlign w:val="bottom"/>
          </w:tcPr>
          <w:p>
            <w:pPr>
              <w:spacing w:after="0"/>
              <w:rPr>
                <w:sz w:val="1"/>
                <w:szCs w:val="1"/>
                <w:color w:val="auto"/>
              </w:rPr>
            </w:pPr>
          </w:p>
        </w:tc>
      </w:tr>
      <w:tr>
        <w:trPr>
          <w:trHeight w:val="24"/>
        </w:trPr>
        <w:tc>
          <w:tcPr>
            <w:tcW w:w="8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Commitment Type</w:t>
            </w:r>
          </w:p>
        </w:tc>
        <w:tc>
          <w:tcPr>
            <w:tcW w:w="2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89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820" w:type="dxa"/>
            <w:vAlign w:val="bottom"/>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4"/>
        </w:trPr>
        <w:tc>
          <w:tcPr>
            <w:tcW w:w="8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8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fixed maturity securities, AFS</w:t>
            </w:r>
          </w:p>
        </w:tc>
        <w:tc>
          <w:tcPr>
            <w:tcW w:w="28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0" w:type="dxa"/>
            <w:vAlign w:val="bottom"/>
          </w:tcPr>
          <w:p>
            <w:pPr>
              <w:spacing w:after="0"/>
              <w:rPr>
                <w:sz w:val="1"/>
                <w:szCs w:val="1"/>
                <w:color w:val="auto"/>
              </w:rPr>
            </w:pPr>
          </w:p>
        </w:tc>
      </w:tr>
      <w:tr>
        <w:trPr>
          <w:trHeight w:val="188"/>
        </w:trPr>
        <w:tc>
          <w:tcPr>
            <w:tcW w:w="8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 mortgage loans</w:t>
            </w:r>
          </w:p>
        </w:tc>
        <w:tc>
          <w:tcPr>
            <w:tcW w:w="28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0" w:type="dxa"/>
            <w:vAlign w:val="bottom"/>
          </w:tcPr>
          <w:p>
            <w:pPr>
              <w:spacing w:after="0"/>
              <w:rPr>
                <w:sz w:val="1"/>
                <w:szCs w:val="1"/>
                <w:color w:val="auto"/>
              </w:rPr>
            </w:pPr>
          </w:p>
        </w:tc>
      </w:tr>
      <w:tr>
        <w:trPr>
          <w:trHeight w:val="24"/>
        </w:trPr>
        <w:tc>
          <w:tcPr>
            <w:tcW w:w="8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8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Residential mortgage loans</w:t>
            </w:r>
          </w:p>
        </w:tc>
        <w:tc>
          <w:tcPr>
            <w:tcW w:w="280" w:type="dxa"/>
            <w:vAlign w:val="bottom"/>
            <w:tcBorders>
              <w:bottom w:val="single" w:sz="8" w:color="CCEEFF"/>
            </w:tcBorders>
            <w:shd w:val="clear" w:color="auto" w:fill="CCEEFF"/>
          </w:tcPr>
          <w:p>
            <w:pPr>
              <w:spacing w:after="0"/>
              <w:rPr>
                <w:sz w:val="16"/>
                <w:szCs w:val="16"/>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w:t>
            </w:r>
          </w:p>
        </w:tc>
        <w:tc>
          <w:tcPr>
            <w:tcW w:w="0" w:type="dxa"/>
            <w:vAlign w:val="bottom"/>
          </w:tcPr>
          <w:p>
            <w:pPr>
              <w:spacing w:after="0"/>
              <w:rPr>
                <w:sz w:val="1"/>
                <w:szCs w:val="1"/>
                <w:color w:val="auto"/>
              </w:rPr>
            </w:pPr>
          </w:p>
        </w:tc>
      </w:tr>
      <w:tr>
        <w:trPr>
          <w:trHeight w:val="188"/>
        </w:trPr>
        <w:tc>
          <w:tcPr>
            <w:tcW w:w="8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8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0" w:type="dxa"/>
            <w:vAlign w:val="bottom"/>
          </w:tcPr>
          <w:p>
            <w:pPr>
              <w:spacing w:after="0"/>
              <w:rPr>
                <w:sz w:val="1"/>
                <w:szCs w:val="1"/>
                <w:color w:val="auto"/>
              </w:rPr>
            </w:pPr>
          </w:p>
        </w:tc>
      </w:tr>
      <w:tr>
        <w:trPr>
          <w:trHeight w:val="24"/>
        </w:trPr>
        <w:tc>
          <w:tcPr>
            <w:tcW w:w="8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8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Consolidated VIEs:</w:t>
            </w:r>
          </w:p>
        </w:tc>
        <w:tc>
          <w:tcPr>
            <w:tcW w:w="280" w:type="dxa"/>
            <w:vAlign w:val="bottom"/>
            <w:tcBorders>
              <w:bottom w:val="single" w:sz="8" w:color="CCEEFF"/>
            </w:tcBorders>
            <w:shd w:val="clear" w:color="auto" w:fill="CCEEFF"/>
          </w:tcPr>
          <w:p>
            <w:pPr>
              <w:spacing w:after="0"/>
              <w:rPr>
                <w:sz w:val="16"/>
                <w:szCs w:val="16"/>
                <w:color w:val="auto"/>
              </w:rPr>
            </w:pPr>
          </w:p>
        </w:tc>
        <w:tc>
          <w:tcPr>
            <w:tcW w:w="18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 long-term investments</w:t>
            </w:r>
          </w:p>
        </w:tc>
        <w:tc>
          <w:tcPr>
            <w:tcW w:w="28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0" w:type="dxa"/>
            <w:vAlign w:val="bottom"/>
          </w:tcPr>
          <w:p>
            <w:pPr>
              <w:spacing w:after="0"/>
              <w:rPr>
                <w:sz w:val="1"/>
                <w:szCs w:val="1"/>
                <w:color w:val="auto"/>
              </w:rPr>
            </w:pPr>
          </w:p>
        </w:tc>
      </w:tr>
      <w:tr>
        <w:trPr>
          <w:trHeight w:val="24"/>
        </w:trPr>
        <w:tc>
          <w:tcPr>
            <w:tcW w:w="8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8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Unconsolidated VIEs:</w:t>
            </w:r>
          </w:p>
        </w:tc>
        <w:tc>
          <w:tcPr>
            <w:tcW w:w="280" w:type="dxa"/>
            <w:vAlign w:val="bottom"/>
            <w:tcBorders>
              <w:bottom w:val="single" w:sz="8" w:color="CCEEFF"/>
            </w:tcBorders>
            <w:shd w:val="clear" w:color="auto" w:fill="CCEEFF"/>
          </w:tcPr>
          <w:p>
            <w:pPr>
              <w:spacing w:after="0"/>
              <w:rPr>
                <w:sz w:val="16"/>
                <w:szCs w:val="16"/>
                <w:color w:val="auto"/>
              </w:rPr>
            </w:pPr>
          </w:p>
        </w:tc>
        <w:tc>
          <w:tcPr>
            <w:tcW w:w="18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Limited partnerships</w:t>
            </w:r>
          </w:p>
        </w:tc>
        <w:tc>
          <w:tcPr>
            <w:tcW w:w="28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1,379</w:t>
            </w:r>
          </w:p>
        </w:tc>
        <w:tc>
          <w:tcPr>
            <w:tcW w:w="0" w:type="dxa"/>
            <w:vAlign w:val="bottom"/>
          </w:tcPr>
          <w:p>
            <w:pPr>
              <w:spacing w:after="0"/>
              <w:rPr>
                <w:sz w:val="1"/>
                <w:szCs w:val="1"/>
                <w:color w:val="auto"/>
              </w:rPr>
            </w:pPr>
          </w:p>
        </w:tc>
      </w:tr>
      <w:tr>
        <w:trPr>
          <w:trHeight w:val="24"/>
        </w:trPr>
        <w:tc>
          <w:tcPr>
            <w:tcW w:w="8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89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Asset-backed lending</w:t>
            </w:r>
          </w:p>
        </w:tc>
        <w:tc>
          <w:tcPr>
            <w:tcW w:w="280" w:type="dxa"/>
            <w:vAlign w:val="bottom"/>
            <w:tcBorders>
              <w:bottom w:val="single" w:sz="8" w:color="CCEEFF"/>
            </w:tcBorders>
            <w:shd w:val="clear" w:color="auto" w:fill="CCEEFF"/>
          </w:tcPr>
          <w:p>
            <w:pPr>
              <w:spacing w:after="0"/>
              <w:rPr>
                <w:sz w:val="16"/>
                <w:szCs w:val="16"/>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0" w:type="dxa"/>
            <w:vAlign w:val="bottom"/>
          </w:tcPr>
          <w:p>
            <w:pPr>
              <w:spacing w:after="0"/>
              <w:rPr>
                <w:sz w:val="1"/>
                <w:szCs w:val="1"/>
                <w:color w:val="auto"/>
              </w:rPr>
            </w:pPr>
          </w:p>
        </w:tc>
      </w:tr>
      <w:tr>
        <w:trPr>
          <w:trHeight w:val="188"/>
        </w:trPr>
        <w:tc>
          <w:tcPr>
            <w:tcW w:w="8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Fixed maturity securities, asset-backed securities</w:t>
            </w:r>
          </w:p>
        </w:tc>
        <w:tc>
          <w:tcPr>
            <w:tcW w:w="28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831</w:t>
            </w:r>
          </w:p>
        </w:tc>
        <w:tc>
          <w:tcPr>
            <w:tcW w:w="0" w:type="dxa"/>
            <w:vAlign w:val="bottom"/>
          </w:tcPr>
          <w:p>
            <w:pPr>
              <w:spacing w:after="0"/>
              <w:rPr>
                <w:sz w:val="1"/>
                <w:szCs w:val="1"/>
                <w:color w:val="auto"/>
              </w:rPr>
            </w:pPr>
          </w:p>
        </w:tc>
      </w:tr>
      <w:tr>
        <w:trPr>
          <w:trHeight w:val="24"/>
        </w:trPr>
        <w:tc>
          <w:tcPr>
            <w:tcW w:w="8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89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Direct Lending</w:t>
            </w:r>
          </w:p>
        </w:tc>
        <w:tc>
          <w:tcPr>
            <w:tcW w:w="280" w:type="dxa"/>
            <w:vAlign w:val="bottom"/>
            <w:tcBorders>
              <w:bottom w:val="single" w:sz="8" w:color="CCEEFF"/>
            </w:tcBorders>
            <w:shd w:val="clear" w:color="auto" w:fill="CCEEFF"/>
          </w:tcPr>
          <w:p>
            <w:pPr>
              <w:spacing w:after="0"/>
              <w:rPr>
                <w:sz w:val="18"/>
                <w:szCs w:val="18"/>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895</w:t>
            </w:r>
          </w:p>
        </w:tc>
        <w:tc>
          <w:tcPr>
            <w:tcW w:w="0" w:type="dxa"/>
            <w:vAlign w:val="bottom"/>
          </w:tcPr>
          <w:p>
            <w:pPr>
              <w:spacing w:after="0"/>
              <w:rPr>
                <w:sz w:val="1"/>
                <w:szCs w:val="1"/>
                <w:color w:val="auto"/>
              </w:rPr>
            </w:pPr>
          </w:p>
        </w:tc>
      </w:tr>
      <w:tr>
        <w:trPr>
          <w:trHeight w:val="205"/>
        </w:trPr>
        <w:tc>
          <w:tcPr>
            <w:tcW w:w="89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4,518</w:t>
            </w:r>
          </w:p>
        </w:tc>
        <w:tc>
          <w:tcPr>
            <w:tcW w:w="0" w:type="dxa"/>
            <w:vAlign w:val="bottom"/>
          </w:tcPr>
          <w:p>
            <w:pPr>
              <w:spacing w:after="0"/>
              <w:rPr>
                <w:sz w:val="1"/>
                <w:szCs w:val="1"/>
                <w:color w:val="auto"/>
              </w:rPr>
            </w:pPr>
          </w:p>
        </w:tc>
      </w:tr>
      <w:tr>
        <w:trPr>
          <w:trHeight w:val="20"/>
        </w:trPr>
        <w:tc>
          <w:tcPr>
            <w:tcW w:w="8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318"/>
        <w:spacing w:after="0" w:line="245" w:lineRule="auto"/>
        <w:rPr>
          <w:sz w:val="20"/>
          <w:szCs w:val="20"/>
          <w:color w:val="auto"/>
        </w:rPr>
      </w:pPr>
      <w:r>
        <w:rPr>
          <w:rFonts w:ascii="Times New Roman" w:cs="Times New Roman" w:eastAsia="Times New Roman" w:hAnsi="Times New Roman"/>
          <w:sz w:val="18"/>
          <w:szCs w:val="18"/>
          <w:color w:val="auto"/>
        </w:rPr>
        <w:t>Concurrent with the Roar Joint Venture, LLC (“Roar”) purchase agreement, F&amp;G executed a separate loan agreement with the sellers of Roar for us to lend up to $40 million. The loan was due to mature on August 5, 2027. The principal balance outstanding was $24 million as of December 31, 2025. During the second quarter of 2026, we loaned an additional $12 million and, on June 30, 2026, entered into an agreement to retire the loan receivable in exchange for the transfer of 5.3% of the membership interests in Roar from Roar Seller to Peak Altitude. There are no remaining unfunded commitments related to the loan or subsequent exchange.</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G — Dividends</w:t>
      </w:r>
    </w:p>
    <w:p>
      <w:pPr>
        <w:spacing w:after="0" w:line="11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On November 5, 2026, our Board of Directors declared cash dividends of $0.54 per share, payable on December 31, 2026, to FNF common shareholders of record as of December 17,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H — Segment Information</w:t>
      </w:r>
    </w:p>
    <w:p>
      <w:pPr>
        <w:spacing w:after="0" w:line="11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tables below summarize the results of operations by segment that are provided to the Chief Operating Decision Maker ("CODM"), who is the Company's Chief Executive Officer. The Company's primary methods of measuring profitability and performance on a reportable segment basis are Revenues and Net earnings from continuing operations, which are also measures used by the CODM to evaluate segment results and are factors in determining capital allocation among the segments.</w:t>
      </w:r>
    </w:p>
    <w:p>
      <w:pPr>
        <w:spacing w:after="0" w:line="7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Summarized financial information concerning our reportable segments is shown in the following tables. The significant expense categories and amounts align with the segment-level information that is regularly provided to the CODM.</w:t>
      </w:r>
    </w:p>
    <w:p>
      <w:pPr>
        <w:spacing w:after="0" w:line="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and for the three months ended September 30, 2026:</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00" w:type="dxa"/>
            <w:vAlign w:val="bottom"/>
          </w:tcPr>
          <w:p>
            <w:pPr>
              <w:spacing w:after="0"/>
              <w:rPr>
                <w:sz w:val="13"/>
                <w:szCs w:val="13"/>
                <w:color w:val="auto"/>
              </w:rPr>
            </w:pPr>
          </w:p>
        </w:tc>
        <w:tc>
          <w:tcPr>
            <w:tcW w:w="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F&amp;G</w:t>
            </w:r>
          </w:p>
        </w:tc>
        <w:tc>
          <w:tcPr>
            <w:tcW w:w="10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Corporate and</w:t>
            </w:r>
          </w:p>
        </w:tc>
        <w:tc>
          <w:tcPr>
            <w:tcW w:w="120" w:type="dxa"/>
            <w:vAlign w:val="bottom"/>
          </w:tcPr>
          <w:p>
            <w:pPr>
              <w:spacing w:after="0"/>
              <w:rPr>
                <w:sz w:val="13"/>
                <w:szCs w:val="13"/>
                <w:color w:val="auto"/>
              </w:rPr>
            </w:pP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Elimination</w:t>
            </w:r>
          </w:p>
        </w:tc>
        <w:tc>
          <w:tcPr>
            <w:tcW w:w="200" w:type="dxa"/>
            <w:vAlign w:val="bottom"/>
          </w:tcPr>
          <w:p>
            <w:pPr>
              <w:spacing w:after="0"/>
              <w:rPr>
                <w:sz w:val="13"/>
                <w:szCs w:val="13"/>
                <w:color w:val="auto"/>
              </w:rPr>
            </w:pPr>
          </w:p>
        </w:tc>
        <w:tc>
          <w:tcPr>
            <w:tcW w:w="760" w:type="dxa"/>
            <w:vAlign w:val="bottom"/>
            <w:vMerge w:val="restart"/>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59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Direct title insurance premiums</w:t>
            </w:r>
          </w:p>
        </w:tc>
        <w:tc>
          <w:tcPr>
            <w:tcW w:w="2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755</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gridSpan w:val="2"/>
            <w:shd w:val="clear" w:color="auto" w:fill="CCEEFF"/>
          </w:tcPr>
          <w:p>
            <w:pPr>
              <w:jc w:val="center"/>
              <w:ind w:left="40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755</w:t>
            </w:r>
          </w:p>
        </w:tc>
        <w:tc>
          <w:tcPr>
            <w:tcW w:w="0" w:type="dxa"/>
            <w:vAlign w:val="bottom"/>
          </w:tcPr>
          <w:p>
            <w:pPr>
              <w:spacing w:after="0"/>
              <w:rPr>
                <w:sz w:val="1"/>
                <w:szCs w:val="1"/>
                <w:color w:val="auto"/>
              </w:rPr>
            </w:pPr>
          </w:p>
        </w:tc>
      </w:tr>
      <w:tr>
        <w:trPr>
          <w:trHeight w:val="188"/>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Agency title insurance premiums</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center"/>
              <w:ind w:left="40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915</w:t>
            </w:r>
          </w:p>
        </w:tc>
        <w:tc>
          <w:tcPr>
            <w:tcW w:w="0" w:type="dxa"/>
            <w:vAlign w:val="bottom"/>
          </w:tcPr>
          <w:p>
            <w:pPr>
              <w:spacing w:after="0"/>
              <w:rPr>
                <w:sz w:val="1"/>
                <w:szCs w:val="1"/>
                <w:color w:val="auto"/>
              </w:rPr>
            </w:pPr>
          </w:p>
        </w:tc>
      </w:tr>
      <w:tr>
        <w:trPr>
          <w:trHeight w:val="24"/>
        </w:trPr>
        <w:tc>
          <w:tcPr>
            <w:tcW w:w="5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Escrow, title related and other fees</w:t>
            </w:r>
          </w:p>
        </w:tc>
        <w:tc>
          <w:tcPr>
            <w:tcW w:w="2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gridSpan w:val="2"/>
            <w:shd w:val="clear" w:color="auto" w:fill="CCEEFF"/>
          </w:tcPr>
          <w:p>
            <w:pPr>
              <w:jc w:val="center"/>
              <w:ind w:left="40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1,083</w:t>
            </w:r>
          </w:p>
        </w:tc>
        <w:tc>
          <w:tcPr>
            <w:tcW w:w="0" w:type="dxa"/>
            <w:vAlign w:val="bottom"/>
          </w:tcPr>
          <w:p>
            <w:pPr>
              <w:spacing w:after="0"/>
              <w:rPr>
                <w:sz w:val="1"/>
                <w:szCs w:val="1"/>
                <w:color w:val="auto"/>
              </w:rPr>
            </w:pPr>
          </w:p>
        </w:tc>
      </w:tr>
      <w:tr>
        <w:trPr>
          <w:trHeight w:val="188"/>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and investment income</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center"/>
              <w:ind w:left="509"/>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796</w:t>
            </w:r>
          </w:p>
        </w:tc>
        <w:tc>
          <w:tcPr>
            <w:tcW w:w="0" w:type="dxa"/>
            <w:vAlign w:val="bottom"/>
          </w:tcPr>
          <w:p>
            <w:pPr>
              <w:spacing w:after="0"/>
              <w:rPr>
                <w:sz w:val="1"/>
                <w:szCs w:val="1"/>
                <w:color w:val="auto"/>
              </w:rPr>
            </w:pPr>
          </w:p>
        </w:tc>
      </w:tr>
      <w:tr>
        <w:trPr>
          <w:trHeight w:val="24"/>
        </w:trPr>
        <w:tc>
          <w:tcPr>
            <w:tcW w:w="5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Recognized gains and losses, net</w:t>
            </w:r>
          </w:p>
        </w:tc>
        <w:tc>
          <w:tcPr>
            <w:tcW w:w="2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jc w:val="center"/>
              <w:ind w:left="40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w:t>
            </w:r>
          </w:p>
        </w:tc>
        <w:tc>
          <w:tcPr>
            <w:tcW w:w="0" w:type="dxa"/>
            <w:vAlign w:val="bottom"/>
          </w:tcPr>
          <w:p>
            <w:pPr>
              <w:spacing w:after="0"/>
              <w:rPr>
                <w:sz w:val="1"/>
                <w:szCs w:val="1"/>
                <w:color w:val="auto"/>
              </w:rPr>
            </w:pPr>
          </w:p>
        </w:tc>
      </w:tr>
      <w:tr>
        <w:trPr>
          <w:trHeight w:val="181"/>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segment revenues</w:t>
            </w:r>
          </w:p>
        </w:tc>
        <w:tc>
          <w:tcPr>
            <w:tcW w:w="2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2,444</w:t>
            </w: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1,131</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center"/>
              <w:ind w:left="509"/>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3,578</w:t>
            </w:r>
          </w:p>
        </w:tc>
        <w:tc>
          <w:tcPr>
            <w:tcW w:w="0" w:type="dxa"/>
            <w:vAlign w:val="bottom"/>
          </w:tcPr>
          <w:p>
            <w:pPr>
              <w:spacing w:after="0"/>
              <w:rPr>
                <w:sz w:val="1"/>
                <w:szCs w:val="1"/>
                <w:color w:val="auto"/>
              </w:rPr>
            </w:pPr>
          </w:p>
        </w:tc>
      </w:tr>
      <w:tr>
        <w:trPr>
          <w:trHeight w:val="24"/>
        </w:trPr>
        <w:tc>
          <w:tcPr>
            <w:tcW w:w="5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Significant segment expenses:</w:t>
            </w:r>
          </w:p>
        </w:tc>
        <w:tc>
          <w:tcPr>
            <w:tcW w:w="22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Personnel costs</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left="40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948</w:t>
            </w:r>
          </w:p>
        </w:tc>
        <w:tc>
          <w:tcPr>
            <w:tcW w:w="0" w:type="dxa"/>
            <w:vAlign w:val="bottom"/>
          </w:tcPr>
          <w:p>
            <w:pPr>
              <w:spacing w:after="0"/>
              <w:rPr>
                <w:sz w:val="1"/>
                <w:szCs w:val="1"/>
                <w:color w:val="auto"/>
              </w:rPr>
            </w:pPr>
          </w:p>
        </w:tc>
      </w:tr>
      <w:tr>
        <w:trPr>
          <w:trHeight w:val="24"/>
        </w:trPr>
        <w:tc>
          <w:tcPr>
            <w:tcW w:w="5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Agent commissions</w:t>
            </w:r>
          </w:p>
        </w:tc>
        <w:tc>
          <w:tcPr>
            <w:tcW w:w="2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gridSpan w:val="2"/>
            <w:shd w:val="clear" w:color="auto" w:fill="CCEEFF"/>
          </w:tcPr>
          <w:p>
            <w:pPr>
              <w:jc w:val="center"/>
              <w:ind w:left="40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711</w:t>
            </w:r>
          </w:p>
        </w:tc>
        <w:tc>
          <w:tcPr>
            <w:tcW w:w="0" w:type="dxa"/>
            <w:vAlign w:val="bottom"/>
          </w:tcPr>
          <w:p>
            <w:pPr>
              <w:spacing w:after="0"/>
              <w:rPr>
                <w:sz w:val="1"/>
                <w:szCs w:val="1"/>
                <w:color w:val="auto"/>
              </w:rPr>
            </w:pPr>
          </w:p>
        </w:tc>
      </w:tr>
      <w:tr>
        <w:trPr>
          <w:trHeight w:val="188"/>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operating expenses</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left="40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442</w:t>
            </w:r>
          </w:p>
        </w:tc>
        <w:tc>
          <w:tcPr>
            <w:tcW w:w="0" w:type="dxa"/>
            <w:vAlign w:val="bottom"/>
          </w:tcPr>
          <w:p>
            <w:pPr>
              <w:spacing w:after="0"/>
              <w:rPr>
                <w:sz w:val="1"/>
                <w:szCs w:val="1"/>
                <w:color w:val="auto"/>
              </w:rPr>
            </w:pPr>
          </w:p>
        </w:tc>
      </w:tr>
      <w:tr>
        <w:trPr>
          <w:trHeight w:val="24"/>
        </w:trPr>
        <w:tc>
          <w:tcPr>
            <w:tcW w:w="5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Benefits and other changes in policy reserves</w:t>
            </w:r>
          </w:p>
        </w:tc>
        <w:tc>
          <w:tcPr>
            <w:tcW w:w="2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jc w:val="center"/>
              <w:ind w:left="40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w:t>
            </w:r>
          </w:p>
        </w:tc>
        <w:tc>
          <w:tcPr>
            <w:tcW w:w="0" w:type="dxa"/>
            <w:vAlign w:val="bottom"/>
          </w:tcPr>
          <w:p>
            <w:pPr>
              <w:spacing w:after="0"/>
              <w:rPr>
                <w:sz w:val="1"/>
                <w:szCs w:val="1"/>
                <w:color w:val="auto"/>
              </w:rPr>
            </w:pPr>
          </w:p>
        </w:tc>
      </w:tr>
      <w:tr>
        <w:trPr>
          <w:trHeight w:val="181"/>
        </w:trPr>
        <w:tc>
          <w:tcPr>
            <w:tcW w:w="59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Total significant segment expenses</w:t>
            </w:r>
          </w:p>
        </w:tc>
        <w:tc>
          <w:tcPr>
            <w:tcW w:w="2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1,937</w:t>
            </w: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center"/>
              <w:ind w:left="529"/>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2,127</w:t>
            </w:r>
          </w:p>
        </w:tc>
        <w:tc>
          <w:tcPr>
            <w:tcW w:w="0" w:type="dxa"/>
            <w:vAlign w:val="bottom"/>
          </w:tcPr>
          <w:p>
            <w:pPr>
              <w:spacing w:after="0"/>
              <w:rPr>
                <w:sz w:val="1"/>
                <w:szCs w:val="1"/>
                <w:color w:val="auto"/>
              </w:rPr>
            </w:pPr>
          </w:p>
        </w:tc>
      </w:tr>
      <w:tr>
        <w:trPr>
          <w:trHeight w:val="24"/>
        </w:trPr>
        <w:tc>
          <w:tcPr>
            <w:tcW w:w="5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segment items:</w:t>
            </w:r>
          </w:p>
        </w:tc>
        <w:tc>
          <w:tcPr>
            <w:tcW w:w="22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left="40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238</w:t>
            </w:r>
          </w:p>
        </w:tc>
        <w:tc>
          <w:tcPr>
            <w:tcW w:w="0" w:type="dxa"/>
            <w:vAlign w:val="bottom"/>
          </w:tcPr>
          <w:p>
            <w:pPr>
              <w:spacing w:after="0"/>
              <w:rPr>
                <w:sz w:val="1"/>
                <w:szCs w:val="1"/>
                <w:color w:val="auto"/>
              </w:rPr>
            </w:pPr>
          </w:p>
        </w:tc>
      </w:tr>
      <w:tr>
        <w:trPr>
          <w:trHeight w:val="24"/>
        </w:trPr>
        <w:tc>
          <w:tcPr>
            <w:tcW w:w="5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Provision for title claim losses</w:t>
            </w:r>
          </w:p>
        </w:tc>
        <w:tc>
          <w:tcPr>
            <w:tcW w:w="2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gridSpan w:val="2"/>
            <w:shd w:val="clear" w:color="auto" w:fill="CCEEFF"/>
          </w:tcPr>
          <w:p>
            <w:pPr>
              <w:jc w:val="center"/>
              <w:ind w:left="40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75</w:t>
            </w:r>
          </w:p>
        </w:tc>
        <w:tc>
          <w:tcPr>
            <w:tcW w:w="0" w:type="dxa"/>
            <w:vAlign w:val="bottom"/>
          </w:tcPr>
          <w:p>
            <w:pPr>
              <w:spacing w:after="0"/>
              <w:rPr>
                <w:sz w:val="1"/>
                <w:szCs w:val="1"/>
                <w:color w:val="auto"/>
              </w:rPr>
            </w:pPr>
          </w:p>
        </w:tc>
      </w:tr>
      <w:tr>
        <w:trPr>
          <w:trHeight w:val="188"/>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Market risk benefit gains</w:t>
            </w:r>
          </w:p>
        </w:tc>
        <w:tc>
          <w:tcPr>
            <w:tcW w:w="22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center"/>
              <w:ind w:left="40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(167)</w:t>
            </w:r>
          </w:p>
        </w:tc>
        <w:tc>
          <w:tcPr>
            <w:tcW w:w="0" w:type="dxa"/>
            <w:vAlign w:val="bottom"/>
          </w:tcPr>
          <w:p>
            <w:pPr>
              <w:spacing w:after="0"/>
              <w:rPr>
                <w:sz w:val="1"/>
                <w:szCs w:val="1"/>
                <w:color w:val="auto"/>
              </w:rPr>
            </w:pPr>
          </w:p>
        </w:tc>
      </w:tr>
      <w:tr>
        <w:trPr>
          <w:trHeight w:val="24"/>
        </w:trPr>
        <w:tc>
          <w:tcPr>
            <w:tcW w:w="5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2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jc w:val="center"/>
              <w:ind w:left="40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60</w:t>
            </w:r>
          </w:p>
        </w:tc>
        <w:tc>
          <w:tcPr>
            <w:tcW w:w="0" w:type="dxa"/>
            <w:vAlign w:val="bottom"/>
          </w:tcPr>
          <w:p>
            <w:pPr>
              <w:spacing w:after="0"/>
              <w:rPr>
                <w:sz w:val="1"/>
                <w:szCs w:val="1"/>
                <w:color w:val="auto"/>
              </w:rPr>
            </w:pPr>
          </w:p>
        </w:tc>
      </w:tr>
      <w:tr>
        <w:trPr>
          <w:trHeight w:val="181"/>
        </w:trPr>
        <w:tc>
          <w:tcPr>
            <w:tcW w:w="59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other segment items</w:t>
            </w:r>
          </w:p>
        </w:tc>
        <w:tc>
          <w:tcPr>
            <w:tcW w:w="2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center"/>
              <w:ind w:left="529"/>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206</w:t>
            </w:r>
          </w:p>
        </w:tc>
        <w:tc>
          <w:tcPr>
            <w:tcW w:w="0" w:type="dxa"/>
            <w:vAlign w:val="bottom"/>
          </w:tcPr>
          <w:p>
            <w:pPr>
              <w:spacing w:after="0"/>
              <w:rPr>
                <w:sz w:val="1"/>
                <w:szCs w:val="1"/>
                <w:color w:val="auto"/>
              </w:rPr>
            </w:pPr>
          </w:p>
        </w:tc>
      </w:tr>
      <w:tr>
        <w:trPr>
          <w:trHeight w:val="24"/>
        </w:trPr>
        <w:tc>
          <w:tcPr>
            <w:tcW w:w="5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59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segment expenses</w:t>
            </w:r>
          </w:p>
        </w:tc>
        <w:tc>
          <w:tcPr>
            <w:tcW w:w="2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2,053</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center"/>
              <w:ind w:left="40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2,333</w:t>
            </w:r>
          </w:p>
        </w:tc>
        <w:tc>
          <w:tcPr>
            <w:tcW w:w="0" w:type="dxa"/>
            <w:vAlign w:val="bottom"/>
          </w:tcPr>
          <w:p>
            <w:pPr>
              <w:spacing w:after="0"/>
              <w:rPr>
                <w:sz w:val="1"/>
                <w:szCs w:val="1"/>
                <w:color w:val="auto"/>
              </w:rPr>
            </w:pPr>
          </w:p>
        </w:tc>
      </w:tr>
      <w:tr>
        <w:trPr>
          <w:trHeight w:val="181"/>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Earnings (loss) before income taxes and equity in earnings of unconsolidated affiliates</w:t>
            </w:r>
          </w:p>
        </w:tc>
        <w:tc>
          <w:tcPr>
            <w:tcW w:w="2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391</w:t>
            </w: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936</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center"/>
              <w:ind w:left="509"/>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1,245</w:t>
            </w:r>
          </w:p>
        </w:tc>
        <w:tc>
          <w:tcPr>
            <w:tcW w:w="0" w:type="dxa"/>
            <w:vAlign w:val="bottom"/>
          </w:tcPr>
          <w:p>
            <w:pPr>
              <w:spacing w:after="0"/>
              <w:rPr>
                <w:sz w:val="1"/>
                <w:szCs w:val="1"/>
                <w:color w:val="auto"/>
              </w:rPr>
            </w:pPr>
          </w:p>
        </w:tc>
      </w:tr>
      <w:tr>
        <w:trPr>
          <w:trHeight w:val="24"/>
        </w:trPr>
        <w:tc>
          <w:tcPr>
            <w:tcW w:w="5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2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jc w:val="center"/>
              <w:ind w:left="40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397</w:t>
            </w:r>
          </w:p>
        </w:tc>
        <w:tc>
          <w:tcPr>
            <w:tcW w:w="0" w:type="dxa"/>
            <w:vAlign w:val="bottom"/>
          </w:tcPr>
          <w:p>
            <w:pPr>
              <w:spacing w:after="0"/>
              <w:rPr>
                <w:sz w:val="1"/>
                <w:szCs w:val="1"/>
                <w:color w:val="auto"/>
              </w:rPr>
            </w:pPr>
          </w:p>
        </w:tc>
      </w:tr>
      <w:tr>
        <w:trPr>
          <w:trHeight w:val="181"/>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Earnings (loss) before equity in earnings of unconsolidated affiliates</w:t>
            </w:r>
          </w:p>
        </w:tc>
        <w:tc>
          <w:tcPr>
            <w:tcW w:w="2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741</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center"/>
              <w:ind w:left="509"/>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848</w:t>
            </w:r>
          </w:p>
        </w:tc>
        <w:tc>
          <w:tcPr>
            <w:tcW w:w="0" w:type="dxa"/>
            <w:vAlign w:val="bottom"/>
          </w:tcPr>
          <w:p>
            <w:pPr>
              <w:spacing w:after="0"/>
              <w:rPr>
                <w:sz w:val="1"/>
                <w:szCs w:val="1"/>
                <w:color w:val="auto"/>
              </w:rPr>
            </w:pPr>
          </w:p>
        </w:tc>
      </w:tr>
      <w:tr>
        <w:trPr>
          <w:trHeight w:val="24"/>
        </w:trPr>
        <w:tc>
          <w:tcPr>
            <w:tcW w:w="5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in earnings of unconsolidated affiliates</w:t>
            </w:r>
          </w:p>
        </w:tc>
        <w:tc>
          <w:tcPr>
            <w:tcW w:w="2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center"/>
              <w:ind w:left="40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5"/>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earnings (loss) from continuing operations</w:t>
            </w: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741</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center"/>
              <w:ind w:left="509"/>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848</w:t>
            </w:r>
          </w:p>
        </w:tc>
        <w:tc>
          <w:tcPr>
            <w:tcW w:w="0" w:type="dxa"/>
            <w:vAlign w:val="bottom"/>
          </w:tcPr>
          <w:p>
            <w:pPr>
              <w:spacing w:after="0"/>
              <w:rPr>
                <w:sz w:val="1"/>
                <w:szCs w:val="1"/>
                <w:color w:val="auto"/>
              </w:rPr>
            </w:pPr>
          </w:p>
        </w:tc>
      </w:tr>
      <w:tr>
        <w:trPr>
          <w:trHeight w:val="20"/>
        </w:trPr>
        <w:tc>
          <w:tcPr>
            <w:tcW w:w="59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22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8,506</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103,846</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2,340</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gridSpan w:val="2"/>
            <w:shd w:val="clear" w:color="auto" w:fill="CCEEFF"/>
          </w:tcPr>
          <w:p>
            <w:pPr>
              <w:jc w:val="center"/>
              <w:ind w:left="40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114,692</w:t>
            </w:r>
          </w:p>
        </w:tc>
        <w:tc>
          <w:tcPr>
            <w:tcW w:w="0" w:type="dxa"/>
            <w:vAlign w:val="bottom"/>
          </w:tcPr>
          <w:p>
            <w:pPr>
              <w:spacing w:after="0"/>
              <w:rPr>
                <w:sz w:val="1"/>
                <w:szCs w:val="1"/>
                <w:color w:val="auto"/>
              </w:rPr>
            </w:pPr>
          </w:p>
        </w:tc>
      </w:tr>
      <w:tr>
        <w:trPr>
          <w:trHeight w:val="188"/>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left="40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5,244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and for the three months ended September 30, 2025:</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00" w:type="dxa"/>
            <w:vAlign w:val="bottom"/>
          </w:tcPr>
          <w:p>
            <w:pPr>
              <w:spacing w:after="0"/>
              <w:rPr>
                <w:sz w:val="13"/>
                <w:szCs w:val="13"/>
                <w:color w:val="auto"/>
              </w:rPr>
            </w:pPr>
          </w:p>
        </w:tc>
        <w:tc>
          <w:tcPr>
            <w:tcW w:w="8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F&amp;G</w:t>
            </w:r>
          </w:p>
        </w:tc>
        <w:tc>
          <w:tcPr>
            <w:tcW w:w="10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140" w:type="dxa"/>
            <w:vAlign w:val="bottom"/>
          </w:tcPr>
          <w:p>
            <w:pPr>
              <w:spacing w:after="0"/>
              <w:rPr>
                <w:sz w:val="13"/>
                <w:szCs w:val="13"/>
                <w:color w:val="auto"/>
              </w:rPr>
            </w:pP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Elimination</w:t>
            </w:r>
          </w:p>
        </w:tc>
        <w:tc>
          <w:tcPr>
            <w:tcW w:w="180" w:type="dxa"/>
            <w:vAlign w:val="bottom"/>
          </w:tcPr>
          <w:p>
            <w:pPr>
              <w:spacing w:after="0"/>
              <w:rPr>
                <w:sz w:val="13"/>
                <w:szCs w:val="13"/>
                <w:color w:val="auto"/>
              </w:rPr>
            </w:pPr>
          </w:p>
        </w:tc>
        <w:tc>
          <w:tcPr>
            <w:tcW w:w="680" w:type="dxa"/>
            <w:vAlign w:val="bottom"/>
            <w:vMerge w:val="restart"/>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60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Direct title insurance premiums</w:t>
            </w: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gridSpan w:val="2"/>
            <w:shd w:val="clear" w:color="auto" w:fill="CCEEFF"/>
          </w:tcPr>
          <w:p>
            <w:pPr>
              <w:jc w:val="center"/>
              <w:ind w:left="489"/>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678</w:t>
            </w:r>
          </w:p>
        </w:tc>
        <w:tc>
          <w:tcPr>
            <w:tcW w:w="0" w:type="dxa"/>
            <w:vAlign w:val="bottom"/>
          </w:tcPr>
          <w:p>
            <w:pPr>
              <w:spacing w:after="0"/>
              <w:rPr>
                <w:sz w:val="1"/>
                <w:szCs w:val="1"/>
                <w:color w:val="auto"/>
              </w:rPr>
            </w:pPr>
          </w:p>
        </w:tc>
      </w:tr>
      <w:tr>
        <w:trPr>
          <w:trHeight w:val="188"/>
        </w:trPr>
        <w:tc>
          <w:tcPr>
            <w:tcW w:w="6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Agency title insurance premiums</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jc w:val="center"/>
              <w:ind w:left="489"/>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890</w:t>
            </w:r>
          </w:p>
        </w:tc>
        <w:tc>
          <w:tcPr>
            <w:tcW w:w="0" w:type="dxa"/>
            <w:vAlign w:val="bottom"/>
          </w:tcPr>
          <w:p>
            <w:pPr>
              <w:spacing w:after="0"/>
              <w:rPr>
                <w:sz w:val="1"/>
                <w:szCs w:val="1"/>
                <w:color w:val="auto"/>
              </w:rPr>
            </w:pPr>
          </w:p>
        </w:tc>
      </w:tr>
      <w:tr>
        <w:trPr>
          <w:trHeight w:val="24"/>
        </w:trPr>
        <w:tc>
          <w:tcPr>
            <w:tcW w:w="6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Escrow, title related and other fees</w:t>
            </w: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735</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gridSpan w:val="2"/>
            <w:shd w:val="clear" w:color="auto" w:fill="CCEEFF"/>
          </w:tcPr>
          <w:p>
            <w:pPr>
              <w:jc w:val="center"/>
              <w:ind w:left="489"/>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1,429</w:t>
            </w:r>
          </w:p>
        </w:tc>
        <w:tc>
          <w:tcPr>
            <w:tcW w:w="0" w:type="dxa"/>
            <w:vAlign w:val="bottom"/>
          </w:tcPr>
          <w:p>
            <w:pPr>
              <w:spacing w:after="0"/>
              <w:rPr>
                <w:sz w:val="1"/>
                <w:szCs w:val="1"/>
                <w:color w:val="auto"/>
              </w:rPr>
            </w:pPr>
          </w:p>
        </w:tc>
      </w:tr>
      <w:tr>
        <w:trPr>
          <w:trHeight w:val="188"/>
        </w:trPr>
        <w:tc>
          <w:tcPr>
            <w:tcW w:w="6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and investment income</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center"/>
              <w:ind w:left="569"/>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857</w:t>
            </w:r>
          </w:p>
        </w:tc>
        <w:tc>
          <w:tcPr>
            <w:tcW w:w="0" w:type="dxa"/>
            <w:vAlign w:val="bottom"/>
          </w:tcPr>
          <w:p>
            <w:pPr>
              <w:spacing w:after="0"/>
              <w:rPr>
                <w:sz w:val="1"/>
                <w:szCs w:val="1"/>
                <w:color w:val="auto"/>
              </w:rPr>
            </w:pPr>
          </w:p>
        </w:tc>
      </w:tr>
      <w:tr>
        <w:trPr>
          <w:trHeight w:val="24"/>
        </w:trPr>
        <w:tc>
          <w:tcPr>
            <w:tcW w:w="6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Recognized gains and losses, net</w:t>
            </w:r>
          </w:p>
        </w:tc>
        <w:tc>
          <w:tcPr>
            <w:tcW w:w="2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center"/>
              <w:ind w:left="489"/>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176</w:t>
            </w:r>
          </w:p>
        </w:tc>
        <w:tc>
          <w:tcPr>
            <w:tcW w:w="0" w:type="dxa"/>
            <w:vAlign w:val="bottom"/>
          </w:tcPr>
          <w:p>
            <w:pPr>
              <w:spacing w:after="0"/>
              <w:rPr>
                <w:sz w:val="1"/>
                <w:szCs w:val="1"/>
                <w:color w:val="auto"/>
              </w:rPr>
            </w:pPr>
          </w:p>
        </w:tc>
      </w:tr>
      <w:tr>
        <w:trPr>
          <w:trHeight w:val="181"/>
        </w:trPr>
        <w:tc>
          <w:tcPr>
            <w:tcW w:w="6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segment revenues</w:t>
            </w:r>
          </w:p>
        </w:tc>
        <w:tc>
          <w:tcPr>
            <w:tcW w:w="2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2,265</w:t>
            </w: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1,694</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center"/>
              <w:ind w:left="569"/>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4,030</w:t>
            </w:r>
          </w:p>
        </w:tc>
        <w:tc>
          <w:tcPr>
            <w:tcW w:w="0" w:type="dxa"/>
            <w:vAlign w:val="bottom"/>
          </w:tcPr>
          <w:p>
            <w:pPr>
              <w:spacing w:after="0"/>
              <w:rPr>
                <w:sz w:val="1"/>
                <w:szCs w:val="1"/>
                <w:color w:val="auto"/>
              </w:rPr>
            </w:pPr>
          </w:p>
        </w:tc>
      </w:tr>
      <w:tr>
        <w:trPr>
          <w:trHeight w:val="24"/>
        </w:trPr>
        <w:tc>
          <w:tcPr>
            <w:tcW w:w="6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Significant segment expenses:</w:t>
            </w:r>
          </w:p>
        </w:tc>
        <w:tc>
          <w:tcPr>
            <w:tcW w:w="2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6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Personnel costs</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left="489"/>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899</w:t>
            </w:r>
          </w:p>
        </w:tc>
        <w:tc>
          <w:tcPr>
            <w:tcW w:w="0" w:type="dxa"/>
            <w:vAlign w:val="bottom"/>
          </w:tcPr>
          <w:p>
            <w:pPr>
              <w:spacing w:after="0"/>
              <w:rPr>
                <w:sz w:val="1"/>
                <w:szCs w:val="1"/>
                <w:color w:val="auto"/>
              </w:rPr>
            </w:pPr>
          </w:p>
        </w:tc>
      </w:tr>
      <w:tr>
        <w:trPr>
          <w:trHeight w:val="24"/>
        </w:trPr>
        <w:tc>
          <w:tcPr>
            <w:tcW w:w="6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Agent commissions</w:t>
            </w: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gridSpan w:val="2"/>
            <w:shd w:val="clear" w:color="auto" w:fill="CCEEFF"/>
          </w:tcPr>
          <w:p>
            <w:pPr>
              <w:jc w:val="center"/>
              <w:ind w:left="489"/>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690</w:t>
            </w:r>
          </w:p>
        </w:tc>
        <w:tc>
          <w:tcPr>
            <w:tcW w:w="0" w:type="dxa"/>
            <w:vAlign w:val="bottom"/>
          </w:tcPr>
          <w:p>
            <w:pPr>
              <w:spacing w:after="0"/>
              <w:rPr>
                <w:sz w:val="1"/>
                <w:szCs w:val="1"/>
                <w:color w:val="auto"/>
              </w:rPr>
            </w:pPr>
          </w:p>
        </w:tc>
      </w:tr>
      <w:tr>
        <w:trPr>
          <w:trHeight w:val="188"/>
        </w:trPr>
        <w:tc>
          <w:tcPr>
            <w:tcW w:w="6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operating expenses</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left="489"/>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407</w:t>
            </w:r>
          </w:p>
        </w:tc>
        <w:tc>
          <w:tcPr>
            <w:tcW w:w="0" w:type="dxa"/>
            <w:vAlign w:val="bottom"/>
          </w:tcPr>
          <w:p>
            <w:pPr>
              <w:spacing w:after="0"/>
              <w:rPr>
                <w:sz w:val="1"/>
                <w:szCs w:val="1"/>
                <w:color w:val="auto"/>
              </w:rPr>
            </w:pPr>
          </w:p>
        </w:tc>
      </w:tr>
      <w:tr>
        <w:trPr>
          <w:trHeight w:val="24"/>
        </w:trPr>
        <w:tc>
          <w:tcPr>
            <w:tcW w:w="6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Benefits and other changes in policy reserves</w:t>
            </w: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1,181</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center"/>
              <w:ind w:left="489"/>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1,181</w:t>
            </w:r>
          </w:p>
        </w:tc>
        <w:tc>
          <w:tcPr>
            <w:tcW w:w="0" w:type="dxa"/>
            <w:vAlign w:val="bottom"/>
          </w:tcPr>
          <w:p>
            <w:pPr>
              <w:spacing w:after="0"/>
              <w:rPr>
                <w:sz w:val="1"/>
                <w:szCs w:val="1"/>
                <w:color w:val="auto"/>
              </w:rPr>
            </w:pPr>
          </w:p>
        </w:tc>
      </w:tr>
      <w:tr>
        <w:trPr>
          <w:trHeight w:val="181"/>
        </w:trPr>
        <w:tc>
          <w:tcPr>
            <w:tcW w:w="60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significant segment expenses</w:t>
            </w:r>
          </w:p>
        </w:tc>
        <w:tc>
          <w:tcPr>
            <w:tcW w:w="2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1,797</w:t>
            </w: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1,298</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center"/>
              <w:ind w:left="589"/>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3,177</w:t>
            </w:r>
          </w:p>
        </w:tc>
        <w:tc>
          <w:tcPr>
            <w:tcW w:w="0" w:type="dxa"/>
            <w:vAlign w:val="bottom"/>
          </w:tcPr>
          <w:p>
            <w:pPr>
              <w:spacing w:after="0"/>
              <w:rPr>
                <w:sz w:val="1"/>
                <w:szCs w:val="1"/>
                <w:color w:val="auto"/>
              </w:rPr>
            </w:pPr>
          </w:p>
        </w:tc>
      </w:tr>
      <w:tr>
        <w:trPr>
          <w:trHeight w:val="24"/>
        </w:trPr>
        <w:tc>
          <w:tcPr>
            <w:tcW w:w="6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segment items:</w:t>
            </w:r>
          </w:p>
        </w:tc>
        <w:tc>
          <w:tcPr>
            <w:tcW w:w="2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6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left="489"/>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227</w:t>
            </w:r>
          </w:p>
        </w:tc>
        <w:tc>
          <w:tcPr>
            <w:tcW w:w="0" w:type="dxa"/>
            <w:vAlign w:val="bottom"/>
          </w:tcPr>
          <w:p>
            <w:pPr>
              <w:spacing w:after="0"/>
              <w:rPr>
                <w:sz w:val="1"/>
                <w:szCs w:val="1"/>
                <w:color w:val="auto"/>
              </w:rPr>
            </w:pPr>
          </w:p>
        </w:tc>
      </w:tr>
      <w:tr>
        <w:trPr>
          <w:trHeight w:val="24"/>
        </w:trPr>
        <w:tc>
          <w:tcPr>
            <w:tcW w:w="6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Provision for title claim losses</w:t>
            </w: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gridSpan w:val="2"/>
            <w:shd w:val="clear" w:color="auto" w:fill="CCEEFF"/>
          </w:tcPr>
          <w:p>
            <w:pPr>
              <w:jc w:val="center"/>
              <w:ind w:left="489"/>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70</w:t>
            </w:r>
          </w:p>
        </w:tc>
        <w:tc>
          <w:tcPr>
            <w:tcW w:w="0" w:type="dxa"/>
            <w:vAlign w:val="bottom"/>
          </w:tcPr>
          <w:p>
            <w:pPr>
              <w:spacing w:after="0"/>
              <w:rPr>
                <w:sz w:val="1"/>
                <w:szCs w:val="1"/>
                <w:color w:val="auto"/>
              </w:rPr>
            </w:pPr>
          </w:p>
        </w:tc>
      </w:tr>
      <w:tr>
        <w:trPr>
          <w:trHeight w:val="188"/>
        </w:trPr>
        <w:tc>
          <w:tcPr>
            <w:tcW w:w="6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Market risk benefit losses</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jc w:val="center"/>
              <w:ind w:left="489"/>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43</w:t>
            </w:r>
          </w:p>
        </w:tc>
        <w:tc>
          <w:tcPr>
            <w:tcW w:w="0" w:type="dxa"/>
            <w:vAlign w:val="bottom"/>
          </w:tcPr>
          <w:p>
            <w:pPr>
              <w:spacing w:after="0"/>
              <w:rPr>
                <w:sz w:val="1"/>
                <w:szCs w:val="1"/>
                <w:color w:val="auto"/>
              </w:rPr>
            </w:pPr>
          </w:p>
        </w:tc>
      </w:tr>
      <w:tr>
        <w:trPr>
          <w:trHeight w:val="24"/>
        </w:trPr>
        <w:tc>
          <w:tcPr>
            <w:tcW w:w="6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center"/>
              <w:ind w:left="489"/>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60</w:t>
            </w:r>
          </w:p>
        </w:tc>
        <w:tc>
          <w:tcPr>
            <w:tcW w:w="0" w:type="dxa"/>
            <w:vAlign w:val="bottom"/>
          </w:tcPr>
          <w:p>
            <w:pPr>
              <w:spacing w:after="0"/>
              <w:rPr>
                <w:sz w:val="1"/>
                <w:szCs w:val="1"/>
                <w:color w:val="auto"/>
              </w:rPr>
            </w:pPr>
          </w:p>
        </w:tc>
      </w:tr>
      <w:tr>
        <w:trPr>
          <w:trHeight w:val="181"/>
        </w:trPr>
        <w:tc>
          <w:tcPr>
            <w:tcW w:w="60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Total other segment items</w:t>
            </w:r>
          </w:p>
        </w:tc>
        <w:tc>
          <w:tcPr>
            <w:tcW w:w="2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center"/>
              <w:ind w:left="589"/>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400</w:t>
            </w:r>
          </w:p>
        </w:tc>
        <w:tc>
          <w:tcPr>
            <w:tcW w:w="0" w:type="dxa"/>
            <w:vAlign w:val="bottom"/>
          </w:tcPr>
          <w:p>
            <w:pPr>
              <w:spacing w:after="0"/>
              <w:rPr>
                <w:sz w:val="1"/>
                <w:szCs w:val="1"/>
                <w:color w:val="auto"/>
              </w:rPr>
            </w:pPr>
          </w:p>
        </w:tc>
      </w:tr>
      <w:tr>
        <w:trPr>
          <w:trHeight w:val="24"/>
        </w:trPr>
        <w:tc>
          <w:tcPr>
            <w:tcW w:w="6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60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segment expenses</w:t>
            </w:r>
          </w:p>
        </w:tc>
        <w:tc>
          <w:tcPr>
            <w:tcW w:w="2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1,906</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1,563</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center"/>
              <w:ind w:left="489"/>
              <w:spacing w:after="0"/>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3,577</w:t>
            </w:r>
          </w:p>
        </w:tc>
        <w:tc>
          <w:tcPr>
            <w:tcW w:w="0" w:type="dxa"/>
            <w:vAlign w:val="bottom"/>
          </w:tcPr>
          <w:p>
            <w:pPr>
              <w:spacing w:after="0"/>
              <w:rPr>
                <w:sz w:val="1"/>
                <w:szCs w:val="1"/>
                <w:color w:val="auto"/>
              </w:rPr>
            </w:pPr>
          </w:p>
        </w:tc>
      </w:tr>
      <w:tr>
        <w:trPr>
          <w:trHeight w:val="181"/>
        </w:trPr>
        <w:tc>
          <w:tcPr>
            <w:tcW w:w="6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Earnings (loss) before income taxes and equity in earnings of unconsolidated affiliates</w:t>
            </w:r>
          </w:p>
        </w:tc>
        <w:tc>
          <w:tcPr>
            <w:tcW w:w="2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359</w:t>
            </w: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center"/>
              <w:ind w:left="569"/>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453</w:t>
            </w:r>
          </w:p>
        </w:tc>
        <w:tc>
          <w:tcPr>
            <w:tcW w:w="0" w:type="dxa"/>
            <w:vAlign w:val="bottom"/>
          </w:tcPr>
          <w:p>
            <w:pPr>
              <w:spacing w:after="0"/>
              <w:rPr>
                <w:sz w:val="1"/>
                <w:szCs w:val="1"/>
                <w:color w:val="auto"/>
              </w:rPr>
            </w:pPr>
          </w:p>
        </w:tc>
      </w:tr>
      <w:tr>
        <w:trPr>
          <w:trHeight w:val="24"/>
        </w:trPr>
        <w:tc>
          <w:tcPr>
            <w:tcW w:w="6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2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center"/>
              <w:ind w:left="489"/>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90</w:t>
            </w:r>
          </w:p>
        </w:tc>
        <w:tc>
          <w:tcPr>
            <w:tcW w:w="0" w:type="dxa"/>
            <w:vAlign w:val="bottom"/>
          </w:tcPr>
          <w:p>
            <w:pPr>
              <w:spacing w:after="0"/>
              <w:rPr>
                <w:sz w:val="1"/>
                <w:szCs w:val="1"/>
                <w:color w:val="auto"/>
              </w:rPr>
            </w:pPr>
          </w:p>
        </w:tc>
      </w:tr>
      <w:tr>
        <w:trPr>
          <w:trHeight w:val="181"/>
        </w:trPr>
        <w:tc>
          <w:tcPr>
            <w:tcW w:w="6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Earnings (loss) before equity in earnings of unconsolidated affiliates</w:t>
            </w:r>
          </w:p>
        </w:tc>
        <w:tc>
          <w:tcPr>
            <w:tcW w:w="2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center"/>
              <w:ind w:left="569"/>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363</w:t>
            </w:r>
          </w:p>
        </w:tc>
        <w:tc>
          <w:tcPr>
            <w:tcW w:w="0" w:type="dxa"/>
            <w:vAlign w:val="bottom"/>
          </w:tcPr>
          <w:p>
            <w:pPr>
              <w:spacing w:after="0"/>
              <w:rPr>
                <w:sz w:val="1"/>
                <w:szCs w:val="1"/>
                <w:color w:val="auto"/>
              </w:rPr>
            </w:pPr>
          </w:p>
        </w:tc>
      </w:tr>
      <w:tr>
        <w:trPr>
          <w:trHeight w:val="24"/>
        </w:trPr>
        <w:tc>
          <w:tcPr>
            <w:tcW w:w="6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in earnings of unconsolidated affiliates</w:t>
            </w:r>
          </w:p>
        </w:tc>
        <w:tc>
          <w:tcPr>
            <w:tcW w:w="2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center"/>
              <w:ind w:left="489"/>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w:t>
            </w:r>
          </w:p>
        </w:tc>
        <w:tc>
          <w:tcPr>
            <w:tcW w:w="0" w:type="dxa"/>
            <w:vAlign w:val="bottom"/>
          </w:tcPr>
          <w:p>
            <w:pPr>
              <w:spacing w:after="0"/>
              <w:rPr>
                <w:sz w:val="1"/>
                <w:szCs w:val="1"/>
                <w:color w:val="auto"/>
              </w:rPr>
            </w:pPr>
          </w:p>
        </w:tc>
      </w:tr>
      <w:tr>
        <w:trPr>
          <w:trHeight w:val="205"/>
        </w:trPr>
        <w:tc>
          <w:tcPr>
            <w:tcW w:w="6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earnings (loss) from continuing operations</w:t>
            </w: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298</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center"/>
              <w:ind w:left="569"/>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389</w:t>
            </w:r>
          </w:p>
        </w:tc>
        <w:tc>
          <w:tcPr>
            <w:tcW w:w="0" w:type="dxa"/>
            <w:vAlign w:val="bottom"/>
          </w:tcPr>
          <w:p>
            <w:pPr>
              <w:spacing w:after="0"/>
              <w:rPr>
                <w:sz w:val="1"/>
                <w:szCs w:val="1"/>
                <w:color w:val="auto"/>
              </w:rPr>
            </w:pPr>
          </w:p>
        </w:tc>
      </w:tr>
      <w:tr>
        <w:trPr>
          <w:trHeight w:val="20"/>
        </w:trPr>
        <w:tc>
          <w:tcPr>
            <w:tcW w:w="60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8,154</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96,142</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2,340</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bottom w:val="single" w:sz="8" w:color="CCEEFF"/>
            </w:tcBorders>
            <w:gridSpan w:val="2"/>
            <w:shd w:val="clear" w:color="auto" w:fill="CCEEFF"/>
          </w:tcPr>
          <w:p>
            <w:pPr>
              <w:jc w:val="center"/>
              <w:ind w:left="489"/>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106,636</w:t>
            </w:r>
          </w:p>
        </w:tc>
        <w:tc>
          <w:tcPr>
            <w:tcW w:w="0" w:type="dxa"/>
            <w:vAlign w:val="bottom"/>
          </w:tcPr>
          <w:p>
            <w:pPr>
              <w:spacing w:after="0"/>
              <w:rPr>
                <w:sz w:val="1"/>
                <w:szCs w:val="1"/>
                <w:color w:val="auto"/>
              </w:rPr>
            </w:pPr>
          </w:p>
        </w:tc>
      </w:tr>
      <w:tr>
        <w:trPr>
          <w:trHeight w:val="188"/>
        </w:trPr>
        <w:tc>
          <w:tcPr>
            <w:tcW w:w="6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left="489"/>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5,272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and for the nine months ended September 30, 2026:</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80" w:type="dxa"/>
            <w:vAlign w:val="bottom"/>
          </w:tcPr>
          <w:p>
            <w:pPr>
              <w:spacing w:after="0"/>
              <w:rPr>
                <w:sz w:val="13"/>
                <w:szCs w:val="13"/>
                <w:color w:val="auto"/>
              </w:rPr>
            </w:pPr>
          </w:p>
        </w:tc>
        <w:tc>
          <w:tcPr>
            <w:tcW w:w="8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F&amp;G</w:t>
            </w:r>
          </w:p>
        </w:tc>
        <w:tc>
          <w:tcPr>
            <w:tcW w:w="11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120" w:type="dxa"/>
            <w:vAlign w:val="bottom"/>
          </w:tcPr>
          <w:p>
            <w:pPr>
              <w:spacing w:after="0"/>
              <w:rPr>
                <w:sz w:val="13"/>
                <w:szCs w:val="13"/>
                <w:color w:val="auto"/>
              </w:rPr>
            </w:pPr>
          </w:p>
        </w:tc>
        <w:tc>
          <w:tcPr>
            <w:tcW w:w="10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Elimination</w:t>
            </w:r>
          </w:p>
        </w:tc>
        <w:tc>
          <w:tcPr>
            <w:tcW w:w="200" w:type="dxa"/>
            <w:vAlign w:val="bottom"/>
          </w:tcPr>
          <w:p>
            <w:pPr>
              <w:spacing w:after="0"/>
              <w:rPr>
                <w:sz w:val="13"/>
                <w:szCs w:val="13"/>
                <w:color w:val="auto"/>
              </w:rPr>
            </w:pPr>
          </w:p>
        </w:tc>
        <w:tc>
          <w:tcPr>
            <w:tcW w:w="700" w:type="dxa"/>
            <w:vAlign w:val="bottom"/>
            <w:vMerge w:val="restart"/>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6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6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Direct title insurance premiums</w:t>
            </w: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2,105</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jc w:val="center"/>
              <w:ind w:left="46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2,105</w:t>
            </w:r>
          </w:p>
        </w:tc>
        <w:tc>
          <w:tcPr>
            <w:tcW w:w="0" w:type="dxa"/>
            <w:vAlign w:val="bottom"/>
          </w:tcPr>
          <w:p>
            <w:pPr>
              <w:spacing w:after="0"/>
              <w:rPr>
                <w:sz w:val="1"/>
                <w:szCs w:val="1"/>
                <w:color w:val="auto"/>
              </w:rPr>
            </w:pPr>
          </w:p>
        </w:tc>
      </w:tr>
      <w:tr>
        <w:trPr>
          <w:trHeight w:val="188"/>
        </w:trPr>
        <w:tc>
          <w:tcPr>
            <w:tcW w:w="6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Agency title insurance premiums</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jc w:val="center"/>
              <w:ind w:left="46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2,670</w:t>
            </w:r>
          </w:p>
        </w:tc>
        <w:tc>
          <w:tcPr>
            <w:tcW w:w="0" w:type="dxa"/>
            <w:vAlign w:val="bottom"/>
          </w:tcPr>
          <w:p>
            <w:pPr>
              <w:spacing w:after="0"/>
              <w:rPr>
                <w:sz w:val="1"/>
                <w:szCs w:val="1"/>
                <w:color w:val="auto"/>
              </w:rPr>
            </w:pPr>
          </w:p>
        </w:tc>
      </w:tr>
      <w:tr>
        <w:trPr>
          <w:trHeight w:val="24"/>
        </w:trPr>
        <w:tc>
          <w:tcPr>
            <w:tcW w:w="6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6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Escrow, title related and other fees</w:t>
            </w: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1,982</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1,259</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jc w:val="center"/>
              <w:ind w:left="46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3,367</w:t>
            </w:r>
          </w:p>
        </w:tc>
        <w:tc>
          <w:tcPr>
            <w:tcW w:w="0" w:type="dxa"/>
            <w:vAlign w:val="bottom"/>
          </w:tcPr>
          <w:p>
            <w:pPr>
              <w:spacing w:after="0"/>
              <w:rPr>
                <w:sz w:val="1"/>
                <w:szCs w:val="1"/>
                <w:color w:val="auto"/>
              </w:rPr>
            </w:pPr>
          </w:p>
        </w:tc>
      </w:tr>
      <w:tr>
        <w:trPr>
          <w:trHeight w:val="188"/>
        </w:trPr>
        <w:tc>
          <w:tcPr>
            <w:tcW w:w="6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and investment income</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center"/>
              <w:ind w:left="529"/>
              <w:spacing w:after="0"/>
              <w:rPr>
                <w:sz w:val="20"/>
                <w:szCs w:val="20"/>
                <w:color w:val="auto"/>
              </w:rPr>
            </w:pPr>
            <w:r>
              <w:rPr>
                <w:rFonts w:ascii="Times New Roman" w:cs="Times New Roman" w:eastAsia="Times New Roman" w:hAnsi="Times New Roman"/>
                <w:sz w:val="14"/>
                <w:szCs w:val="14"/>
                <w:color w:val="auto"/>
                <w:w w:val="94"/>
              </w:rPr>
              <w:t>(84)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2,429</w:t>
            </w:r>
          </w:p>
        </w:tc>
        <w:tc>
          <w:tcPr>
            <w:tcW w:w="0" w:type="dxa"/>
            <w:vAlign w:val="bottom"/>
          </w:tcPr>
          <w:p>
            <w:pPr>
              <w:spacing w:after="0"/>
              <w:rPr>
                <w:sz w:val="1"/>
                <w:szCs w:val="1"/>
                <w:color w:val="auto"/>
              </w:rPr>
            </w:pPr>
          </w:p>
        </w:tc>
      </w:tr>
      <w:tr>
        <w:trPr>
          <w:trHeight w:val="24"/>
        </w:trPr>
        <w:tc>
          <w:tcPr>
            <w:tcW w:w="6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6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Recognized gains and losses, net</w:t>
            </w:r>
          </w:p>
        </w:tc>
        <w:tc>
          <w:tcPr>
            <w:tcW w:w="2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center"/>
              <w:ind w:left="46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284</w:t>
            </w:r>
          </w:p>
        </w:tc>
        <w:tc>
          <w:tcPr>
            <w:tcW w:w="0" w:type="dxa"/>
            <w:vAlign w:val="bottom"/>
          </w:tcPr>
          <w:p>
            <w:pPr>
              <w:spacing w:after="0"/>
              <w:rPr>
                <w:sz w:val="1"/>
                <w:szCs w:val="1"/>
                <w:color w:val="auto"/>
              </w:rPr>
            </w:pPr>
          </w:p>
        </w:tc>
      </w:tr>
      <w:tr>
        <w:trPr>
          <w:trHeight w:val="181"/>
        </w:trPr>
        <w:tc>
          <w:tcPr>
            <w:tcW w:w="6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segment revenues</w:t>
            </w:r>
          </w:p>
        </w:tc>
        <w:tc>
          <w:tcPr>
            <w:tcW w:w="2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6,976</w:t>
            </w: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3,739</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center"/>
              <w:ind w:left="529"/>
              <w:spacing w:after="0"/>
              <w:rPr>
                <w:sz w:val="20"/>
                <w:szCs w:val="20"/>
                <w:color w:val="auto"/>
              </w:rPr>
            </w:pPr>
            <w:r>
              <w:rPr>
                <w:rFonts w:ascii="Times New Roman" w:cs="Times New Roman" w:eastAsia="Times New Roman" w:hAnsi="Times New Roman"/>
                <w:sz w:val="14"/>
                <w:szCs w:val="14"/>
                <w:color w:val="auto"/>
                <w:w w:val="94"/>
              </w:rPr>
              <w:t>(84)</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10,855</w:t>
            </w:r>
          </w:p>
        </w:tc>
        <w:tc>
          <w:tcPr>
            <w:tcW w:w="0" w:type="dxa"/>
            <w:vAlign w:val="bottom"/>
          </w:tcPr>
          <w:p>
            <w:pPr>
              <w:spacing w:after="0"/>
              <w:rPr>
                <w:sz w:val="1"/>
                <w:szCs w:val="1"/>
                <w:color w:val="auto"/>
              </w:rPr>
            </w:pPr>
          </w:p>
        </w:tc>
      </w:tr>
      <w:tr>
        <w:trPr>
          <w:trHeight w:val="24"/>
        </w:trPr>
        <w:tc>
          <w:tcPr>
            <w:tcW w:w="6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6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Significant segment expenses:</w:t>
            </w:r>
          </w:p>
        </w:tc>
        <w:tc>
          <w:tcPr>
            <w:tcW w:w="2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6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Personnel costs</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left="46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2,740</w:t>
            </w:r>
          </w:p>
        </w:tc>
        <w:tc>
          <w:tcPr>
            <w:tcW w:w="0" w:type="dxa"/>
            <w:vAlign w:val="bottom"/>
          </w:tcPr>
          <w:p>
            <w:pPr>
              <w:spacing w:after="0"/>
              <w:rPr>
                <w:sz w:val="1"/>
                <w:szCs w:val="1"/>
                <w:color w:val="auto"/>
              </w:rPr>
            </w:pPr>
          </w:p>
        </w:tc>
      </w:tr>
      <w:tr>
        <w:trPr>
          <w:trHeight w:val="24"/>
        </w:trPr>
        <w:tc>
          <w:tcPr>
            <w:tcW w:w="6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6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Agent commissions</w:t>
            </w: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2,068</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jc w:val="center"/>
              <w:ind w:left="46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2,068</w:t>
            </w:r>
          </w:p>
        </w:tc>
        <w:tc>
          <w:tcPr>
            <w:tcW w:w="0" w:type="dxa"/>
            <w:vAlign w:val="bottom"/>
          </w:tcPr>
          <w:p>
            <w:pPr>
              <w:spacing w:after="0"/>
              <w:rPr>
                <w:sz w:val="1"/>
                <w:szCs w:val="1"/>
                <w:color w:val="auto"/>
              </w:rPr>
            </w:pPr>
          </w:p>
        </w:tc>
      </w:tr>
      <w:tr>
        <w:trPr>
          <w:trHeight w:val="188"/>
        </w:trPr>
        <w:tc>
          <w:tcPr>
            <w:tcW w:w="6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operating expenses</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left="46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1,300</w:t>
            </w:r>
          </w:p>
        </w:tc>
        <w:tc>
          <w:tcPr>
            <w:tcW w:w="0" w:type="dxa"/>
            <w:vAlign w:val="bottom"/>
          </w:tcPr>
          <w:p>
            <w:pPr>
              <w:spacing w:after="0"/>
              <w:rPr>
                <w:sz w:val="1"/>
                <w:szCs w:val="1"/>
                <w:color w:val="auto"/>
              </w:rPr>
            </w:pPr>
          </w:p>
        </w:tc>
      </w:tr>
      <w:tr>
        <w:trPr>
          <w:trHeight w:val="24"/>
        </w:trPr>
        <w:tc>
          <w:tcPr>
            <w:tcW w:w="6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6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Benefits and other changes in policy reserves</w:t>
            </w:r>
          </w:p>
        </w:tc>
        <w:tc>
          <w:tcPr>
            <w:tcW w:w="2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1,659</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center"/>
              <w:ind w:left="46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1,659</w:t>
            </w:r>
          </w:p>
        </w:tc>
        <w:tc>
          <w:tcPr>
            <w:tcW w:w="0" w:type="dxa"/>
            <w:vAlign w:val="bottom"/>
          </w:tcPr>
          <w:p>
            <w:pPr>
              <w:spacing w:after="0"/>
              <w:rPr>
                <w:sz w:val="1"/>
                <w:szCs w:val="1"/>
                <w:color w:val="auto"/>
              </w:rPr>
            </w:pPr>
          </w:p>
        </w:tc>
      </w:tr>
      <w:tr>
        <w:trPr>
          <w:trHeight w:val="181"/>
        </w:trPr>
        <w:tc>
          <w:tcPr>
            <w:tcW w:w="61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Total significant segment expenses</w:t>
            </w:r>
          </w:p>
        </w:tc>
        <w:tc>
          <w:tcPr>
            <w:tcW w:w="2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5,595</w:t>
            </w: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1,973</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center"/>
              <w:ind w:left="569"/>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7,767</w:t>
            </w:r>
          </w:p>
        </w:tc>
        <w:tc>
          <w:tcPr>
            <w:tcW w:w="0" w:type="dxa"/>
            <w:vAlign w:val="bottom"/>
          </w:tcPr>
          <w:p>
            <w:pPr>
              <w:spacing w:after="0"/>
              <w:rPr>
                <w:sz w:val="1"/>
                <w:szCs w:val="1"/>
                <w:color w:val="auto"/>
              </w:rPr>
            </w:pPr>
          </w:p>
        </w:tc>
      </w:tr>
      <w:tr>
        <w:trPr>
          <w:trHeight w:val="24"/>
        </w:trPr>
        <w:tc>
          <w:tcPr>
            <w:tcW w:w="6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6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segment items:</w:t>
            </w:r>
          </w:p>
        </w:tc>
        <w:tc>
          <w:tcPr>
            <w:tcW w:w="2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6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left="46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672</w:t>
            </w:r>
          </w:p>
        </w:tc>
        <w:tc>
          <w:tcPr>
            <w:tcW w:w="0" w:type="dxa"/>
            <w:vAlign w:val="bottom"/>
          </w:tcPr>
          <w:p>
            <w:pPr>
              <w:spacing w:after="0"/>
              <w:rPr>
                <w:sz w:val="1"/>
                <w:szCs w:val="1"/>
                <w:color w:val="auto"/>
              </w:rPr>
            </w:pPr>
          </w:p>
        </w:tc>
      </w:tr>
      <w:tr>
        <w:trPr>
          <w:trHeight w:val="24"/>
        </w:trPr>
        <w:tc>
          <w:tcPr>
            <w:tcW w:w="6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6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Provision for title claim losses</w:t>
            </w: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jc w:val="center"/>
              <w:ind w:left="46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215</w:t>
            </w:r>
          </w:p>
        </w:tc>
        <w:tc>
          <w:tcPr>
            <w:tcW w:w="0" w:type="dxa"/>
            <w:vAlign w:val="bottom"/>
          </w:tcPr>
          <w:p>
            <w:pPr>
              <w:spacing w:after="0"/>
              <w:rPr>
                <w:sz w:val="1"/>
                <w:szCs w:val="1"/>
                <w:color w:val="auto"/>
              </w:rPr>
            </w:pPr>
          </w:p>
        </w:tc>
      </w:tr>
      <w:tr>
        <w:trPr>
          <w:trHeight w:val="188"/>
        </w:trPr>
        <w:tc>
          <w:tcPr>
            <w:tcW w:w="6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Market risk benefit gains</w:t>
            </w:r>
          </w:p>
        </w:tc>
        <w:tc>
          <w:tcPr>
            <w:tcW w:w="20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jc w:val="center"/>
              <w:ind w:left="46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(62)</w:t>
            </w:r>
          </w:p>
        </w:tc>
        <w:tc>
          <w:tcPr>
            <w:tcW w:w="0" w:type="dxa"/>
            <w:vAlign w:val="bottom"/>
          </w:tcPr>
          <w:p>
            <w:pPr>
              <w:spacing w:after="0"/>
              <w:rPr>
                <w:sz w:val="1"/>
                <w:szCs w:val="1"/>
                <w:color w:val="auto"/>
              </w:rPr>
            </w:pPr>
          </w:p>
        </w:tc>
      </w:tr>
      <w:tr>
        <w:trPr>
          <w:trHeight w:val="24"/>
        </w:trPr>
        <w:tc>
          <w:tcPr>
            <w:tcW w:w="6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6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2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center"/>
              <w:ind w:left="46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182</w:t>
            </w:r>
          </w:p>
        </w:tc>
        <w:tc>
          <w:tcPr>
            <w:tcW w:w="0" w:type="dxa"/>
            <w:vAlign w:val="bottom"/>
          </w:tcPr>
          <w:p>
            <w:pPr>
              <w:spacing w:after="0"/>
              <w:rPr>
                <w:sz w:val="1"/>
                <w:szCs w:val="1"/>
                <w:color w:val="auto"/>
              </w:rPr>
            </w:pPr>
          </w:p>
        </w:tc>
      </w:tr>
      <w:tr>
        <w:trPr>
          <w:trHeight w:val="181"/>
        </w:trPr>
        <w:tc>
          <w:tcPr>
            <w:tcW w:w="61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other segment items</w:t>
            </w:r>
          </w:p>
        </w:tc>
        <w:tc>
          <w:tcPr>
            <w:tcW w:w="2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601</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center"/>
              <w:ind w:left="569"/>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1,007</w:t>
            </w:r>
          </w:p>
        </w:tc>
        <w:tc>
          <w:tcPr>
            <w:tcW w:w="0" w:type="dxa"/>
            <w:vAlign w:val="bottom"/>
          </w:tcPr>
          <w:p>
            <w:pPr>
              <w:spacing w:after="0"/>
              <w:rPr>
                <w:sz w:val="1"/>
                <w:szCs w:val="1"/>
                <w:color w:val="auto"/>
              </w:rPr>
            </w:pPr>
          </w:p>
        </w:tc>
      </w:tr>
      <w:tr>
        <w:trPr>
          <w:trHeight w:val="24"/>
        </w:trPr>
        <w:tc>
          <w:tcPr>
            <w:tcW w:w="6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61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segment expenses</w:t>
            </w:r>
          </w:p>
        </w:tc>
        <w:tc>
          <w:tcPr>
            <w:tcW w:w="2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5,923</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2,574</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center"/>
              <w:ind w:left="46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8,774</w:t>
            </w:r>
          </w:p>
        </w:tc>
        <w:tc>
          <w:tcPr>
            <w:tcW w:w="0" w:type="dxa"/>
            <w:vAlign w:val="bottom"/>
          </w:tcPr>
          <w:p>
            <w:pPr>
              <w:spacing w:after="0"/>
              <w:rPr>
                <w:sz w:val="1"/>
                <w:szCs w:val="1"/>
                <w:color w:val="auto"/>
              </w:rPr>
            </w:pPr>
          </w:p>
        </w:tc>
      </w:tr>
      <w:tr>
        <w:trPr>
          <w:trHeight w:val="181"/>
        </w:trPr>
        <w:tc>
          <w:tcPr>
            <w:tcW w:w="6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Earnings (loss) before income taxes and equity in earnings of unconsolidated affiliates</w:t>
            </w:r>
          </w:p>
        </w:tc>
        <w:tc>
          <w:tcPr>
            <w:tcW w:w="2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1,053</w:t>
            </w: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1,165</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center"/>
              <w:ind w:left="529"/>
              <w:spacing w:after="0"/>
              <w:rPr>
                <w:sz w:val="20"/>
                <w:szCs w:val="20"/>
                <w:color w:val="auto"/>
              </w:rPr>
            </w:pPr>
            <w:r>
              <w:rPr>
                <w:rFonts w:ascii="Times New Roman" w:cs="Times New Roman" w:eastAsia="Times New Roman" w:hAnsi="Times New Roman"/>
                <w:sz w:val="14"/>
                <w:szCs w:val="14"/>
                <w:color w:val="auto"/>
                <w:w w:val="94"/>
              </w:rPr>
              <w:t>(84)</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2,081</w:t>
            </w:r>
          </w:p>
        </w:tc>
        <w:tc>
          <w:tcPr>
            <w:tcW w:w="0" w:type="dxa"/>
            <w:vAlign w:val="bottom"/>
          </w:tcPr>
          <w:p>
            <w:pPr>
              <w:spacing w:after="0"/>
              <w:rPr>
                <w:sz w:val="1"/>
                <w:szCs w:val="1"/>
                <w:color w:val="auto"/>
              </w:rPr>
            </w:pPr>
          </w:p>
        </w:tc>
      </w:tr>
      <w:tr>
        <w:trPr>
          <w:trHeight w:val="24"/>
        </w:trPr>
        <w:tc>
          <w:tcPr>
            <w:tcW w:w="6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6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2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center"/>
              <w:ind w:left="46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635</w:t>
            </w:r>
          </w:p>
        </w:tc>
        <w:tc>
          <w:tcPr>
            <w:tcW w:w="0" w:type="dxa"/>
            <w:vAlign w:val="bottom"/>
          </w:tcPr>
          <w:p>
            <w:pPr>
              <w:spacing w:after="0"/>
              <w:rPr>
                <w:sz w:val="1"/>
                <w:szCs w:val="1"/>
                <w:color w:val="auto"/>
              </w:rPr>
            </w:pPr>
          </w:p>
        </w:tc>
      </w:tr>
      <w:tr>
        <w:trPr>
          <w:trHeight w:val="181"/>
        </w:trPr>
        <w:tc>
          <w:tcPr>
            <w:tcW w:w="6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Earnings (loss) before equity in earnings of unconsolidated affiliates</w:t>
            </w:r>
          </w:p>
        </w:tc>
        <w:tc>
          <w:tcPr>
            <w:tcW w:w="2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785</w:t>
            </w: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915</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center"/>
              <w:ind w:left="529"/>
              <w:spacing w:after="0"/>
              <w:rPr>
                <w:sz w:val="20"/>
                <w:szCs w:val="20"/>
                <w:color w:val="auto"/>
              </w:rPr>
            </w:pPr>
            <w:r>
              <w:rPr>
                <w:rFonts w:ascii="Times New Roman" w:cs="Times New Roman" w:eastAsia="Times New Roman" w:hAnsi="Times New Roman"/>
                <w:sz w:val="14"/>
                <w:szCs w:val="14"/>
                <w:color w:val="auto"/>
                <w:w w:val="94"/>
              </w:rPr>
              <w:t>(84)</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1,446</w:t>
            </w:r>
          </w:p>
        </w:tc>
        <w:tc>
          <w:tcPr>
            <w:tcW w:w="0" w:type="dxa"/>
            <w:vAlign w:val="bottom"/>
          </w:tcPr>
          <w:p>
            <w:pPr>
              <w:spacing w:after="0"/>
              <w:rPr>
                <w:sz w:val="1"/>
                <w:szCs w:val="1"/>
                <w:color w:val="auto"/>
              </w:rPr>
            </w:pPr>
          </w:p>
        </w:tc>
      </w:tr>
      <w:tr>
        <w:trPr>
          <w:trHeight w:val="24"/>
        </w:trPr>
        <w:tc>
          <w:tcPr>
            <w:tcW w:w="6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6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in earnings of unconsolidated affiliates</w:t>
            </w:r>
          </w:p>
        </w:tc>
        <w:tc>
          <w:tcPr>
            <w:tcW w:w="2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center"/>
              <w:ind w:left="46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0" w:type="dxa"/>
            <w:vAlign w:val="bottom"/>
          </w:tcPr>
          <w:p>
            <w:pPr>
              <w:spacing w:after="0"/>
              <w:rPr>
                <w:sz w:val="1"/>
                <w:szCs w:val="1"/>
                <w:color w:val="auto"/>
              </w:rPr>
            </w:pPr>
          </w:p>
        </w:tc>
      </w:tr>
      <w:tr>
        <w:trPr>
          <w:trHeight w:val="205"/>
        </w:trPr>
        <w:tc>
          <w:tcPr>
            <w:tcW w:w="6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earnings (loss) from continuing operations</w:t>
            </w:r>
          </w:p>
        </w:tc>
        <w:tc>
          <w:tcPr>
            <w:tcW w:w="20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784</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915</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center"/>
              <w:ind w:left="529"/>
              <w:spacing w:after="0"/>
              <w:rPr>
                <w:sz w:val="20"/>
                <w:szCs w:val="20"/>
                <w:color w:val="auto"/>
              </w:rPr>
            </w:pPr>
            <w:r>
              <w:rPr>
                <w:rFonts w:ascii="Times New Roman" w:cs="Times New Roman" w:eastAsia="Times New Roman" w:hAnsi="Times New Roman"/>
                <w:sz w:val="14"/>
                <w:szCs w:val="14"/>
                <w:color w:val="auto"/>
                <w:w w:val="94"/>
              </w:rPr>
              <w:t>(84)</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1,445</w:t>
            </w:r>
          </w:p>
        </w:tc>
        <w:tc>
          <w:tcPr>
            <w:tcW w:w="0" w:type="dxa"/>
            <w:vAlign w:val="bottom"/>
          </w:tcPr>
          <w:p>
            <w:pPr>
              <w:spacing w:after="0"/>
              <w:rPr>
                <w:sz w:val="1"/>
                <w:szCs w:val="1"/>
                <w:color w:val="auto"/>
              </w:rPr>
            </w:pPr>
          </w:p>
        </w:tc>
      </w:tr>
      <w:tr>
        <w:trPr>
          <w:trHeight w:val="20"/>
        </w:trPr>
        <w:tc>
          <w:tcPr>
            <w:tcW w:w="6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6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20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8,506</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103,846</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2,340</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gridSpan w:val="2"/>
            <w:shd w:val="clear" w:color="auto" w:fill="CCEEFF"/>
          </w:tcPr>
          <w:p>
            <w:pPr>
              <w:jc w:val="center"/>
              <w:ind w:left="46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114,692</w:t>
            </w:r>
          </w:p>
        </w:tc>
        <w:tc>
          <w:tcPr>
            <w:tcW w:w="0" w:type="dxa"/>
            <w:vAlign w:val="bottom"/>
          </w:tcPr>
          <w:p>
            <w:pPr>
              <w:spacing w:after="0"/>
              <w:rPr>
                <w:sz w:val="1"/>
                <w:szCs w:val="1"/>
                <w:color w:val="auto"/>
              </w:rPr>
            </w:pPr>
          </w:p>
        </w:tc>
      </w:tr>
      <w:tr>
        <w:trPr>
          <w:trHeight w:val="188"/>
        </w:trPr>
        <w:tc>
          <w:tcPr>
            <w:tcW w:w="6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left="46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5,244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and for the nine months ended September 30, 2025:</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80" w:type="dxa"/>
            <w:vAlign w:val="bottom"/>
          </w:tcPr>
          <w:p>
            <w:pPr>
              <w:spacing w:after="0"/>
              <w:rPr>
                <w:sz w:val="13"/>
                <w:szCs w:val="13"/>
                <w:color w:val="auto"/>
              </w:rPr>
            </w:pPr>
          </w:p>
        </w:tc>
        <w:tc>
          <w:tcPr>
            <w:tcW w:w="8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F&amp;G</w:t>
            </w:r>
          </w:p>
        </w:tc>
        <w:tc>
          <w:tcPr>
            <w:tcW w:w="11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120" w:type="dxa"/>
            <w:vAlign w:val="bottom"/>
          </w:tcPr>
          <w:p>
            <w:pPr>
              <w:spacing w:after="0"/>
              <w:rPr>
                <w:sz w:val="13"/>
                <w:szCs w:val="13"/>
                <w:color w:val="auto"/>
              </w:rPr>
            </w:pPr>
          </w:p>
        </w:tc>
        <w:tc>
          <w:tcPr>
            <w:tcW w:w="10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Elimination</w:t>
            </w:r>
          </w:p>
        </w:tc>
        <w:tc>
          <w:tcPr>
            <w:tcW w:w="200" w:type="dxa"/>
            <w:vAlign w:val="bottom"/>
          </w:tcPr>
          <w:p>
            <w:pPr>
              <w:spacing w:after="0"/>
              <w:rPr>
                <w:sz w:val="13"/>
                <w:szCs w:val="13"/>
                <w:color w:val="auto"/>
              </w:rPr>
            </w:pPr>
          </w:p>
        </w:tc>
        <w:tc>
          <w:tcPr>
            <w:tcW w:w="700" w:type="dxa"/>
            <w:vAlign w:val="bottom"/>
            <w:vMerge w:val="restart"/>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6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Direct title insurance premiums</w:t>
            </w: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1,820</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jc w:val="center"/>
              <w:ind w:left="46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1,820</w:t>
            </w:r>
          </w:p>
        </w:tc>
        <w:tc>
          <w:tcPr>
            <w:tcW w:w="0" w:type="dxa"/>
            <w:vAlign w:val="bottom"/>
          </w:tcPr>
          <w:p>
            <w:pPr>
              <w:spacing w:after="0"/>
              <w:rPr>
                <w:sz w:val="1"/>
                <w:szCs w:val="1"/>
                <w:color w:val="auto"/>
              </w:rPr>
            </w:pPr>
          </w:p>
        </w:tc>
      </w:tr>
      <w:tr>
        <w:trPr>
          <w:trHeight w:val="188"/>
        </w:trPr>
        <w:tc>
          <w:tcPr>
            <w:tcW w:w="6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Agency title insurance premiums</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jc w:val="center"/>
              <w:ind w:left="46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2,410</w:t>
            </w:r>
          </w:p>
        </w:tc>
        <w:tc>
          <w:tcPr>
            <w:tcW w:w="0" w:type="dxa"/>
            <w:vAlign w:val="bottom"/>
          </w:tcPr>
          <w:p>
            <w:pPr>
              <w:spacing w:after="0"/>
              <w:rPr>
                <w:sz w:val="1"/>
                <w:szCs w:val="1"/>
                <w:color w:val="auto"/>
              </w:rPr>
            </w:pPr>
          </w:p>
        </w:tc>
      </w:tr>
      <w:tr>
        <w:trPr>
          <w:trHeight w:val="24"/>
        </w:trPr>
        <w:tc>
          <w:tcPr>
            <w:tcW w:w="6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6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Escrow, title related and other fees</w:t>
            </w: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1,772</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1,871</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jc w:val="center"/>
              <w:ind w:left="46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3,783</w:t>
            </w:r>
          </w:p>
        </w:tc>
        <w:tc>
          <w:tcPr>
            <w:tcW w:w="0" w:type="dxa"/>
            <w:vAlign w:val="bottom"/>
          </w:tcPr>
          <w:p>
            <w:pPr>
              <w:spacing w:after="0"/>
              <w:rPr>
                <w:sz w:val="1"/>
                <w:szCs w:val="1"/>
                <w:color w:val="auto"/>
              </w:rPr>
            </w:pPr>
          </w:p>
        </w:tc>
      </w:tr>
      <w:tr>
        <w:trPr>
          <w:trHeight w:val="188"/>
        </w:trPr>
        <w:tc>
          <w:tcPr>
            <w:tcW w:w="6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and investment income</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center"/>
              <w:ind w:left="529"/>
              <w:spacing w:after="0"/>
              <w:rPr>
                <w:sz w:val="20"/>
                <w:szCs w:val="20"/>
                <w:color w:val="auto"/>
              </w:rPr>
            </w:pPr>
            <w:r>
              <w:rPr>
                <w:rFonts w:ascii="Times New Roman" w:cs="Times New Roman" w:eastAsia="Times New Roman" w:hAnsi="Times New Roman"/>
                <w:sz w:val="14"/>
                <w:szCs w:val="14"/>
                <w:color w:val="auto"/>
                <w:w w:val="94"/>
              </w:rPr>
              <w:t>(85)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2,394</w:t>
            </w:r>
          </w:p>
        </w:tc>
        <w:tc>
          <w:tcPr>
            <w:tcW w:w="0" w:type="dxa"/>
            <w:vAlign w:val="bottom"/>
          </w:tcPr>
          <w:p>
            <w:pPr>
              <w:spacing w:after="0"/>
              <w:rPr>
                <w:sz w:val="1"/>
                <w:szCs w:val="1"/>
                <w:color w:val="auto"/>
              </w:rPr>
            </w:pPr>
          </w:p>
        </w:tc>
      </w:tr>
      <w:tr>
        <w:trPr>
          <w:trHeight w:val="24"/>
        </w:trPr>
        <w:tc>
          <w:tcPr>
            <w:tcW w:w="6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6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Recognized gains and losses, net</w:t>
            </w:r>
          </w:p>
        </w:tc>
        <w:tc>
          <w:tcPr>
            <w:tcW w:w="2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center"/>
              <w:ind w:left="46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w:t>
            </w:r>
          </w:p>
        </w:tc>
        <w:tc>
          <w:tcPr>
            <w:tcW w:w="0" w:type="dxa"/>
            <w:vAlign w:val="bottom"/>
          </w:tcPr>
          <w:p>
            <w:pPr>
              <w:spacing w:after="0"/>
              <w:rPr>
                <w:sz w:val="1"/>
                <w:szCs w:val="1"/>
                <w:color w:val="auto"/>
              </w:rPr>
            </w:pPr>
          </w:p>
        </w:tc>
      </w:tr>
      <w:tr>
        <w:trPr>
          <w:trHeight w:val="181"/>
        </w:trPr>
        <w:tc>
          <w:tcPr>
            <w:tcW w:w="6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segment revenues</w:t>
            </w:r>
          </w:p>
        </w:tc>
        <w:tc>
          <w:tcPr>
            <w:tcW w:w="2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6,252</w:t>
            </w: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3,966</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center"/>
              <w:ind w:left="529"/>
              <w:spacing w:after="0"/>
              <w:rPr>
                <w:sz w:val="20"/>
                <w:szCs w:val="20"/>
                <w:color w:val="auto"/>
              </w:rPr>
            </w:pPr>
            <w:r>
              <w:rPr>
                <w:rFonts w:ascii="Times New Roman" w:cs="Times New Roman" w:eastAsia="Times New Roman" w:hAnsi="Times New Roman"/>
                <w:sz w:val="14"/>
                <w:szCs w:val="14"/>
                <w:color w:val="auto"/>
                <w:w w:val="94"/>
              </w:rPr>
              <w:t>(85)</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10,394</w:t>
            </w:r>
          </w:p>
        </w:tc>
        <w:tc>
          <w:tcPr>
            <w:tcW w:w="0" w:type="dxa"/>
            <w:vAlign w:val="bottom"/>
          </w:tcPr>
          <w:p>
            <w:pPr>
              <w:spacing w:after="0"/>
              <w:rPr>
                <w:sz w:val="1"/>
                <w:szCs w:val="1"/>
                <w:color w:val="auto"/>
              </w:rPr>
            </w:pPr>
          </w:p>
        </w:tc>
      </w:tr>
      <w:tr>
        <w:trPr>
          <w:trHeight w:val="24"/>
        </w:trPr>
        <w:tc>
          <w:tcPr>
            <w:tcW w:w="6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6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Significant segment expenses:</w:t>
            </w:r>
          </w:p>
        </w:tc>
        <w:tc>
          <w:tcPr>
            <w:tcW w:w="2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6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Personnel costs</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left="46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2,536</w:t>
            </w:r>
          </w:p>
        </w:tc>
        <w:tc>
          <w:tcPr>
            <w:tcW w:w="0" w:type="dxa"/>
            <w:vAlign w:val="bottom"/>
          </w:tcPr>
          <w:p>
            <w:pPr>
              <w:spacing w:after="0"/>
              <w:rPr>
                <w:sz w:val="1"/>
                <w:szCs w:val="1"/>
                <w:color w:val="auto"/>
              </w:rPr>
            </w:pPr>
          </w:p>
        </w:tc>
      </w:tr>
      <w:tr>
        <w:trPr>
          <w:trHeight w:val="24"/>
        </w:trPr>
        <w:tc>
          <w:tcPr>
            <w:tcW w:w="6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6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Agent commissions</w:t>
            </w: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1,872</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jc w:val="center"/>
              <w:ind w:left="46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1,872</w:t>
            </w:r>
          </w:p>
        </w:tc>
        <w:tc>
          <w:tcPr>
            <w:tcW w:w="0" w:type="dxa"/>
            <w:vAlign w:val="bottom"/>
          </w:tcPr>
          <w:p>
            <w:pPr>
              <w:spacing w:after="0"/>
              <w:rPr>
                <w:sz w:val="1"/>
                <w:szCs w:val="1"/>
                <w:color w:val="auto"/>
              </w:rPr>
            </w:pPr>
          </w:p>
        </w:tc>
      </w:tr>
      <w:tr>
        <w:trPr>
          <w:trHeight w:val="188"/>
        </w:trPr>
        <w:tc>
          <w:tcPr>
            <w:tcW w:w="6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operating expenses</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left="46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1,200</w:t>
            </w:r>
          </w:p>
        </w:tc>
        <w:tc>
          <w:tcPr>
            <w:tcW w:w="0" w:type="dxa"/>
            <w:vAlign w:val="bottom"/>
          </w:tcPr>
          <w:p>
            <w:pPr>
              <w:spacing w:after="0"/>
              <w:rPr>
                <w:sz w:val="1"/>
                <w:szCs w:val="1"/>
                <w:color w:val="auto"/>
              </w:rPr>
            </w:pPr>
          </w:p>
        </w:tc>
      </w:tr>
      <w:tr>
        <w:trPr>
          <w:trHeight w:val="24"/>
        </w:trPr>
        <w:tc>
          <w:tcPr>
            <w:tcW w:w="6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6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Benefits and other changes in policy reserves</w:t>
            </w:r>
          </w:p>
        </w:tc>
        <w:tc>
          <w:tcPr>
            <w:tcW w:w="2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2,698</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center"/>
              <w:ind w:left="46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2,698</w:t>
            </w:r>
          </w:p>
        </w:tc>
        <w:tc>
          <w:tcPr>
            <w:tcW w:w="0" w:type="dxa"/>
            <w:vAlign w:val="bottom"/>
          </w:tcPr>
          <w:p>
            <w:pPr>
              <w:spacing w:after="0"/>
              <w:rPr>
                <w:sz w:val="1"/>
                <w:szCs w:val="1"/>
                <w:color w:val="auto"/>
              </w:rPr>
            </w:pPr>
          </w:p>
        </w:tc>
      </w:tr>
      <w:tr>
        <w:trPr>
          <w:trHeight w:val="181"/>
        </w:trPr>
        <w:tc>
          <w:tcPr>
            <w:tcW w:w="61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Total significant segment expenses</w:t>
            </w:r>
          </w:p>
        </w:tc>
        <w:tc>
          <w:tcPr>
            <w:tcW w:w="2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5,055</w:t>
            </w: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3,042</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center"/>
              <w:ind w:left="569"/>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8,306</w:t>
            </w:r>
          </w:p>
        </w:tc>
        <w:tc>
          <w:tcPr>
            <w:tcW w:w="0" w:type="dxa"/>
            <w:vAlign w:val="bottom"/>
          </w:tcPr>
          <w:p>
            <w:pPr>
              <w:spacing w:after="0"/>
              <w:rPr>
                <w:sz w:val="1"/>
                <w:szCs w:val="1"/>
                <w:color w:val="auto"/>
              </w:rPr>
            </w:pPr>
          </w:p>
        </w:tc>
      </w:tr>
      <w:tr>
        <w:trPr>
          <w:trHeight w:val="24"/>
        </w:trPr>
        <w:tc>
          <w:tcPr>
            <w:tcW w:w="6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6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segment items:</w:t>
            </w:r>
          </w:p>
        </w:tc>
        <w:tc>
          <w:tcPr>
            <w:tcW w:w="2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6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left="46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623</w:t>
            </w:r>
          </w:p>
        </w:tc>
        <w:tc>
          <w:tcPr>
            <w:tcW w:w="0" w:type="dxa"/>
            <w:vAlign w:val="bottom"/>
          </w:tcPr>
          <w:p>
            <w:pPr>
              <w:spacing w:after="0"/>
              <w:rPr>
                <w:sz w:val="1"/>
                <w:szCs w:val="1"/>
                <w:color w:val="auto"/>
              </w:rPr>
            </w:pPr>
          </w:p>
        </w:tc>
      </w:tr>
      <w:tr>
        <w:trPr>
          <w:trHeight w:val="24"/>
        </w:trPr>
        <w:tc>
          <w:tcPr>
            <w:tcW w:w="6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6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Provision for title claim losses</w:t>
            </w: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jc w:val="center"/>
              <w:ind w:left="46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190</w:t>
            </w:r>
          </w:p>
        </w:tc>
        <w:tc>
          <w:tcPr>
            <w:tcW w:w="0" w:type="dxa"/>
            <w:vAlign w:val="bottom"/>
          </w:tcPr>
          <w:p>
            <w:pPr>
              <w:spacing w:after="0"/>
              <w:rPr>
                <w:sz w:val="1"/>
                <w:szCs w:val="1"/>
                <w:color w:val="auto"/>
              </w:rPr>
            </w:pPr>
          </w:p>
        </w:tc>
      </w:tr>
      <w:tr>
        <w:trPr>
          <w:trHeight w:val="188"/>
        </w:trPr>
        <w:tc>
          <w:tcPr>
            <w:tcW w:w="6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Market risk benefit losses</w:t>
            </w:r>
          </w:p>
        </w:tc>
        <w:tc>
          <w:tcPr>
            <w:tcW w:w="20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jc w:val="center"/>
              <w:ind w:left="46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148</w:t>
            </w:r>
          </w:p>
        </w:tc>
        <w:tc>
          <w:tcPr>
            <w:tcW w:w="0" w:type="dxa"/>
            <w:vAlign w:val="bottom"/>
          </w:tcPr>
          <w:p>
            <w:pPr>
              <w:spacing w:after="0"/>
              <w:rPr>
                <w:sz w:val="1"/>
                <w:szCs w:val="1"/>
                <w:color w:val="auto"/>
              </w:rPr>
            </w:pPr>
          </w:p>
        </w:tc>
      </w:tr>
      <w:tr>
        <w:trPr>
          <w:trHeight w:val="24"/>
        </w:trPr>
        <w:tc>
          <w:tcPr>
            <w:tcW w:w="6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6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2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center"/>
              <w:ind w:left="46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181</w:t>
            </w:r>
          </w:p>
        </w:tc>
        <w:tc>
          <w:tcPr>
            <w:tcW w:w="0" w:type="dxa"/>
            <w:vAlign w:val="bottom"/>
          </w:tcPr>
          <w:p>
            <w:pPr>
              <w:spacing w:after="0"/>
              <w:rPr>
                <w:sz w:val="1"/>
                <w:szCs w:val="1"/>
                <w:color w:val="auto"/>
              </w:rPr>
            </w:pPr>
          </w:p>
        </w:tc>
      </w:tr>
      <w:tr>
        <w:trPr>
          <w:trHeight w:val="181"/>
        </w:trPr>
        <w:tc>
          <w:tcPr>
            <w:tcW w:w="61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other segment items</w:t>
            </w:r>
          </w:p>
        </w:tc>
        <w:tc>
          <w:tcPr>
            <w:tcW w:w="2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762</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center"/>
              <w:ind w:left="569"/>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1,142</w:t>
            </w:r>
          </w:p>
        </w:tc>
        <w:tc>
          <w:tcPr>
            <w:tcW w:w="0" w:type="dxa"/>
            <w:vAlign w:val="bottom"/>
          </w:tcPr>
          <w:p>
            <w:pPr>
              <w:spacing w:after="0"/>
              <w:rPr>
                <w:sz w:val="1"/>
                <w:szCs w:val="1"/>
                <w:color w:val="auto"/>
              </w:rPr>
            </w:pPr>
          </w:p>
        </w:tc>
      </w:tr>
      <w:tr>
        <w:trPr>
          <w:trHeight w:val="24"/>
        </w:trPr>
        <w:tc>
          <w:tcPr>
            <w:tcW w:w="6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61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segment expenses</w:t>
            </w:r>
          </w:p>
        </w:tc>
        <w:tc>
          <w:tcPr>
            <w:tcW w:w="2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5,355</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3,804</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center"/>
              <w:ind w:left="46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9,448</w:t>
            </w:r>
          </w:p>
        </w:tc>
        <w:tc>
          <w:tcPr>
            <w:tcW w:w="0" w:type="dxa"/>
            <w:vAlign w:val="bottom"/>
          </w:tcPr>
          <w:p>
            <w:pPr>
              <w:spacing w:after="0"/>
              <w:rPr>
                <w:sz w:val="1"/>
                <w:szCs w:val="1"/>
                <w:color w:val="auto"/>
              </w:rPr>
            </w:pPr>
          </w:p>
        </w:tc>
      </w:tr>
      <w:tr>
        <w:trPr>
          <w:trHeight w:val="181"/>
        </w:trPr>
        <w:tc>
          <w:tcPr>
            <w:tcW w:w="6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Earnings (loss) before income taxes and equity in earnings of unconsolidated affiliates</w:t>
            </w:r>
          </w:p>
        </w:tc>
        <w:tc>
          <w:tcPr>
            <w:tcW w:w="2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897</w:t>
            </w: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center"/>
              <w:ind w:left="529"/>
              <w:spacing w:after="0"/>
              <w:rPr>
                <w:sz w:val="20"/>
                <w:szCs w:val="20"/>
                <w:color w:val="auto"/>
              </w:rPr>
            </w:pPr>
            <w:r>
              <w:rPr>
                <w:rFonts w:ascii="Times New Roman" w:cs="Times New Roman" w:eastAsia="Times New Roman" w:hAnsi="Times New Roman"/>
                <w:sz w:val="14"/>
                <w:szCs w:val="14"/>
                <w:color w:val="auto"/>
                <w:w w:val="94"/>
              </w:rPr>
              <w:t>(85)</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946</w:t>
            </w:r>
          </w:p>
        </w:tc>
        <w:tc>
          <w:tcPr>
            <w:tcW w:w="0" w:type="dxa"/>
            <w:vAlign w:val="bottom"/>
          </w:tcPr>
          <w:p>
            <w:pPr>
              <w:spacing w:after="0"/>
              <w:rPr>
                <w:sz w:val="1"/>
                <w:szCs w:val="1"/>
                <w:color w:val="auto"/>
              </w:rPr>
            </w:pPr>
          </w:p>
        </w:tc>
      </w:tr>
      <w:tr>
        <w:trPr>
          <w:trHeight w:val="24"/>
        </w:trPr>
        <w:tc>
          <w:tcPr>
            <w:tcW w:w="6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6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2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center"/>
              <w:ind w:left="46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217</w:t>
            </w:r>
          </w:p>
        </w:tc>
        <w:tc>
          <w:tcPr>
            <w:tcW w:w="0" w:type="dxa"/>
            <w:vAlign w:val="bottom"/>
          </w:tcPr>
          <w:p>
            <w:pPr>
              <w:spacing w:after="0"/>
              <w:rPr>
                <w:sz w:val="1"/>
                <w:szCs w:val="1"/>
                <w:color w:val="auto"/>
              </w:rPr>
            </w:pPr>
          </w:p>
        </w:tc>
      </w:tr>
      <w:tr>
        <w:trPr>
          <w:trHeight w:val="181"/>
        </w:trPr>
        <w:tc>
          <w:tcPr>
            <w:tcW w:w="6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Earnings (loss) before equity in earnings of unconsolidated affiliates</w:t>
            </w:r>
          </w:p>
        </w:tc>
        <w:tc>
          <w:tcPr>
            <w:tcW w:w="2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672</w:t>
            </w: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center"/>
              <w:ind w:left="529"/>
              <w:spacing w:after="0"/>
              <w:rPr>
                <w:sz w:val="20"/>
                <w:szCs w:val="20"/>
                <w:color w:val="auto"/>
              </w:rPr>
            </w:pPr>
            <w:r>
              <w:rPr>
                <w:rFonts w:ascii="Times New Roman" w:cs="Times New Roman" w:eastAsia="Times New Roman" w:hAnsi="Times New Roman"/>
                <w:sz w:val="14"/>
                <w:szCs w:val="14"/>
                <w:color w:val="auto"/>
                <w:w w:val="94"/>
              </w:rPr>
              <w:t>(85)</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729</w:t>
            </w:r>
          </w:p>
        </w:tc>
        <w:tc>
          <w:tcPr>
            <w:tcW w:w="0" w:type="dxa"/>
            <w:vAlign w:val="bottom"/>
          </w:tcPr>
          <w:p>
            <w:pPr>
              <w:spacing w:after="0"/>
              <w:rPr>
                <w:sz w:val="1"/>
                <w:szCs w:val="1"/>
                <w:color w:val="auto"/>
              </w:rPr>
            </w:pPr>
          </w:p>
        </w:tc>
      </w:tr>
      <w:tr>
        <w:trPr>
          <w:trHeight w:val="24"/>
        </w:trPr>
        <w:tc>
          <w:tcPr>
            <w:tcW w:w="6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6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in earnings of unconsolidated affiliates</w:t>
            </w:r>
          </w:p>
        </w:tc>
        <w:tc>
          <w:tcPr>
            <w:tcW w:w="2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center"/>
              <w:ind w:left="46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36</w:t>
            </w:r>
          </w:p>
        </w:tc>
        <w:tc>
          <w:tcPr>
            <w:tcW w:w="0" w:type="dxa"/>
            <w:vAlign w:val="bottom"/>
          </w:tcPr>
          <w:p>
            <w:pPr>
              <w:spacing w:after="0"/>
              <w:rPr>
                <w:sz w:val="1"/>
                <w:szCs w:val="1"/>
                <w:color w:val="auto"/>
              </w:rPr>
            </w:pPr>
          </w:p>
        </w:tc>
      </w:tr>
      <w:tr>
        <w:trPr>
          <w:trHeight w:val="205"/>
        </w:trPr>
        <w:tc>
          <w:tcPr>
            <w:tcW w:w="6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earnings (loss) from continuing operations</w:t>
            </w:r>
          </w:p>
        </w:tc>
        <w:tc>
          <w:tcPr>
            <w:tcW w:w="20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711</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center"/>
              <w:ind w:left="529"/>
              <w:spacing w:after="0"/>
              <w:rPr>
                <w:sz w:val="20"/>
                <w:szCs w:val="20"/>
                <w:color w:val="auto"/>
              </w:rPr>
            </w:pPr>
            <w:r>
              <w:rPr>
                <w:rFonts w:ascii="Times New Roman" w:cs="Times New Roman" w:eastAsia="Times New Roman" w:hAnsi="Times New Roman"/>
                <w:sz w:val="14"/>
                <w:szCs w:val="14"/>
                <w:color w:val="auto"/>
                <w:w w:val="94"/>
              </w:rPr>
              <w:t>(85)</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765</w:t>
            </w:r>
          </w:p>
        </w:tc>
        <w:tc>
          <w:tcPr>
            <w:tcW w:w="0" w:type="dxa"/>
            <w:vAlign w:val="bottom"/>
          </w:tcPr>
          <w:p>
            <w:pPr>
              <w:spacing w:after="0"/>
              <w:rPr>
                <w:sz w:val="1"/>
                <w:szCs w:val="1"/>
                <w:color w:val="auto"/>
              </w:rPr>
            </w:pPr>
          </w:p>
        </w:tc>
      </w:tr>
      <w:tr>
        <w:trPr>
          <w:trHeight w:val="20"/>
        </w:trPr>
        <w:tc>
          <w:tcPr>
            <w:tcW w:w="6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6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20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8,154</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96,142</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2,340</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gridSpan w:val="2"/>
            <w:shd w:val="clear" w:color="auto" w:fill="CCEEFF"/>
          </w:tcPr>
          <w:p>
            <w:pPr>
              <w:jc w:val="center"/>
              <w:ind w:left="46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106,636</w:t>
            </w:r>
          </w:p>
        </w:tc>
        <w:tc>
          <w:tcPr>
            <w:tcW w:w="0" w:type="dxa"/>
            <w:vAlign w:val="bottom"/>
          </w:tcPr>
          <w:p>
            <w:pPr>
              <w:spacing w:after="0"/>
              <w:rPr>
                <w:sz w:val="1"/>
                <w:szCs w:val="1"/>
                <w:color w:val="auto"/>
              </w:rPr>
            </w:pPr>
          </w:p>
        </w:tc>
      </w:tr>
      <w:tr>
        <w:trPr>
          <w:trHeight w:val="188"/>
        </w:trPr>
        <w:tc>
          <w:tcPr>
            <w:tcW w:w="6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left="46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5,272</w:t>
            </w:r>
          </w:p>
        </w:tc>
        <w:tc>
          <w:tcPr>
            <w:tcW w:w="0" w:type="dxa"/>
            <w:vAlign w:val="bottom"/>
          </w:tcPr>
          <w:p>
            <w:pPr>
              <w:spacing w:after="0"/>
              <w:rPr>
                <w:sz w:val="1"/>
                <w:szCs w:val="1"/>
                <w:color w:val="auto"/>
              </w:rPr>
            </w:pP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activities in our segments include the following:</w:t>
      </w:r>
    </w:p>
    <w:p>
      <w:pPr>
        <w:spacing w:after="0" w:line="109" w:lineRule="exact"/>
        <w:rPr>
          <w:sz w:val="20"/>
          <w:szCs w:val="20"/>
          <w:color w:val="auto"/>
        </w:rPr>
      </w:pPr>
    </w:p>
    <w:p>
      <w:pPr>
        <w:ind w:left="800" w:hanging="397"/>
        <w:spacing w:after="0" w:line="276" w:lineRule="auto"/>
        <w:tabs>
          <w:tab w:leader="none" w:pos="7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Title. </w:t>
      </w:r>
      <w:r>
        <w:rPr>
          <w:rFonts w:ascii="Times New Roman" w:cs="Times New Roman" w:eastAsia="Times New Roman" w:hAnsi="Times New Roman"/>
          <w:sz w:val="18"/>
          <w:szCs w:val="18"/>
          <w:color w:val="auto"/>
        </w:rPr>
        <w:t>This segment consists of the operations of our title insurance underwriters and related businesses. This segment provides core title insurance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escrow and other title-related services including loan sub-servicing, valuations, default services, and home warranty.</w:t>
      </w:r>
    </w:p>
    <w:p>
      <w:pPr>
        <w:spacing w:after="0" w:line="106" w:lineRule="exact"/>
        <w:rPr>
          <w:rFonts w:ascii="Times New Roman" w:cs="Times New Roman" w:eastAsia="Times New Roman" w:hAnsi="Times New Roman"/>
          <w:sz w:val="18"/>
          <w:szCs w:val="18"/>
          <w:color w:val="auto"/>
        </w:rPr>
      </w:pPr>
    </w:p>
    <w:p>
      <w:pPr>
        <w:jc w:val="both"/>
        <w:ind w:left="800" w:hanging="397"/>
        <w:spacing w:after="0" w:line="261" w:lineRule="auto"/>
        <w:tabs>
          <w:tab w:leader="none" w:pos="7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F&amp;G</w:t>
      </w:r>
      <w:r>
        <w:rPr>
          <w:rFonts w:ascii="Times New Roman" w:cs="Times New Roman" w:eastAsia="Times New Roman" w:hAnsi="Times New Roman"/>
          <w:sz w:val="18"/>
          <w:szCs w:val="18"/>
          <w:color w:val="auto"/>
        </w:rPr>
        <w:t>. This segment primarily consists of the operations of our annuities and life insurance related businesses. This segment issues a broad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portfolio of annuity and life products, including deferred annuities (indexed annuities and fixed rate annuities), immediate annuities, and IUL. This segment also provides funding agreements and PRT solutions.</w:t>
      </w:r>
    </w:p>
    <w:p>
      <w:pPr>
        <w:spacing w:after="0" w:line="119" w:lineRule="exact"/>
        <w:rPr>
          <w:rFonts w:ascii="Times New Roman" w:cs="Times New Roman" w:eastAsia="Times New Roman" w:hAnsi="Times New Roman"/>
          <w:sz w:val="18"/>
          <w:szCs w:val="18"/>
          <w:color w:val="auto"/>
        </w:rPr>
      </w:pPr>
    </w:p>
    <w:p>
      <w:pPr>
        <w:jc w:val="both"/>
        <w:ind w:left="800" w:hanging="397"/>
        <w:spacing w:after="0" w:line="261" w:lineRule="auto"/>
        <w:tabs>
          <w:tab w:leader="none" w:pos="7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Corporate and Other. </w:t>
      </w:r>
      <w:r>
        <w:rPr>
          <w:rFonts w:ascii="Times New Roman" w:cs="Times New Roman" w:eastAsia="Times New Roman" w:hAnsi="Times New Roman"/>
          <w:sz w:val="18"/>
          <w:szCs w:val="18"/>
          <w:color w:val="auto"/>
        </w:rPr>
        <w:t>This segment consists of the operations of the parent holding company, and our real estate technology subsidiaries.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segment also includes certain other unallocated corporate overhead expenses and eliminations of revenues and expenses between it and our Title segment.</w:t>
      </w:r>
    </w:p>
    <w:p>
      <w:pPr>
        <w:spacing w:after="0" w:line="119" w:lineRule="exact"/>
        <w:rPr>
          <w:rFonts w:ascii="Times New Roman" w:cs="Times New Roman" w:eastAsia="Times New Roman" w:hAnsi="Times New Roman"/>
          <w:sz w:val="18"/>
          <w:szCs w:val="18"/>
          <w:color w:val="auto"/>
        </w:rPr>
      </w:pPr>
    </w:p>
    <w:p>
      <w:pPr>
        <w:ind w:left="800" w:hanging="397"/>
        <w:spacing w:after="0" w:line="276" w:lineRule="auto"/>
        <w:tabs>
          <w:tab w:leader="none" w:pos="7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Elimination. </w:t>
      </w:r>
      <w:r>
        <w:rPr>
          <w:rFonts w:ascii="Times New Roman" w:cs="Times New Roman" w:eastAsia="Times New Roman" w:hAnsi="Times New Roman"/>
          <w:sz w:val="18"/>
          <w:szCs w:val="18"/>
          <w:color w:val="auto"/>
        </w:rPr>
        <w:t>This segment consists of the elimination of intercompany dividends paid from F&amp;G to FNF, which are included in the Corporate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segment.</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I — Supplemental Cash Flow Information</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supplemental cash flow information is provided with respect to certain cash payment and non-cash investing and financing activities: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20" w:type="dxa"/>
            <w:vAlign w:val="bottom"/>
          </w:tcPr>
          <w:p>
            <w:pPr>
              <w:spacing w:after="0"/>
              <w:rPr>
                <w:sz w:val="16"/>
                <w:szCs w:val="16"/>
                <w:color w:val="auto"/>
              </w:rPr>
            </w:pPr>
          </w:p>
        </w:tc>
        <w:tc>
          <w:tcPr>
            <w:tcW w:w="2380" w:type="dxa"/>
            <w:vAlign w:val="bottom"/>
            <w:gridSpan w:val="3"/>
          </w:tcPr>
          <w:p>
            <w:pPr>
              <w:jc w:val="center"/>
              <w:ind w:left="24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520" w:type="dxa"/>
            <w:vAlign w:val="bottom"/>
          </w:tcPr>
          <w:p>
            <w:pPr>
              <w:spacing w:after="0"/>
              <w:rPr>
                <w:sz w:val="18"/>
                <w:szCs w:val="18"/>
                <w:color w:val="auto"/>
              </w:rPr>
            </w:pPr>
          </w:p>
        </w:tc>
        <w:tc>
          <w:tcPr>
            <w:tcW w:w="88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tcPr>
          <w:p>
            <w:pPr>
              <w:spacing w:after="0"/>
              <w:rPr>
                <w:sz w:val="18"/>
                <w:szCs w:val="18"/>
                <w:color w:val="auto"/>
              </w:rPr>
            </w:pPr>
          </w:p>
        </w:tc>
        <w:tc>
          <w:tcPr>
            <w:tcW w:w="1020" w:type="dxa"/>
            <w:vAlign w:val="bottom"/>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8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Cash paid for:</w:t>
            </w:r>
          </w:p>
        </w:tc>
        <w:tc>
          <w:tcPr>
            <w:tcW w:w="8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8520" w:type="dxa"/>
            <w:vAlign w:val="bottom"/>
            <w:vMerge w:val="continue"/>
          </w:tcPr>
          <w:p>
            <w:pPr>
              <w:spacing w:after="0"/>
              <w:rPr>
                <w:sz w:val="15"/>
                <w:szCs w:val="15"/>
                <w:color w:val="auto"/>
              </w:rPr>
            </w:pPr>
          </w:p>
        </w:tc>
        <w:tc>
          <w:tcPr>
            <w:tcW w:w="880" w:type="dxa"/>
            <w:vAlign w:val="bottom"/>
          </w:tcPr>
          <w:p>
            <w:pPr>
              <w:spacing w:after="0"/>
              <w:rPr>
                <w:sz w:val="15"/>
                <w:szCs w:val="15"/>
                <w:color w:val="auto"/>
              </w:rPr>
            </w:pPr>
          </w:p>
        </w:tc>
        <w:tc>
          <w:tcPr>
            <w:tcW w:w="1500" w:type="dxa"/>
            <w:vAlign w:val="bottom"/>
            <w:gridSpan w:val="2"/>
          </w:tcPr>
          <w:p>
            <w:pPr>
              <w:jc w:val="center"/>
              <w:ind w:right="48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8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85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w:t>
            </w:r>
          </w:p>
        </w:tc>
        <w:tc>
          <w:tcPr>
            <w:tcW w:w="880" w:type="dxa"/>
            <w:vAlign w:val="bottom"/>
            <w:tcBorders>
              <w:bottom w:val="single" w:sz="8" w:color="CCEEFF"/>
            </w:tcBorders>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173</w:t>
            </w:r>
          </w:p>
        </w:tc>
        <w:tc>
          <w:tcPr>
            <w:tcW w:w="1020" w:type="dxa"/>
            <w:vAlign w:val="bottom"/>
            <w:tcBorders>
              <w:bottom w:val="single" w:sz="8" w:color="CCEEFF"/>
            </w:tcBorders>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0" w:type="dxa"/>
            <w:vAlign w:val="bottom"/>
          </w:tcPr>
          <w:p>
            <w:pPr>
              <w:spacing w:after="0"/>
              <w:rPr>
                <w:sz w:val="1"/>
                <w:szCs w:val="1"/>
                <w:color w:val="auto"/>
              </w:rPr>
            </w:pPr>
          </w:p>
        </w:tc>
      </w:tr>
      <w:tr>
        <w:trPr>
          <w:trHeight w:val="188"/>
        </w:trPr>
        <w:tc>
          <w:tcPr>
            <w:tcW w:w="8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Income taxes</w:t>
            </w:r>
          </w:p>
        </w:tc>
        <w:tc>
          <w:tcPr>
            <w:tcW w:w="880" w:type="dxa"/>
            <w:vAlign w:val="bottom"/>
          </w:tcPr>
          <w:p>
            <w:pPr>
              <w:spacing w:after="0"/>
              <w:rPr>
                <w:sz w:val="16"/>
                <w:szCs w:val="16"/>
                <w:color w:val="auto"/>
              </w:rPr>
            </w:pPr>
          </w:p>
        </w:tc>
        <w:tc>
          <w:tcPr>
            <w:tcW w:w="4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183</w:t>
            </w:r>
          </w:p>
        </w:tc>
        <w:tc>
          <w:tcPr>
            <w:tcW w:w="102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0" w:type="dxa"/>
            <w:vAlign w:val="bottom"/>
          </w:tcPr>
          <w:p>
            <w:pPr>
              <w:spacing w:after="0"/>
              <w:rPr>
                <w:sz w:val="1"/>
                <w:szCs w:val="1"/>
                <w:color w:val="auto"/>
              </w:rPr>
            </w:pPr>
          </w:p>
        </w:tc>
      </w:tr>
      <w:tr>
        <w:trPr>
          <w:trHeight w:val="24"/>
        </w:trPr>
        <w:tc>
          <w:tcPr>
            <w:tcW w:w="8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85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Deferred sales inducements</w:t>
            </w:r>
          </w:p>
        </w:tc>
        <w:tc>
          <w:tcPr>
            <w:tcW w:w="8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278</w:t>
            </w:r>
          </w:p>
        </w:tc>
        <w:tc>
          <w:tcPr>
            <w:tcW w:w="10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0" w:type="dxa"/>
            <w:vAlign w:val="bottom"/>
          </w:tcPr>
          <w:p>
            <w:pPr>
              <w:spacing w:after="0"/>
              <w:rPr>
                <w:sz w:val="1"/>
                <w:szCs w:val="1"/>
                <w:color w:val="auto"/>
              </w:rPr>
            </w:pPr>
          </w:p>
        </w:tc>
      </w:tr>
      <w:tr>
        <w:trPr>
          <w:trHeight w:val="188"/>
        </w:trPr>
        <w:tc>
          <w:tcPr>
            <w:tcW w:w="8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Non-cash investing and financing activities:</w:t>
            </w:r>
          </w:p>
        </w:tc>
        <w:tc>
          <w:tcPr>
            <w:tcW w:w="8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8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85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Investments transferred subject to reinsurance agreement</w:t>
            </w:r>
          </w:p>
        </w:tc>
        <w:tc>
          <w:tcPr>
            <w:tcW w:w="8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(500)</w:t>
            </w:r>
          </w:p>
        </w:tc>
        <w:tc>
          <w:tcPr>
            <w:tcW w:w="0" w:type="dxa"/>
            <w:vAlign w:val="bottom"/>
          </w:tcPr>
          <w:p>
            <w:pPr>
              <w:spacing w:after="0"/>
              <w:rPr>
                <w:sz w:val="1"/>
                <w:szCs w:val="1"/>
                <w:color w:val="auto"/>
              </w:rPr>
            </w:pPr>
          </w:p>
        </w:tc>
      </w:tr>
      <w:tr>
        <w:trPr>
          <w:trHeight w:val="188"/>
        </w:trPr>
        <w:tc>
          <w:tcPr>
            <w:tcW w:w="85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Exchange of note receivable for incremental share in consolidated subsidiary</w:t>
            </w:r>
          </w:p>
        </w:tc>
        <w:tc>
          <w:tcPr>
            <w:tcW w:w="880" w:type="dxa"/>
            <w:vAlign w:val="bottom"/>
          </w:tcPr>
          <w:p>
            <w:pPr>
              <w:spacing w:after="0"/>
              <w:rPr>
                <w:sz w:val="16"/>
                <w:szCs w:val="16"/>
                <w:color w:val="auto"/>
              </w:rPr>
            </w:pPr>
          </w:p>
        </w:tc>
        <w:tc>
          <w:tcPr>
            <w:tcW w:w="4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36</w:t>
            </w:r>
          </w:p>
        </w:tc>
        <w:tc>
          <w:tcPr>
            <w:tcW w:w="102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8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85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Investment received as non-cash consideration for sale of F&amp;G Life Re</w:t>
            </w:r>
          </w:p>
        </w:tc>
        <w:tc>
          <w:tcPr>
            <w:tcW w:w="8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38</w:t>
            </w:r>
          </w:p>
        </w:tc>
        <w:tc>
          <w:tcPr>
            <w:tcW w:w="10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85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Change in proceeds of sales of investments available for sale receivable in period</w:t>
            </w:r>
          </w:p>
        </w:tc>
        <w:tc>
          <w:tcPr>
            <w:tcW w:w="880" w:type="dxa"/>
            <w:vAlign w:val="bottom"/>
          </w:tcPr>
          <w:p>
            <w:pPr>
              <w:spacing w:after="0"/>
              <w:rPr>
                <w:sz w:val="16"/>
                <w:szCs w:val="16"/>
                <w:color w:val="auto"/>
              </w:rPr>
            </w:pPr>
          </w:p>
        </w:tc>
        <w:tc>
          <w:tcPr>
            <w:tcW w:w="4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(14)</w:t>
            </w:r>
          </w:p>
        </w:tc>
        <w:tc>
          <w:tcPr>
            <w:tcW w:w="102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4"/>
        </w:trPr>
        <w:tc>
          <w:tcPr>
            <w:tcW w:w="8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85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Change in purchases of investments available for sale payable in period</w:t>
            </w:r>
          </w:p>
        </w:tc>
        <w:tc>
          <w:tcPr>
            <w:tcW w:w="8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295</w:t>
            </w:r>
          </w:p>
        </w:tc>
        <w:tc>
          <w:tcPr>
            <w:tcW w:w="10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0" w:type="dxa"/>
            <w:vAlign w:val="bottom"/>
          </w:tcPr>
          <w:p>
            <w:pPr>
              <w:spacing w:after="0"/>
              <w:rPr>
                <w:sz w:val="1"/>
                <w:szCs w:val="1"/>
                <w:color w:val="auto"/>
              </w:rPr>
            </w:pPr>
          </w:p>
        </w:tc>
      </w:tr>
      <w:tr>
        <w:trPr>
          <w:trHeight w:val="188"/>
        </w:trPr>
        <w:tc>
          <w:tcPr>
            <w:tcW w:w="85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Lease liabilities recognized in exchange for lease right-of-use assets</w:t>
            </w:r>
          </w:p>
        </w:tc>
        <w:tc>
          <w:tcPr>
            <w:tcW w:w="880" w:type="dxa"/>
            <w:vAlign w:val="bottom"/>
          </w:tcPr>
          <w:p>
            <w:pPr>
              <w:spacing w:after="0"/>
              <w:rPr>
                <w:sz w:val="16"/>
                <w:szCs w:val="16"/>
                <w:color w:val="auto"/>
              </w:rPr>
            </w:pPr>
          </w:p>
        </w:tc>
        <w:tc>
          <w:tcPr>
            <w:tcW w:w="4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35</w:t>
            </w:r>
          </w:p>
        </w:tc>
        <w:tc>
          <w:tcPr>
            <w:tcW w:w="102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24"/>
        </w:trPr>
        <w:tc>
          <w:tcPr>
            <w:tcW w:w="8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8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Remeasurement of lease liabilities</w:t>
            </w:r>
          </w:p>
        </w:tc>
        <w:tc>
          <w:tcPr>
            <w:tcW w:w="88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65</w:t>
            </w:r>
          </w:p>
        </w:tc>
        <w:tc>
          <w:tcPr>
            <w:tcW w:w="1020" w:type="dxa"/>
            <w:vAlign w:val="bottom"/>
            <w:shd w:val="clear" w:color="auto" w:fill="CCEEFF"/>
          </w:tcPr>
          <w:p>
            <w:pPr>
              <w:spacing w:after="0"/>
              <w:rPr>
                <w:sz w:val="16"/>
                <w:szCs w:val="16"/>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24"/>
        </w:trPr>
        <w:tc>
          <w:tcPr>
            <w:tcW w:w="85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J — Revenue Recognition</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0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revenue consists of:</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1380" w:type="dxa"/>
            <w:vAlign w:val="bottom"/>
            <w:gridSpan w:val="4"/>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1"/>
        </w:trPr>
        <w:tc>
          <w:tcPr>
            <w:tcW w:w="4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6"/>
                <w:szCs w:val="16"/>
                <w:color w:val="auto"/>
              </w:rPr>
            </w:pPr>
          </w:p>
        </w:tc>
        <w:tc>
          <w:tcPr>
            <w:tcW w:w="1380" w:type="dxa"/>
            <w:vAlign w:val="bottom"/>
            <w:gridSpan w:val="4"/>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87"/>
        </w:trPr>
        <w:tc>
          <w:tcPr>
            <w:tcW w:w="4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2"/>
        </w:trPr>
        <w:tc>
          <w:tcPr>
            <w:tcW w:w="4200" w:type="dxa"/>
            <w:vAlign w:val="bottom"/>
            <w:gridSpan w:val="2"/>
          </w:tcPr>
          <w:p>
            <w:pPr>
              <w:ind w:left="1580"/>
              <w:spacing w:after="0"/>
              <w:rPr>
                <w:sz w:val="20"/>
                <w:szCs w:val="20"/>
                <w:color w:val="auto"/>
              </w:rPr>
            </w:pPr>
            <w:r>
              <w:rPr>
                <w:rFonts w:ascii="Times New Roman" w:cs="Times New Roman" w:eastAsia="Times New Roman" w:hAnsi="Times New Roman"/>
                <w:sz w:val="14"/>
                <w:szCs w:val="14"/>
                <w:b w:val="1"/>
                <w:bCs w:val="1"/>
                <w:color w:val="auto"/>
              </w:rPr>
              <w:t>Revenue Stream</w:t>
            </w:r>
          </w:p>
        </w:tc>
        <w:tc>
          <w:tcPr>
            <w:tcW w:w="24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Income Statement Classification</w:t>
            </w:r>
          </w:p>
        </w:tc>
        <w:tc>
          <w:tcPr>
            <w:tcW w:w="14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Total Revenue</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4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Revenue from insurance contracts:</w:t>
            </w:r>
          </w:p>
        </w:tc>
        <w:tc>
          <w:tcPr>
            <w:tcW w:w="2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42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Direct title insurance premiums</w:t>
            </w:r>
          </w:p>
        </w:tc>
        <w:tc>
          <w:tcPr>
            <w:tcW w:w="2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Direct title insurance premiums</w:t>
            </w:r>
          </w:p>
        </w:tc>
        <w:tc>
          <w:tcPr>
            <w:tcW w:w="14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8"/>
              </w:rPr>
              <w:t>Title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755</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2,105</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1,820</w:t>
            </w:r>
          </w:p>
        </w:tc>
        <w:tc>
          <w:tcPr>
            <w:tcW w:w="0" w:type="dxa"/>
            <w:vAlign w:val="bottom"/>
          </w:tcPr>
          <w:p>
            <w:pPr>
              <w:spacing w:after="0"/>
              <w:rPr>
                <w:sz w:val="1"/>
                <w:szCs w:val="1"/>
                <w:color w:val="auto"/>
              </w:rPr>
            </w:pPr>
          </w:p>
        </w:tc>
      </w:tr>
      <w:tr>
        <w:trPr>
          <w:trHeight w:val="188"/>
        </w:trPr>
        <w:tc>
          <w:tcPr>
            <w:tcW w:w="42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Agency title insurance premiums</w:t>
            </w:r>
          </w:p>
        </w:tc>
        <w:tc>
          <w:tcPr>
            <w:tcW w:w="2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Agency title insurance premiums</w:t>
            </w: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Title</w:t>
            </w: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2,410</w:t>
            </w:r>
          </w:p>
        </w:tc>
        <w:tc>
          <w:tcPr>
            <w:tcW w:w="0" w:type="dxa"/>
            <w:vAlign w:val="bottom"/>
          </w:tcPr>
          <w:p>
            <w:pPr>
              <w:spacing w:after="0"/>
              <w:rPr>
                <w:sz w:val="1"/>
                <w:szCs w:val="1"/>
                <w:color w:val="auto"/>
              </w:rPr>
            </w:pPr>
          </w:p>
        </w:tc>
      </w:tr>
      <w:tr>
        <w:trPr>
          <w:trHeight w:val="24"/>
        </w:trPr>
        <w:tc>
          <w:tcPr>
            <w:tcW w:w="4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0"/>
        </w:trPr>
        <w:tc>
          <w:tcPr>
            <w:tcW w:w="4200" w:type="dxa"/>
            <w:vAlign w:val="bottom"/>
            <w:gridSpan w:val="2"/>
            <w:shd w:val="clear" w:color="auto" w:fill="CCEEFF"/>
          </w:tcPr>
          <w:p>
            <w:pPr>
              <w:ind w:left="140"/>
              <w:spacing w:after="0" w:line="150" w:lineRule="exact"/>
              <w:rPr>
                <w:sz w:val="20"/>
                <w:szCs w:val="20"/>
                <w:color w:val="auto"/>
              </w:rPr>
            </w:pPr>
            <w:r>
              <w:rPr>
                <w:rFonts w:ascii="Times New Roman" w:cs="Times New Roman" w:eastAsia="Times New Roman" w:hAnsi="Times New Roman"/>
                <w:sz w:val="14"/>
                <w:szCs w:val="14"/>
                <w:color w:val="auto"/>
              </w:rPr>
              <w:t>Life insurance premiums, insurance and investment product fees, and</w:t>
            </w:r>
          </w:p>
        </w:tc>
        <w:tc>
          <w:tcPr>
            <w:tcW w:w="24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Escrow, title-related and other fees</w:t>
            </w:r>
          </w:p>
        </w:tc>
        <w:tc>
          <w:tcPr>
            <w:tcW w:w="146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F&amp;G</w:t>
            </w:r>
          </w:p>
        </w:tc>
        <w:tc>
          <w:tcPr>
            <w:tcW w:w="12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735</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1,259</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1,871</w:t>
            </w:r>
          </w:p>
        </w:tc>
        <w:tc>
          <w:tcPr>
            <w:tcW w:w="0" w:type="dxa"/>
            <w:vAlign w:val="bottom"/>
          </w:tcPr>
          <w:p>
            <w:pPr>
              <w:spacing w:after="0"/>
              <w:rPr>
                <w:sz w:val="1"/>
                <w:szCs w:val="1"/>
                <w:color w:val="auto"/>
              </w:rPr>
            </w:pPr>
          </w:p>
        </w:tc>
      </w:tr>
      <w:tr>
        <w:trPr>
          <w:trHeight w:val="195"/>
        </w:trPr>
        <w:tc>
          <w:tcPr>
            <w:tcW w:w="4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2480" w:type="dxa"/>
            <w:vAlign w:val="bottom"/>
            <w:gridSpan w:val="2"/>
            <w:vMerge w:val="continue"/>
            <w:shd w:val="clear" w:color="auto" w:fill="CCEEFF"/>
          </w:tcPr>
          <w:p>
            <w:pPr>
              <w:spacing w:after="0"/>
              <w:rPr>
                <w:sz w:val="16"/>
                <w:szCs w:val="16"/>
                <w:color w:val="auto"/>
              </w:rPr>
            </w:pPr>
          </w:p>
        </w:tc>
        <w:tc>
          <w:tcPr>
            <w:tcW w:w="14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2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Home warranty</w:t>
            </w:r>
          </w:p>
        </w:tc>
        <w:tc>
          <w:tcPr>
            <w:tcW w:w="2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Escrow, title-related and other fees</w:t>
            </w: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Title</w:t>
            </w: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0" w:type="dxa"/>
            <w:vAlign w:val="bottom"/>
          </w:tcPr>
          <w:p>
            <w:pPr>
              <w:spacing w:after="0"/>
              <w:rPr>
                <w:sz w:val="1"/>
                <w:szCs w:val="1"/>
                <w:color w:val="auto"/>
              </w:rPr>
            </w:pPr>
          </w:p>
        </w:tc>
      </w:tr>
      <w:tr>
        <w:trPr>
          <w:trHeight w:val="24"/>
        </w:trPr>
        <w:tc>
          <w:tcPr>
            <w:tcW w:w="4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42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revenue from insurance contracts</w:t>
            </w:r>
          </w:p>
        </w:tc>
        <w:tc>
          <w:tcPr>
            <w:tcW w:w="24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2,065</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2,347</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6,156</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6,221</w:t>
            </w:r>
          </w:p>
        </w:tc>
        <w:tc>
          <w:tcPr>
            <w:tcW w:w="0" w:type="dxa"/>
            <w:vAlign w:val="bottom"/>
          </w:tcPr>
          <w:p>
            <w:pPr>
              <w:spacing w:after="0"/>
              <w:rPr>
                <w:sz w:val="1"/>
                <w:szCs w:val="1"/>
                <w:color w:val="auto"/>
              </w:rPr>
            </w:pPr>
          </w:p>
        </w:tc>
      </w:tr>
      <w:tr>
        <w:trPr>
          <w:trHeight w:val="188"/>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Revenue from contracts with customers:</w:t>
            </w:r>
          </w:p>
        </w:tc>
        <w:tc>
          <w:tcPr>
            <w:tcW w:w="2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42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Escrow fees</w:t>
            </w:r>
          </w:p>
        </w:tc>
        <w:tc>
          <w:tcPr>
            <w:tcW w:w="2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Escrow, title-related and other fees</w:t>
            </w:r>
          </w:p>
        </w:tc>
        <w:tc>
          <w:tcPr>
            <w:tcW w:w="14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8"/>
              </w:rPr>
              <w:t>Title</w:t>
            </w:r>
          </w:p>
        </w:tc>
        <w:tc>
          <w:tcPr>
            <w:tcW w:w="1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738</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674</w:t>
            </w:r>
          </w:p>
        </w:tc>
        <w:tc>
          <w:tcPr>
            <w:tcW w:w="0" w:type="dxa"/>
            <w:vAlign w:val="bottom"/>
          </w:tcPr>
          <w:p>
            <w:pPr>
              <w:spacing w:after="0"/>
              <w:rPr>
                <w:sz w:val="1"/>
                <w:szCs w:val="1"/>
                <w:color w:val="auto"/>
              </w:rPr>
            </w:pPr>
          </w:p>
        </w:tc>
      </w:tr>
      <w:tr>
        <w:trPr>
          <w:trHeight w:val="188"/>
        </w:trPr>
        <w:tc>
          <w:tcPr>
            <w:tcW w:w="42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Other title-related fees and income</w:t>
            </w:r>
          </w:p>
        </w:tc>
        <w:tc>
          <w:tcPr>
            <w:tcW w:w="2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Escrow, title-related and other fees</w:t>
            </w: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Title</w:t>
            </w: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w:t>
            </w:r>
          </w:p>
        </w:tc>
        <w:tc>
          <w:tcPr>
            <w:tcW w:w="0" w:type="dxa"/>
            <w:vAlign w:val="bottom"/>
          </w:tcPr>
          <w:p>
            <w:pPr>
              <w:spacing w:after="0"/>
              <w:rPr>
                <w:sz w:val="1"/>
                <w:szCs w:val="1"/>
                <w:color w:val="auto"/>
              </w:rPr>
            </w:pPr>
          </w:p>
        </w:tc>
      </w:tr>
      <w:tr>
        <w:trPr>
          <w:trHeight w:val="24"/>
        </w:trPr>
        <w:tc>
          <w:tcPr>
            <w:tcW w:w="4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0"/>
        </w:trPr>
        <w:tc>
          <w:tcPr>
            <w:tcW w:w="4200" w:type="dxa"/>
            <w:vAlign w:val="bottom"/>
            <w:gridSpan w:val="2"/>
            <w:shd w:val="clear" w:color="auto" w:fill="CCEEFF"/>
          </w:tcPr>
          <w:p>
            <w:pPr>
              <w:ind w:left="140"/>
              <w:spacing w:after="0" w:line="150" w:lineRule="exact"/>
              <w:rPr>
                <w:sz w:val="20"/>
                <w:szCs w:val="20"/>
                <w:color w:val="auto"/>
              </w:rPr>
            </w:pPr>
            <w:r>
              <w:rPr>
                <w:rFonts w:ascii="Times New Roman" w:cs="Times New Roman" w:eastAsia="Times New Roman" w:hAnsi="Times New Roman"/>
                <w:sz w:val="14"/>
                <w:szCs w:val="14"/>
                <w:color w:val="auto"/>
              </w:rPr>
              <w:t>ServiceLink, excluding title premiums, escrow fees, and subservicing</w:t>
            </w:r>
          </w:p>
        </w:tc>
        <w:tc>
          <w:tcPr>
            <w:tcW w:w="24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Escrow, title-related and other fees</w:t>
            </w:r>
          </w:p>
        </w:tc>
        <w:tc>
          <w:tcPr>
            <w:tcW w:w="146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8"/>
              </w:rPr>
              <w:t>Title</w:t>
            </w:r>
          </w:p>
        </w:tc>
        <w:tc>
          <w:tcPr>
            <w:tcW w:w="12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0" w:type="dxa"/>
            <w:vAlign w:val="bottom"/>
          </w:tcPr>
          <w:p>
            <w:pPr>
              <w:spacing w:after="0"/>
              <w:rPr>
                <w:sz w:val="1"/>
                <w:szCs w:val="1"/>
                <w:color w:val="auto"/>
              </w:rPr>
            </w:pPr>
          </w:p>
        </w:tc>
      </w:tr>
      <w:tr>
        <w:trPr>
          <w:trHeight w:val="195"/>
        </w:trPr>
        <w:tc>
          <w:tcPr>
            <w:tcW w:w="4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fees</w:t>
            </w:r>
          </w:p>
        </w:tc>
        <w:tc>
          <w:tcPr>
            <w:tcW w:w="2480" w:type="dxa"/>
            <w:vAlign w:val="bottom"/>
            <w:gridSpan w:val="2"/>
            <w:vMerge w:val="continue"/>
            <w:shd w:val="clear" w:color="auto" w:fill="CCEEFF"/>
          </w:tcPr>
          <w:p>
            <w:pPr>
              <w:spacing w:after="0"/>
              <w:rPr>
                <w:sz w:val="16"/>
                <w:szCs w:val="16"/>
                <w:color w:val="auto"/>
              </w:rPr>
            </w:pPr>
          </w:p>
        </w:tc>
        <w:tc>
          <w:tcPr>
            <w:tcW w:w="14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2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Real estate technology</w:t>
            </w:r>
          </w:p>
        </w:tc>
        <w:tc>
          <w:tcPr>
            <w:tcW w:w="2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Escrow, title-related and other fees</w:t>
            </w: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Corporate and other</w:t>
            </w: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0" w:type="dxa"/>
            <w:vAlign w:val="bottom"/>
          </w:tcPr>
          <w:p>
            <w:pPr>
              <w:spacing w:after="0"/>
              <w:rPr>
                <w:sz w:val="1"/>
                <w:szCs w:val="1"/>
                <w:color w:val="auto"/>
              </w:rPr>
            </w:pPr>
          </w:p>
        </w:tc>
      </w:tr>
      <w:tr>
        <w:trPr>
          <w:trHeight w:val="24"/>
        </w:trPr>
        <w:tc>
          <w:tcPr>
            <w:tcW w:w="4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42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revenue from contracts with customers</w:t>
            </w:r>
          </w:p>
        </w:tc>
        <w:tc>
          <w:tcPr>
            <w:tcW w:w="24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1,713</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1,555</w:t>
            </w:r>
          </w:p>
        </w:tc>
        <w:tc>
          <w:tcPr>
            <w:tcW w:w="0" w:type="dxa"/>
            <w:vAlign w:val="bottom"/>
          </w:tcPr>
          <w:p>
            <w:pPr>
              <w:spacing w:after="0"/>
              <w:rPr>
                <w:sz w:val="1"/>
                <w:szCs w:val="1"/>
                <w:color w:val="auto"/>
              </w:rPr>
            </w:pPr>
          </w:p>
        </w:tc>
      </w:tr>
      <w:tr>
        <w:trPr>
          <w:trHeight w:val="188"/>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revenue:</w:t>
            </w:r>
          </w:p>
        </w:tc>
        <w:tc>
          <w:tcPr>
            <w:tcW w:w="2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42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Loan subservicing revenue</w:t>
            </w:r>
          </w:p>
        </w:tc>
        <w:tc>
          <w:tcPr>
            <w:tcW w:w="2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Escrow, title-related and other fees</w:t>
            </w:r>
          </w:p>
        </w:tc>
        <w:tc>
          <w:tcPr>
            <w:tcW w:w="14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8"/>
              </w:rPr>
              <w:t>Title</w:t>
            </w:r>
          </w:p>
        </w:tc>
        <w:tc>
          <w:tcPr>
            <w:tcW w:w="1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0" w:type="dxa"/>
            <w:vAlign w:val="bottom"/>
          </w:tcPr>
          <w:p>
            <w:pPr>
              <w:spacing w:after="0"/>
              <w:rPr>
                <w:sz w:val="1"/>
                <w:szCs w:val="1"/>
                <w:color w:val="auto"/>
              </w:rPr>
            </w:pPr>
          </w:p>
        </w:tc>
      </w:tr>
      <w:tr>
        <w:trPr>
          <w:trHeight w:val="188"/>
        </w:trPr>
        <w:tc>
          <w:tcPr>
            <w:tcW w:w="42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2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Escrow, title-related and other fees</w:t>
            </w: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Corporate and other</w:t>
            </w:r>
          </w:p>
        </w:tc>
        <w:tc>
          <w:tcPr>
            <w:tcW w:w="12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24"/>
        </w:trPr>
        <w:tc>
          <w:tcPr>
            <w:tcW w:w="4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42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and investment income</w:t>
            </w:r>
          </w:p>
        </w:tc>
        <w:tc>
          <w:tcPr>
            <w:tcW w:w="2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and investment income</w:t>
            </w:r>
          </w:p>
        </w:tc>
        <w:tc>
          <w:tcPr>
            <w:tcW w:w="14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4"/>
              </w:rPr>
              <w:t>Various</w:t>
            </w:r>
          </w:p>
        </w:tc>
        <w:tc>
          <w:tcPr>
            <w:tcW w:w="1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796</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857</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2,429</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2,394</w:t>
            </w:r>
          </w:p>
        </w:tc>
        <w:tc>
          <w:tcPr>
            <w:tcW w:w="0" w:type="dxa"/>
            <w:vAlign w:val="bottom"/>
          </w:tcPr>
          <w:p>
            <w:pPr>
              <w:spacing w:after="0"/>
              <w:rPr>
                <w:sz w:val="1"/>
                <w:szCs w:val="1"/>
                <w:color w:val="auto"/>
              </w:rPr>
            </w:pPr>
          </w:p>
        </w:tc>
      </w:tr>
      <w:tr>
        <w:trPr>
          <w:trHeight w:val="188"/>
        </w:trPr>
        <w:tc>
          <w:tcPr>
            <w:tcW w:w="42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Recognized gains and losses, net</w:t>
            </w:r>
          </w:p>
        </w:tc>
        <w:tc>
          <w:tcPr>
            <w:tcW w:w="2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Recognized gains and losses, net</w:t>
            </w: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4"/>
              </w:rPr>
              <w:t>Various</w:t>
            </w: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4"/>
        </w:trPr>
        <w:tc>
          <w:tcPr>
            <w:tcW w:w="4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2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revenues</w:t>
            </w:r>
          </w:p>
        </w:tc>
        <w:tc>
          <w:tcPr>
            <w:tcW w:w="2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13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3,578</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4,030</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10,855</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10,394</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Our Direct title insurance premiums are recognized as revenue at the time of closing of the underlying transaction as the earnings process is then considered complete. Regulation of title insurance rates varies by state. Premiums are charged to customers based on rates predetermined in coordination with each state's respective Department of Insurance. Cash associated with such revenue is typically collected at closing of the underlying real estate transaction. Premium revenues from agency title operations are recognized when the underlying title order and transaction closing, if applicable, are complete.</w:t>
      </w:r>
    </w:p>
    <w:p>
      <w:pPr>
        <w:spacing w:after="0" w:line="4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Revenues from our home warranty business are generated from contracts with customers to provide warranty for major home appliances. Substantially all of our home warranty contracts are one year in length and revenue is recognized ratably over the term of the contract.</w:t>
      </w:r>
    </w:p>
    <w:p>
      <w:pPr>
        <w:spacing w:after="0" w:line="3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Escrow fees and other title-related fees and income in our Title segment are closely related to Direct title insurance premiums and are primarily associated with managing the closing of real estate transactions, including the processing of funds on behalf of the transaction participants, gathering and recording the required closing documents, providing notary and home inspection services, and other real estate or title-related activities. Revenue is primarily recognized upon closing of the underlying real estate transaction or completion of services. Cash associated with such revenue is typically collected at closing.</w:t>
      </w:r>
    </w:p>
    <w:p>
      <w:pPr>
        <w:spacing w:after="0" w:line="4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Revenues from ServiceLink, excluding its title premiums, escrow fees, and loan subservicing fees, primarily include revenues from real estate appraisal services and foreclosure processing and facilitation services. Revenues from real estate appraisal services are recognized when all appraisal work is complete, a final report is issued to the client, and the client is billed. Revenues from foreclosure processing and facilitation services are primarily recognized upon completion of the services and when billing to the client is complete.</w:t>
      </w:r>
    </w:p>
    <w:p>
      <w:pPr>
        <w:spacing w:after="0" w:line="6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F&amp;G derives its revenue from external customers primarily located in the United States. Life insurance premiums in our F&amp;G segment reflect premiums for life-contingent PRT, traditional life insurance products, and life-contingent immediate annuity products, which are recognized as revenue when due from the policyholder. We have ceded the majority of our traditional life business to unaffiliated third party reinsurers. While the base contract has been reinsured, we continue to retain the return of premium rider. Insurance and investment product fees and other consist primarily of the cost of insurance on IUL policies, unearned revenue liabilities ("URL") on IUL policies, policy rider fees primarily on fixed indexed annuity ("FIA") policies and surrender charges assessed against policy withdrawals in excess of the policyholder's allowable penalty-free amounts.</w:t>
      </w:r>
    </w:p>
    <w:p>
      <w:pPr>
        <w:spacing w:after="0" w:line="92" w:lineRule="exact"/>
        <w:rPr>
          <w:sz w:val="20"/>
          <w:szCs w:val="20"/>
          <w:color w:val="auto"/>
        </w:rPr>
      </w:pPr>
    </w:p>
    <w:p>
      <w:pPr>
        <w:jc w:val="both"/>
        <w:ind w:firstLine="318"/>
        <w:spacing w:after="0" w:line="267" w:lineRule="auto"/>
        <w:rPr>
          <w:sz w:val="20"/>
          <w:szCs w:val="20"/>
          <w:color w:val="auto"/>
        </w:rPr>
      </w:pPr>
      <w:r>
        <w:rPr>
          <w:rFonts w:ascii="Times New Roman" w:cs="Times New Roman" w:eastAsia="Times New Roman" w:hAnsi="Times New Roman"/>
          <w:sz w:val="17"/>
          <w:szCs w:val="17"/>
          <w:color w:val="auto"/>
        </w:rPr>
        <w:t>Premium and annuity deposit collections for indexed annuities, fixed rate annuities, immediate annuities and PRT without life contingency, and amounts received for funding agreements are reported in the financial statements as deposit liabilities (i.e., Contractholder funds) instead of as sales or revenues. Similarly, cash payments to customers are reported as decreases in the liability for Contractholder funds and not as expenses. Sources of revenues for products accounted for as deposit liabilities include net investment income, surrender, cost of insurance and other charges deducted from Contractholder funds, and net realized gains (losses) on investments. Components of expenses for products accounted for as deposit liabilities are interest-sensitive and index product benefits (primarily interest credited to account balances or the hedging cost of providing index credits to the policyholder), amortization of value of business acquired ("VOBA"), deferred acquisition costs ("DAC") and deferred sales inducements ("DSI"), other operating costs and expenses, and income taxes.</w:t>
      </w:r>
    </w:p>
    <w:p>
      <w:pPr>
        <w:spacing w:after="0" w:line="5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Real estate technology revenues are primarily comprised of subscription fees for use of software provided to real estate professionals. Revenue is recognized in the month services are provided.</w:t>
      </w:r>
    </w:p>
    <w:p>
      <w:pPr>
        <w:spacing w:after="0" w:line="3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Loan subservicing revenues are generated by certain subsidiaries of ServiceLink and are associated with the servicing of mortgage loans on behalf of its customers. Revenue is recognized when the underlying work is performed and billed. Loan subservicing revenues are subject to the recognition requirements of ASC Topic 860.</w:t>
      </w:r>
    </w:p>
    <w:p>
      <w:pPr>
        <w:spacing w:after="0" w:line="5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Interest and investment income consists primarily of interest payments received on fixed maturity security holdings and dividends received on equity and preferred security holdings along with the investment income of limited partnerships.</w:t>
      </w:r>
    </w:p>
    <w:p>
      <w:pPr>
        <w:spacing w:after="0" w:line="4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do not disclose the value of unsatisfied performance obligations for (i) contracts with an original expected length of one year or less, primarily related to revenue from our home warranty business, and (ii) contracts for which we recognize revenue at the amount to which we have the right to invoice for services performed.</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0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provides information about trade receivables and deferred revenue: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300" w:type="dxa"/>
            <w:vAlign w:val="bottom"/>
          </w:tcPr>
          <w:p>
            <w:pPr>
              <w:spacing w:after="0"/>
              <w:rPr>
                <w:sz w:val="16"/>
                <w:szCs w:val="16"/>
                <w:color w:val="auto"/>
              </w:rPr>
            </w:pPr>
          </w:p>
        </w:tc>
        <w:tc>
          <w:tcPr>
            <w:tcW w:w="1660" w:type="dxa"/>
            <w:vAlign w:val="bottom"/>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4"/>
        </w:trPr>
        <w:tc>
          <w:tcPr>
            <w:tcW w:w="76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gridSpan w:val="3"/>
          </w:tcPr>
          <w:p>
            <w:pPr>
              <w:spacing w:after="0"/>
              <w:rPr>
                <w:sz w:val="2"/>
                <w:szCs w:val="2"/>
                <w:color w:val="auto"/>
              </w:rPr>
            </w:pPr>
          </w:p>
        </w:tc>
      </w:tr>
      <w:tr>
        <w:trPr>
          <w:trHeight w:val="181"/>
        </w:trPr>
        <w:tc>
          <w:tcPr>
            <w:tcW w:w="7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80" w:type="dxa"/>
            <w:vAlign w:val="bottom"/>
            <w:gridSpan w:val="3"/>
          </w:tcPr>
          <w:p>
            <w:pPr>
              <w:jc w:val="right"/>
              <w:ind w:right="1369"/>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4"/>
        </w:trPr>
        <w:tc>
          <w:tcPr>
            <w:tcW w:w="7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192"/>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Trade receivables</w:t>
            </w:r>
          </w:p>
        </w:tc>
        <w:tc>
          <w:tcPr>
            <w:tcW w:w="1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420</w:t>
            </w:r>
          </w:p>
        </w:tc>
        <w:tc>
          <w:tcPr>
            <w:tcW w:w="30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w:t>
            </w:r>
          </w:p>
        </w:tc>
      </w:tr>
      <w:tr>
        <w:trPr>
          <w:trHeight w:val="188"/>
        </w:trPr>
        <w:tc>
          <w:tcPr>
            <w:tcW w:w="7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revenue (contract liabilities)</w:t>
            </w:r>
          </w:p>
        </w:tc>
        <w:tc>
          <w:tcPr>
            <w:tcW w:w="160" w:type="dxa"/>
            <w:vAlign w:val="bottom"/>
          </w:tcPr>
          <w:p>
            <w:pPr>
              <w:spacing w:after="0"/>
              <w:rPr>
                <w:sz w:val="16"/>
                <w:szCs w:val="16"/>
                <w:color w:val="auto"/>
              </w:rPr>
            </w:pPr>
          </w:p>
        </w:tc>
        <w:tc>
          <w:tcPr>
            <w:tcW w:w="15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92</w:t>
            </w:r>
          </w:p>
        </w:tc>
        <w:tc>
          <w:tcPr>
            <w:tcW w:w="3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r>
    </w:tbl>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Deferred revenue is recorded primarily for our home warranty contracts. Revenues from home warranty products are recognized over the life of the policy, which is primarily one year. The unrecognized portion is recorded as deferred revenue in Accounts payable and accrued liabilities in the unaudited Condensed Consolidated Balance Sheets. During the three and nine months ended September 30, 2026, we recognized $44 million and $82 million of revenue, respectively, which was included in deferred revenue at the beginning of the respective period.</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URL</w:t>
      </w:r>
    </w:p>
    <w:p>
      <w:pPr>
        <w:spacing w:after="0" w:line="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rolls forward URL for our universal life product for the nine months ended September 30, 2026 and September 30, 2025:</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20" w:type="dxa"/>
            <w:vAlign w:val="bottom"/>
          </w:tcPr>
          <w:p>
            <w:pPr>
              <w:spacing w:after="0"/>
              <w:rPr>
                <w:sz w:val="16"/>
                <w:szCs w:val="16"/>
                <w:color w:val="auto"/>
              </w:rPr>
            </w:pPr>
          </w:p>
        </w:tc>
        <w:tc>
          <w:tcPr>
            <w:tcW w:w="3120" w:type="dxa"/>
            <w:vAlign w:val="bottom"/>
            <w:gridSpan w:val="4"/>
          </w:tcPr>
          <w:p>
            <w:pPr>
              <w:jc w:val="center"/>
              <w:ind w:left="42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500" w:type="dxa"/>
            <w:vAlign w:val="bottom"/>
          </w:tcPr>
          <w:p>
            <w:pPr>
              <w:spacing w:after="0"/>
              <w:rPr>
                <w:sz w:val="16"/>
                <w:szCs w:val="16"/>
                <w:color w:val="auto"/>
              </w:rPr>
            </w:pPr>
          </w:p>
        </w:tc>
      </w:tr>
      <w:tr>
        <w:trPr>
          <w:trHeight w:val="212"/>
        </w:trPr>
        <w:tc>
          <w:tcPr>
            <w:tcW w:w="7620" w:type="dxa"/>
            <w:vAlign w:val="bottom"/>
          </w:tcPr>
          <w:p>
            <w:pPr>
              <w:spacing w:after="0"/>
              <w:rPr>
                <w:sz w:val="18"/>
                <w:szCs w:val="18"/>
                <w:color w:val="auto"/>
              </w:rPr>
            </w:pPr>
          </w:p>
        </w:tc>
        <w:tc>
          <w:tcPr>
            <w:tcW w:w="1240" w:type="dxa"/>
            <w:vAlign w:val="bottom"/>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Pr>
          <w:p>
            <w:pPr>
              <w:spacing w:after="0"/>
              <w:rPr>
                <w:sz w:val="18"/>
                <w:szCs w:val="18"/>
                <w:color w:val="auto"/>
              </w:rPr>
            </w:pPr>
          </w:p>
        </w:tc>
      </w:tr>
      <w:tr>
        <w:trPr>
          <w:trHeight w:val="24"/>
        </w:trPr>
        <w:tc>
          <w:tcPr>
            <w:tcW w:w="76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185"/>
        </w:trPr>
        <w:tc>
          <w:tcPr>
            <w:tcW w:w="762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1880" w:type="dxa"/>
            <w:vAlign w:val="bottom"/>
            <w:tcBorders>
              <w:bottom w:val="single" w:sz="8" w:color="CCEEFF"/>
            </w:tcBorders>
            <w:gridSpan w:val="3"/>
            <w:shd w:val="clear" w:color="auto" w:fill="CCEEFF"/>
          </w:tcPr>
          <w:p>
            <w:pPr>
              <w:jc w:val="center"/>
              <w:ind w:right="66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00" w:type="dxa"/>
            <w:vAlign w:val="bottom"/>
            <w:tcBorders>
              <w:bottom w:val="single" w:sz="8" w:color="CCEEFF"/>
            </w:tcBorders>
            <w:shd w:val="clear" w:color="auto" w:fill="CCEEFF"/>
          </w:tcPr>
          <w:p>
            <w:pPr>
              <w:spacing w:after="0"/>
              <w:rPr>
                <w:sz w:val="16"/>
                <w:szCs w:val="16"/>
                <w:color w:val="auto"/>
              </w:rPr>
            </w:pPr>
          </w:p>
        </w:tc>
      </w:tr>
      <w:tr>
        <w:trPr>
          <w:trHeight w:val="188"/>
        </w:trPr>
        <w:tc>
          <w:tcPr>
            <w:tcW w:w="7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January 1,</w:t>
            </w:r>
          </w:p>
        </w:tc>
        <w:tc>
          <w:tcPr>
            <w:tcW w:w="1240" w:type="dxa"/>
            <w:vAlign w:val="bottom"/>
          </w:tcPr>
          <w:p>
            <w:pPr>
              <w:jc w:val="right"/>
              <w:ind w:right="106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551</w:t>
            </w:r>
          </w:p>
        </w:tc>
        <w:tc>
          <w:tcPr>
            <w:tcW w:w="100" w:type="dxa"/>
            <w:vAlign w:val="bottom"/>
          </w:tcPr>
          <w:p>
            <w:pPr>
              <w:spacing w:after="0"/>
              <w:rPr>
                <w:sz w:val="16"/>
                <w:szCs w:val="16"/>
                <w:color w:val="auto"/>
              </w:rPr>
            </w:pPr>
          </w:p>
        </w:tc>
        <w:tc>
          <w:tcPr>
            <w:tcW w:w="1260" w:type="dxa"/>
            <w:vAlign w:val="bottom"/>
          </w:tcPr>
          <w:p>
            <w:pPr>
              <w:jc w:val="right"/>
              <w:ind w:right="110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401</w:t>
            </w:r>
          </w:p>
        </w:tc>
      </w:tr>
      <w:tr>
        <w:trPr>
          <w:trHeight w:val="24"/>
        </w:trPr>
        <w:tc>
          <w:tcPr>
            <w:tcW w:w="76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192"/>
        </w:trPr>
        <w:tc>
          <w:tcPr>
            <w:tcW w:w="7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Capitalization</w:t>
            </w:r>
          </w:p>
        </w:tc>
        <w:tc>
          <w:tcPr>
            <w:tcW w:w="124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151</w:t>
            </w: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131</w:t>
            </w:r>
          </w:p>
        </w:tc>
      </w:tr>
      <w:tr>
        <w:trPr>
          <w:trHeight w:val="188"/>
        </w:trPr>
        <w:tc>
          <w:tcPr>
            <w:tcW w:w="7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Amortization</w:t>
            </w:r>
          </w:p>
        </w:tc>
        <w:tc>
          <w:tcPr>
            <w:tcW w:w="1240" w:type="dxa"/>
            <w:vAlign w:val="bottom"/>
          </w:tcPr>
          <w:p>
            <w:pPr>
              <w:spacing w:after="0"/>
              <w:rPr>
                <w:sz w:val="16"/>
                <w:szCs w:val="16"/>
                <w:color w:val="auto"/>
              </w:rPr>
            </w:pPr>
          </w:p>
        </w:tc>
        <w:tc>
          <w:tcPr>
            <w:tcW w:w="5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(20)</w:t>
            </w:r>
          </w:p>
        </w:tc>
      </w:tr>
      <w:tr>
        <w:trPr>
          <w:trHeight w:val="24"/>
        </w:trPr>
        <w:tc>
          <w:tcPr>
            <w:tcW w:w="76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30"/>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September 30,</w:t>
            </w:r>
          </w:p>
        </w:tc>
        <w:tc>
          <w:tcPr>
            <w:tcW w:w="1240" w:type="dxa"/>
            <w:vAlign w:val="bottom"/>
            <w:tcBorders>
              <w:bottom w:val="single" w:sz="8" w:color="auto"/>
            </w:tcBorders>
            <w:shd w:val="clear" w:color="auto" w:fill="CCEEFF"/>
          </w:tcPr>
          <w:p>
            <w:pPr>
              <w:jc w:val="right"/>
              <w:ind w:right="106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674</w:t>
            </w:r>
          </w:p>
        </w:tc>
        <w:tc>
          <w:tcPr>
            <w:tcW w:w="1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10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512</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bl>
    <w:p>
      <w:pPr>
        <w:spacing w:after="0" w:line="10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For IUL, the cash flow assumptions used to amortize URL reflect the Company’s best estimates for policyholder behavior. We review cash flow assumptions annually, generally in the third quarter.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K — Value of Business Acquired ("VOBA"), Deferred Acquisition Costs ("DAC"), and Deferred Sales Inducements ("DSI")</w:t>
      </w:r>
    </w:p>
    <w:p>
      <w:pPr>
        <w:spacing w:after="0" w:line="12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reconciles to Other intangible assets, net, on the unaudited Condensed Consolidated Balance Sheets as of September 30, 2026 and December 31, 2025.</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4"/>
        </w:trPr>
        <w:tc>
          <w:tcPr>
            <w:tcW w:w="72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3"/>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181"/>
        </w:trPr>
        <w:tc>
          <w:tcPr>
            <w:tcW w:w="72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0" w:type="dxa"/>
            <w:vAlign w:val="bottom"/>
          </w:tcPr>
          <w:p>
            <w:pPr>
              <w:spacing w:after="0"/>
              <w:rPr>
                <w:sz w:val="15"/>
                <w:szCs w:val="15"/>
                <w:color w:val="auto"/>
              </w:rPr>
            </w:pPr>
          </w:p>
        </w:tc>
      </w:tr>
      <w:tr>
        <w:trPr>
          <w:trHeight w:val="24"/>
        </w:trPr>
        <w:tc>
          <w:tcPr>
            <w:tcW w:w="7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192"/>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Customer relationships and contracts</w:t>
            </w:r>
          </w:p>
        </w:tc>
        <w:tc>
          <w:tcPr>
            <w:tcW w:w="1580" w:type="dxa"/>
            <w:vAlign w:val="bottom"/>
            <w:tcBorders>
              <w:bottom w:val="single" w:sz="8" w:color="CCEEFF"/>
            </w:tcBorders>
            <w:shd w:val="clear" w:color="auto" w:fill="CCEEFF"/>
          </w:tcPr>
          <w:p>
            <w:pPr>
              <w:jc w:val="right"/>
              <w:ind w:right="142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w:t>
            </w:r>
          </w:p>
        </w:tc>
      </w:tr>
      <w:tr>
        <w:trPr>
          <w:trHeight w:val="188"/>
        </w:trPr>
        <w:tc>
          <w:tcPr>
            <w:tcW w:w="7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Value of business acquired</w:t>
            </w:r>
          </w:p>
        </w:tc>
        <w:tc>
          <w:tcPr>
            <w:tcW w:w="15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1,095</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1,196</w:t>
            </w:r>
          </w:p>
        </w:tc>
      </w:tr>
      <w:tr>
        <w:trPr>
          <w:trHeight w:val="24"/>
        </w:trPr>
        <w:tc>
          <w:tcPr>
            <w:tcW w:w="7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192"/>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acquisition costs</w:t>
            </w:r>
          </w:p>
        </w:tc>
        <w:tc>
          <w:tcPr>
            <w:tcW w:w="15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3,974</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3,637</w:t>
            </w:r>
          </w:p>
        </w:tc>
      </w:tr>
      <w:tr>
        <w:trPr>
          <w:trHeight w:val="188"/>
        </w:trPr>
        <w:tc>
          <w:tcPr>
            <w:tcW w:w="7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sales inducements</w:t>
            </w:r>
          </w:p>
        </w:tc>
        <w:tc>
          <w:tcPr>
            <w:tcW w:w="15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1,102</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891</w:t>
            </w:r>
          </w:p>
        </w:tc>
      </w:tr>
      <w:tr>
        <w:trPr>
          <w:trHeight w:val="24"/>
        </w:trPr>
        <w:tc>
          <w:tcPr>
            <w:tcW w:w="7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192"/>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Value of distribution asset</w:t>
            </w:r>
          </w:p>
        </w:tc>
        <w:tc>
          <w:tcPr>
            <w:tcW w:w="15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r>
      <w:tr>
        <w:trPr>
          <w:trHeight w:val="188"/>
        </w:trPr>
        <w:tc>
          <w:tcPr>
            <w:tcW w:w="7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Computer software</w:t>
            </w:r>
          </w:p>
        </w:tc>
        <w:tc>
          <w:tcPr>
            <w:tcW w:w="15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w:t>
            </w:r>
          </w:p>
        </w:tc>
      </w:tr>
      <w:tr>
        <w:trPr>
          <w:trHeight w:val="24"/>
        </w:trPr>
        <w:tc>
          <w:tcPr>
            <w:tcW w:w="7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12"/>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Trademarks, tradenames, and other</w:t>
            </w:r>
          </w:p>
        </w:tc>
        <w:tc>
          <w:tcPr>
            <w:tcW w:w="15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w:t>
            </w:r>
          </w:p>
        </w:tc>
      </w:tr>
      <w:tr>
        <w:trPr>
          <w:trHeight w:val="205"/>
        </w:trPr>
        <w:tc>
          <w:tcPr>
            <w:tcW w:w="72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Total Other intangible assets, net</w:t>
            </w:r>
          </w:p>
        </w:tc>
        <w:tc>
          <w:tcPr>
            <w:tcW w:w="1580" w:type="dxa"/>
            <w:vAlign w:val="bottom"/>
            <w:tcBorders>
              <w:top w:val="single" w:sz="8" w:color="auto"/>
              <w:bottom w:val="single" w:sz="8" w:color="auto"/>
            </w:tcBorders>
          </w:tcPr>
          <w:p>
            <w:pPr>
              <w:jc w:val="right"/>
              <w:ind w:right="142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7,070</w:t>
            </w:r>
          </w:p>
        </w:tc>
        <w:tc>
          <w:tcPr>
            <w:tcW w:w="8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6,641</w:t>
            </w:r>
          </w:p>
        </w:tc>
      </w:tr>
      <w:tr>
        <w:trPr>
          <w:trHeight w:val="20"/>
        </w:trPr>
        <w:tc>
          <w:tcPr>
            <w:tcW w:w="72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tables roll forward VOBA by product for the nine months ended September 30, 2026 and 2025:</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Indexed</w:t>
            </w:r>
          </w:p>
        </w:tc>
        <w:tc>
          <w:tcPr>
            <w:tcW w:w="140" w:type="dxa"/>
            <w:vAlign w:val="bottom"/>
          </w:tcPr>
          <w:p>
            <w:pPr>
              <w:spacing w:after="0"/>
              <w:rPr>
                <w:sz w:val="13"/>
                <w:szCs w:val="13"/>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Fixed Rate</w:t>
            </w:r>
          </w:p>
        </w:tc>
        <w:tc>
          <w:tcPr>
            <w:tcW w:w="160" w:type="dxa"/>
            <w:vAlign w:val="bottom"/>
          </w:tcPr>
          <w:p>
            <w:pPr>
              <w:spacing w:after="0"/>
              <w:rPr>
                <w:sz w:val="13"/>
                <w:szCs w:val="13"/>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Immediate</w:t>
            </w:r>
          </w:p>
        </w:tc>
        <w:tc>
          <w:tcPr>
            <w:tcW w:w="100" w:type="dxa"/>
            <w:vAlign w:val="bottom"/>
          </w:tcPr>
          <w:p>
            <w:pPr>
              <w:spacing w:after="0"/>
              <w:rPr>
                <w:sz w:val="13"/>
                <w:szCs w:val="13"/>
                <w:color w:val="auto"/>
              </w:rPr>
            </w:pPr>
          </w:p>
        </w:tc>
        <w:tc>
          <w:tcPr>
            <w:tcW w:w="1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Universal Life</w:t>
            </w:r>
          </w:p>
        </w:tc>
        <w:tc>
          <w:tcPr>
            <w:tcW w:w="11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Traditional Life</w:t>
            </w:r>
          </w:p>
        </w:tc>
        <w:tc>
          <w:tcPr>
            <w:tcW w:w="240" w:type="dxa"/>
            <w:vAlign w:val="bottom"/>
          </w:tcPr>
          <w:p>
            <w:pPr>
              <w:spacing w:after="0"/>
              <w:rPr>
                <w:sz w:val="13"/>
                <w:szCs w:val="13"/>
                <w:color w:val="auto"/>
              </w:rPr>
            </w:pPr>
          </w:p>
        </w:tc>
        <w:tc>
          <w:tcPr>
            <w:tcW w:w="820" w:type="dxa"/>
            <w:vAlign w:val="bottom"/>
            <w:vMerge w:val="restart"/>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43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1160" w:type="dxa"/>
            <w:vAlign w:val="bottom"/>
            <w:tcBorders>
              <w:bottom w:val="single" w:sz="8" w:color="auto"/>
            </w:tcBorders>
            <w:gridSpan w:val="3"/>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8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January 1, 2026</w:t>
            </w:r>
          </w:p>
        </w:tc>
        <w:tc>
          <w:tcPr>
            <w:tcW w:w="1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770</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1,196</w:t>
            </w:r>
          </w:p>
        </w:tc>
        <w:tc>
          <w:tcPr>
            <w:tcW w:w="0" w:type="dxa"/>
            <w:vAlign w:val="bottom"/>
          </w:tcPr>
          <w:p>
            <w:pPr>
              <w:spacing w:after="0"/>
              <w:rPr>
                <w:sz w:val="1"/>
                <w:szCs w:val="1"/>
                <w:color w:val="auto"/>
              </w:rPr>
            </w:pPr>
          </w:p>
        </w:tc>
      </w:tr>
      <w:tr>
        <w:trPr>
          <w:trHeight w:val="188"/>
        </w:trPr>
        <w:tc>
          <w:tcPr>
            <w:tcW w:w="4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Amortization</w:t>
            </w:r>
          </w:p>
        </w:tc>
        <w:tc>
          <w:tcPr>
            <w:tcW w:w="160" w:type="dxa"/>
            <w:vAlign w:val="bottom"/>
          </w:tcPr>
          <w:p>
            <w:pPr>
              <w:spacing w:after="0"/>
              <w:rPr>
                <w:sz w:val="16"/>
                <w:szCs w:val="16"/>
                <w:color w:val="auto"/>
              </w:rPr>
            </w:pPr>
          </w:p>
        </w:tc>
        <w:tc>
          <w:tcPr>
            <w:tcW w:w="90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0" w:type="dxa"/>
            <w:vAlign w:val="bottom"/>
          </w:tcPr>
          <w:p>
            <w:pPr>
              <w:spacing w:after="0"/>
              <w:rPr>
                <w:sz w:val="1"/>
                <w:szCs w:val="1"/>
                <w:color w:val="auto"/>
              </w:rPr>
            </w:pPr>
          </w:p>
        </w:tc>
      </w:tr>
      <w:tr>
        <w:trPr>
          <w:trHeight w:val="24"/>
        </w:trPr>
        <w:tc>
          <w:tcPr>
            <w:tcW w:w="4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September 30, 2026</w:t>
            </w: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684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1,095</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Indexed</w:t>
            </w:r>
          </w:p>
        </w:tc>
        <w:tc>
          <w:tcPr>
            <w:tcW w:w="140" w:type="dxa"/>
            <w:vAlign w:val="bottom"/>
          </w:tcPr>
          <w:p>
            <w:pPr>
              <w:spacing w:after="0"/>
              <w:rPr>
                <w:sz w:val="13"/>
                <w:szCs w:val="13"/>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Fixed Rate</w:t>
            </w:r>
          </w:p>
        </w:tc>
        <w:tc>
          <w:tcPr>
            <w:tcW w:w="160" w:type="dxa"/>
            <w:vAlign w:val="bottom"/>
          </w:tcPr>
          <w:p>
            <w:pPr>
              <w:spacing w:after="0"/>
              <w:rPr>
                <w:sz w:val="13"/>
                <w:szCs w:val="13"/>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Immediate</w:t>
            </w:r>
          </w:p>
        </w:tc>
        <w:tc>
          <w:tcPr>
            <w:tcW w:w="100" w:type="dxa"/>
            <w:vAlign w:val="bottom"/>
          </w:tcPr>
          <w:p>
            <w:pPr>
              <w:spacing w:after="0"/>
              <w:rPr>
                <w:sz w:val="13"/>
                <w:szCs w:val="13"/>
                <w:color w:val="auto"/>
              </w:rPr>
            </w:pPr>
          </w:p>
        </w:tc>
        <w:tc>
          <w:tcPr>
            <w:tcW w:w="1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Universal Life</w:t>
            </w:r>
          </w:p>
        </w:tc>
        <w:tc>
          <w:tcPr>
            <w:tcW w:w="116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Traditional Life</w:t>
            </w:r>
          </w:p>
        </w:tc>
        <w:tc>
          <w:tcPr>
            <w:tcW w:w="240" w:type="dxa"/>
            <w:vAlign w:val="bottom"/>
          </w:tcPr>
          <w:p>
            <w:pPr>
              <w:spacing w:after="0"/>
              <w:rPr>
                <w:sz w:val="13"/>
                <w:szCs w:val="13"/>
                <w:color w:val="auto"/>
              </w:rPr>
            </w:pPr>
          </w:p>
        </w:tc>
        <w:tc>
          <w:tcPr>
            <w:tcW w:w="820" w:type="dxa"/>
            <w:vAlign w:val="bottom"/>
            <w:vMerge w:val="restart"/>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43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1160" w:type="dxa"/>
            <w:vAlign w:val="bottom"/>
            <w:tcBorders>
              <w:bottom w:val="single" w:sz="8" w:color="auto"/>
            </w:tcBorders>
            <w:gridSpan w:val="3"/>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8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January 1, 2025</w:t>
            </w:r>
          </w:p>
        </w:tc>
        <w:tc>
          <w:tcPr>
            <w:tcW w:w="1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892</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1,349</w:t>
            </w:r>
          </w:p>
        </w:tc>
        <w:tc>
          <w:tcPr>
            <w:tcW w:w="0" w:type="dxa"/>
            <w:vAlign w:val="bottom"/>
          </w:tcPr>
          <w:p>
            <w:pPr>
              <w:spacing w:after="0"/>
              <w:rPr>
                <w:sz w:val="1"/>
                <w:szCs w:val="1"/>
                <w:color w:val="auto"/>
              </w:rPr>
            </w:pPr>
          </w:p>
        </w:tc>
      </w:tr>
      <w:tr>
        <w:trPr>
          <w:trHeight w:val="188"/>
        </w:trPr>
        <w:tc>
          <w:tcPr>
            <w:tcW w:w="4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Amortization</w:t>
            </w:r>
          </w:p>
        </w:tc>
        <w:tc>
          <w:tcPr>
            <w:tcW w:w="160" w:type="dxa"/>
            <w:vAlign w:val="bottom"/>
          </w:tcPr>
          <w:p>
            <w:pPr>
              <w:spacing w:after="0"/>
              <w:rPr>
                <w:sz w:val="16"/>
                <w:szCs w:val="16"/>
                <w:color w:val="auto"/>
              </w:rPr>
            </w:pPr>
          </w:p>
        </w:tc>
        <w:tc>
          <w:tcPr>
            <w:tcW w:w="90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0" w:type="dxa"/>
            <w:vAlign w:val="bottom"/>
          </w:tcPr>
          <w:p>
            <w:pPr>
              <w:spacing w:after="0"/>
              <w:rPr>
                <w:sz w:val="1"/>
                <w:szCs w:val="1"/>
                <w:color w:val="auto"/>
              </w:rPr>
            </w:pPr>
          </w:p>
        </w:tc>
      </w:tr>
      <w:tr>
        <w:trPr>
          <w:trHeight w:val="24"/>
        </w:trPr>
        <w:tc>
          <w:tcPr>
            <w:tcW w:w="4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September 30, 2025</w:t>
            </w: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799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1,232</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1" w:lineRule="exact"/>
        <w:rPr>
          <w:sz w:val="20"/>
          <w:szCs w:val="20"/>
          <w:color w:val="auto"/>
        </w:rPr>
      </w:pPr>
    </w:p>
    <w:p>
      <w:pPr>
        <w:jc w:val="both"/>
        <w:ind w:firstLine="318"/>
        <w:spacing w:after="0" w:line="243" w:lineRule="auto"/>
        <w:rPr>
          <w:sz w:val="20"/>
          <w:szCs w:val="20"/>
          <w:color w:val="auto"/>
        </w:rPr>
      </w:pPr>
      <w:r>
        <w:rPr>
          <w:rFonts w:ascii="Times New Roman" w:cs="Times New Roman" w:eastAsia="Times New Roman" w:hAnsi="Times New Roman"/>
          <w:sz w:val="18"/>
          <w:szCs w:val="18"/>
          <w:color w:val="auto"/>
        </w:rPr>
        <w:t>VOBA amortization expense of $101 million and $117 million was recorded in Depreciation and amortization on the unaudited Condensed Consolidated Statements of Earnings for the nine months ended September 30, 2026 and 2025, respectively.</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tables roll forward DAC by product for the nine months ended September 30, 2026 and 2025.</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Indexed Annuities</w:t>
            </w:r>
          </w:p>
        </w:tc>
        <w:tc>
          <w:tcPr>
            <w:tcW w:w="200" w:type="dxa"/>
            <w:vAlign w:val="bottom"/>
          </w:tcPr>
          <w:p>
            <w:pPr>
              <w:spacing w:after="0"/>
              <w:rPr>
                <w:sz w:val="13"/>
                <w:szCs w:val="13"/>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Fixed Rate</w:t>
            </w:r>
          </w:p>
        </w:tc>
        <w:tc>
          <w:tcPr>
            <w:tcW w:w="140" w:type="dxa"/>
            <w:vAlign w:val="bottom"/>
          </w:tcPr>
          <w:p>
            <w:pPr>
              <w:spacing w:after="0"/>
              <w:rPr>
                <w:sz w:val="13"/>
                <w:szCs w:val="13"/>
                <w:color w:val="auto"/>
              </w:rPr>
            </w:pPr>
          </w:p>
        </w:tc>
        <w:tc>
          <w:tcPr>
            <w:tcW w:w="12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Universal Life</w:t>
            </w:r>
          </w:p>
        </w:tc>
        <w:tc>
          <w:tcPr>
            <w:tcW w:w="240" w:type="dxa"/>
            <w:vAlign w:val="bottom"/>
          </w:tcPr>
          <w:p>
            <w:pPr>
              <w:spacing w:after="0"/>
              <w:rPr>
                <w:sz w:val="13"/>
                <w:szCs w:val="13"/>
                <w:color w:val="auto"/>
              </w:rPr>
            </w:pPr>
          </w:p>
        </w:tc>
        <w:tc>
          <w:tcPr>
            <w:tcW w:w="1060" w:type="dxa"/>
            <w:vAlign w:val="bottom"/>
            <w:vMerge w:val="restart"/>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Total (a)</w:t>
            </w:r>
          </w:p>
        </w:tc>
        <w:tc>
          <w:tcPr>
            <w:tcW w:w="0" w:type="dxa"/>
            <w:vAlign w:val="bottom"/>
          </w:tcPr>
          <w:p>
            <w:pPr>
              <w:spacing w:after="0"/>
              <w:rPr>
                <w:sz w:val="1"/>
                <w:szCs w:val="1"/>
                <w:color w:val="auto"/>
              </w:rPr>
            </w:pPr>
          </w:p>
        </w:tc>
      </w:tr>
      <w:tr>
        <w:trPr>
          <w:trHeight w:val="191"/>
        </w:trPr>
        <w:tc>
          <w:tcPr>
            <w:tcW w:w="57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8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January 1, 2026</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2,205</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1,021</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3,628</w:t>
            </w:r>
          </w:p>
        </w:tc>
        <w:tc>
          <w:tcPr>
            <w:tcW w:w="0" w:type="dxa"/>
            <w:vAlign w:val="bottom"/>
          </w:tcPr>
          <w:p>
            <w:pPr>
              <w:spacing w:after="0"/>
              <w:rPr>
                <w:sz w:val="1"/>
                <w:szCs w:val="1"/>
                <w:color w:val="auto"/>
              </w:rPr>
            </w:pPr>
          </w:p>
        </w:tc>
      </w:tr>
      <w:tr>
        <w:trPr>
          <w:trHeight w:val="188"/>
        </w:trPr>
        <w:tc>
          <w:tcPr>
            <w:tcW w:w="57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Capitalization</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218</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644</w:t>
            </w:r>
          </w:p>
        </w:tc>
        <w:tc>
          <w:tcPr>
            <w:tcW w:w="0" w:type="dxa"/>
            <w:vAlign w:val="bottom"/>
          </w:tcPr>
          <w:p>
            <w:pPr>
              <w:spacing w:after="0"/>
              <w:rPr>
                <w:sz w:val="1"/>
                <w:szCs w:val="1"/>
                <w:color w:val="auto"/>
              </w:rPr>
            </w:pPr>
          </w:p>
        </w:tc>
      </w:tr>
      <w:tr>
        <w:trPr>
          <w:trHeight w:val="24"/>
        </w:trPr>
        <w:tc>
          <w:tcPr>
            <w:tcW w:w="5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5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Amortization</w:t>
            </w:r>
          </w:p>
        </w:tc>
        <w:tc>
          <w:tcPr>
            <w:tcW w:w="1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0" w:type="dxa"/>
            <w:vAlign w:val="bottom"/>
          </w:tcPr>
          <w:p>
            <w:pPr>
              <w:spacing w:after="0"/>
              <w:rPr>
                <w:sz w:val="1"/>
                <w:szCs w:val="1"/>
                <w:color w:val="auto"/>
              </w:rPr>
            </w:pPr>
          </w:p>
        </w:tc>
      </w:tr>
      <w:tr>
        <w:trPr>
          <w:trHeight w:val="205"/>
        </w:trPr>
        <w:tc>
          <w:tcPr>
            <w:tcW w:w="5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September 30, 2026</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2,435</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338</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1,190</w:t>
            </w: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3,963</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Indexed Annuities</w:t>
            </w:r>
          </w:p>
        </w:tc>
        <w:tc>
          <w:tcPr>
            <w:tcW w:w="20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Fixed Rate</w:t>
            </w:r>
          </w:p>
        </w:tc>
        <w:tc>
          <w:tcPr>
            <w:tcW w:w="140" w:type="dxa"/>
            <w:vAlign w:val="bottom"/>
          </w:tcPr>
          <w:p>
            <w:pPr>
              <w:spacing w:after="0"/>
              <w:rPr>
                <w:sz w:val="13"/>
                <w:szCs w:val="13"/>
                <w:color w:val="auto"/>
              </w:rPr>
            </w:pPr>
          </w:p>
        </w:tc>
        <w:tc>
          <w:tcPr>
            <w:tcW w:w="12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Universal Life</w:t>
            </w:r>
          </w:p>
        </w:tc>
        <w:tc>
          <w:tcPr>
            <w:tcW w:w="240" w:type="dxa"/>
            <w:vAlign w:val="bottom"/>
          </w:tcPr>
          <w:p>
            <w:pPr>
              <w:spacing w:after="0"/>
              <w:rPr>
                <w:sz w:val="13"/>
                <w:szCs w:val="13"/>
                <w:color w:val="auto"/>
              </w:rPr>
            </w:pPr>
          </w:p>
        </w:tc>
        <w:tc>
          <w:tcPr>
            <w:tcW w:w="1060" w:type="dxa"/>
            <w:vAlign w:val="bottom"/>
            <w:vMerge w:val="restart"/>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Total (a)</w:t>
            </w:r>
          </w:p>
        </w:tc>
        <w:tc>
          <w:tcPr>
            <w:tcW w:w="0" w:type="dxa"/>
            <w:vAlign w:val="bottom"/>
          </w:tcPr>
          <w:p>
            <w:pPr>
              <w:spacing w:after="0"/>
              <w:rPr>
                <w:sz w:val="1"/>
                <w:szCs w:val="1"/>
                <w:color w:val="auto"/>
              </w:rPr>
            </w:pPr>
          </w:p>
        </w:tc>
      </w:tr>
      <w:tr>
        <w:trPr>
          <w:trHeight w:val="191"/>
        </w:trPr>
        <w:tc>
          <w:tcPr>
            <w:tcW w:w="57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8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January 1, 2025</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1,874</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376</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781</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3,031</w:t>
            </w:r>
          </w:p>
        </w:tc>
        <w:tc>
          <w:tcPr>
            <w:tcW w:w="0" w:type="dxa"/>
            <w:vAlign w:val="bottom"/>
          </w:tcPr>
          <w:p>
            <w:pPr>
              <w:spacing w:after="0"/>
              <w:rPr>
                <w:sz w:val="1"/>
                <w:szCs w:val="1"/>
                <w:color w:val="auto"/>
              </w:rPr>
            </w:pPr>
          </w:p>
        </w:tc>
      </w:tr>
      <w:tr>
        <w:trPr>
          <w:trHeight w:val="188"/>
        </w:trPr>
        <w:tc>
          <w:tcPr>
            <w:tcW w:w="57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Capitalization</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118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207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713</w:t>
            </w:r>
          </w:p>
        </w:tc>
        <w:tc>
          <w:tcPr>
            <w:tcW w:w="0" w:type="dxa"/>
            <w:vAlign w:val="bottom"/>
          </w:tcPr>
          <w:p>
            <w:pPr>
              <w:spacing w:after="0"/>
              <w:rPr>
                <w:sz w:val="1"/>
                <w:szCs w:val="1"/>
                <w:color w:val="auto"/>
              </w:rPr>
            </w:pPr>
          </w:p>
        </w:tc>
      </w:tr>
      <w:tr>
        <w:trPr>
          <w:trHeight w:val="24"/>
        </w:trPr>
        <w:tc>
          <w:tcPr>
            <w:tcW w:w="5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5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Amortization</w:t>
            </w:r>
          </w:p>
        </w:tc>
        <w:tc>
          <w:tcPr>
            <w:tcW w:w="1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0" w:type="dxa"/>
            <w:vAlign w:val="bottom"/>
          </w:tcPr>
          <w:p>
            <w:pPr>
              <w:spacing w:after="0"/>
              <w:rPr>
                <w:sz w:val="1"/>
                <w:szCs w:val="1"/>
                <w:color w:val="auto"/>
              </w:rPr>
            </w:pPr>
          </w:p>
        </w:tc>
      </w:tr>
      <w:tr>
        <w:trPr>
          <w:trHeight w:val="205"/>
        </w:trPr>
        <w:tc>
          <w:tcPr>
            <w:tcW w:w="5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September 30, 2025</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2,117</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416</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951</w:t>
            </w: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3,484</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Excludes insignificant amounts of DAC related to funding agreement backed notes ("FABN") and PRT.</w:t>
      </w:r>
    </w:p>
    <w:p>
      <w:pPr>
        <w:spacing w:after="0" w:line="16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DAC amortization expense of $309 million and $260 million was recorded in Depreciation and amortization on the unaudited Condensed Consolidated Statements of Earnings for the nine months ended September 30, 2026 and 2025, respectively, excluding insignificant amounts related to FABN and PRT.</w:t>
      </w:r>
    </w:p>
    <w:p>
      <w:pPr>
        <w:spacing w:after="0" w:line="3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presents a reconciliation of DAC to the table above which is reconciled to the unaudited Condensed Consolidated Balance Sheets as of September 30, 2026 and December 31, 2025:</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4"/>
        </w:trPr>
        <w:tc>
          <w:tcPr>
            <w:tcW w:w="72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3"/>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181"/>
        </w:trPr>
        <w:tc>
          <w:tcPr>
            <w:tcW w:w="72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0" w:type="dxa"/>
            <w:vAlign w:val="bottom"/>
          </w:tcPr>
          <w:p>
            <w:pPr>
              <w:spacing w:after="0"/>
              <w:rPr>
                <w:sz w:val="15"/>
                <w:szCs w:val="15"/>
                <w:color w:val="auto"/>
              </w:rPr>
            </w:pPr>
          </w:p>
        </w:tc>
      </w:tr>
      <w:tr>
        <w:trPr>
          <w:trHeight w:val="24"/>
        </w:trPr>
        <w:tc>
          <w:tcPr>
            <w:tcW w:w="7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192"/>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Indexed Annuities</w:t>
            </w:r>
          </w:p>
        </w:tc>
        <w:tc>
          <w:tcPr>
            <w:tcW w:w="1580" w:type="dxa"/>
            <w:vAlign w:val="bottom"/>
            <w:tcBorders>
              <w:bottom w:val="single" w:sz="8" w:color="CCEEFF"/>
            </w:tcBorders>
            <w:shd w:val="clear" w:color="auto" w:fill="CCEEFF"/>
          </w:tcPr>
          <w:p>
            <w:pPr>
              <w:jc w:val="right"/>
              <w:ind w:right="142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2,435</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2,205</w:t>
            </w:r>
          </w:p>
        </w:tc>
      </w:tr>
      <w:tr>
        <w:trPr>
          <w:trHeight w:val="188"/>
        </w:trPr>
        <w:tc>
          <w:tcPr>
            <w:tcW w:w="7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Fixed Rate Annuities</w:t>
            </w:r>
          </w:p>
        </w:tc>
        <w:tc>
          <w:tcPr>
            <w:tcW w:w="15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w:t>
            </w:r>
          </w:p>
        </w:tc>
      </w:tr>
      <w:tr>
        <w:trPr>
          <w:trHeight w:val="24"/>
        </w:trPr>
        <w:tc>
          <w:tcPr>
            <w:tcW w:w="7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192"/>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Universal Life</w:t>
            </w:r>
          </w:p>
        </w:tc>
        <w:tc>
          <w:tcPr>
            <w:tcW w:w="15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1,190</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1,021</w:t>
            </w:r>
          </w:p>
        </w:tc>
      </w:tr>
      <w:tr>
        <w:trPr>
          <w:trHeight w:val="188"/>
        </w:trPr>
        <w:tc>
          <w:tcPr>
            <w:tcW w:w="7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FABN</w:t>
            </w:r>
          </w:p>
        </w:tc>
        <w:tc>
          <w:tcPr>
            <w:tcW w:w="15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24"/>
        </w:trPr>
        <w:tc>
          <w:tcPr>
            <w:tcW w:w="7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12"/>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PRT</w:t>
            </w:r>
          </w:p>
        </w:tc>
        <w:tc>
          <w:tcPr>
            <w:tcW w:w="15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205"/>
        </w:trPr>
        <w:tc>
          <w:tcPr>
            <w:tcW w:w="7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580" w:type="dxa"/>
            <w:vAlign w:val="bottom"/>
            <w:tcBorders>
              <w:top w:val="single" w:sz="8" w:color="auto"/>
              <w:bottom w:val="single" w:sz="8" w:color="auto"/>
            </w:tcBorders>
          </w:tcPr>
          <w:p>
            <w:pPr>
              <w:jc w:val="right"/>
              <w:ind w:right="142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3,974</w:t>
            </w:r>
          </w:p>
        </w:tc>
        <w:tc>
          <w:tcPr>
            <w:tcW w:w="8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3,637</w:t>
            </w:r>
          </w:p>
        </w:tc>
      </w:tr>
      <w:tr>
        <w:trPr>
          <w:trHeight w:val="20"/>
        </w:trPr>
        <w:tc>
          <w:tcPr>
            <w:tcW w:w="72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rolls forward DSI for our indexed annuity products for the nine months ended September 30, 2026 and 2025:</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40" w:type="dxa"/>
            <w:vAlign w:val="bottom"/>
          </w:tcPr>
          <w:p>
            <w:pPr>
              <w:spacing w:after="0"/>
              <w:rPr>
                <w:sz w:val="16"/>
                <w:szCs w:val="16"/>
                <w:color w:val="auto"/>
              </w:rPr>
            </w:pPr>
          </w:p>
        </w:tc>
        <w:tc>
          <w:tcPr>
            <w:tcW w:w="3340" w:type="dxa"/>
            <w:vAlign w:val="bottom"/>
            <w:gridSpan w:val="4"/>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560" w:type="dxa"/>
            <w:vAlign w:val="bottom"/>
          </w:tcPr>
          <w:p>
            <w:pPr>
              <w:spacing w:after="0"/>
              <w:rPr>
                <w:sz w:val="16"/>
                <w:szCs w:val="16"/>
                <w:color w:val="auto"/>
              </w:rPr>
            </w:pPr>
          </w:p>
        </w:tc>
      </w:tr>
      <w:tr>
        <w:trPr>
          <w:trHeight w:val="24"/>
        </w:trPr>
        <w:tc>
          <w:tcPr>
            <w:tcW w:w="73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81"/>
        </w:trPr>
        <w:tc>
          <w:tcPr>
            <w:tcW w:w="7340" w:type="dxa"/>
            <w:vAlign w:val="bottom"/>
          </w:tcPr>
          <w:p>
            <w:pPr>
              <w:spacing w:after="0"/>
              <w:rPr>
                <w:sz w:val="15"/>
                <w:szCs w:val="15"/>
                <w:color w:val="auto"/>
              </w:rPr>
            </w:pPr>
          </w:p>
        </w:tc>
        <w:tc>
          <w:tcPr>
            <w:tcW w:w="1240" w:type="dxa"/>
            <w:vAlign w:val="bottom"/>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15"/>
                <w:szCs w:val="15"/>
                <w:color w:val="auto"/>
              </w:rPr>
            </w:pPr>
          </w:p>
        </w:tc>
      </w:tr>
      <w:tr>
        <w:trPr>
          <w:trHeight w:val="24"/>
        </w:trPr>
        <w:tc>
          <w:tcPr>
            <w:tcW w:w="73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81"/>
        </w:trPr>
        <w:tc>
          <w:tcPr>
            <w:tcW w:w="7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100" w:type="dxa"/>
            <w:vAlign w:val="bottom"/>
            <w:gridSpan w:val="3"/>
          </w:tcPr>
          <w:p>
            <w:pPr>
              <w:jc w:val="right"/>
              <w:ind w:right="94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60" w:type="dxa"/>
            <w:vAlign w:val="bottom"/>
          </w:tcPr>
          <w:p>
            <w:pPr>
              <w:spacing w:after="0"/>
              <w:rPr>
                <w:sz w:val="15"/>
                <w:szCs w:val="15"/>
                <w:color w:val="auto"/>
              </w:rPr>
            </w:pPr>
          </w:p>
        </w:tc>
      </w:tr>
      <w:tr>
        <w:trPr>
          <w:trHeight w:val="24"/>
        </w:trPr>
        <w:tc>
          <w:tcPr>
            <w:tcW w:w="7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192"/>
        </w:trPr>
        <w:tc>
          <w:tcPr>
            <w:tcW w:w="7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January 1,</w:t>
            </w:r>
          </w:p>
        </w:tc>
        <w:tc>
          <w:tcPr>
            <w:tcW w:w="1240" w:type="dxa"/>
            <w:vAlign w:val="bottom"/>
            <w:tcBorders>
              <w:bottom w:val="single" w:sz="8" w:color="CCEEFF"/>
            </w:tcBorders>
            <w:shd w:val="clear" w:color="auto" w:fill="CCEEFF"/>
          </w:tcPr>
          <w:p>
            <w:pPr>
              <w:jc w:val="right"/>
              <w:ind w:right="108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891</w:t>
            </w:r>
          </w:p>
        </w:tc>
        <w:tc>
          <w:tcPr>
            <w:tcW w:w="10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right"/>
              <w:ind w:right="126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625</w:t>
            </w:r>
          </w:p>
        </w:tc>
      </w:tr>
      <w:tr>
        <w:trPr>
          <w:trHeight w:val="188"/>
        </w:trPr>
        <w:tc>
          <w:tcPr>
            <w:tcW w:w="7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Capitalization</w:t>
            </w:r>
          </w:p>
        </w:tc>
        <w:tc>
          <w:tcPr>
            <w:tcW w:w="12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5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243</w:t>
            </w:r>
          </w:p>
        </w:tc>
      </w:tr>
      <w:tr>
        <w:trPr>
          <w:trHeight w:val="24"/>
        </w:trPr>
        <w:tc>
          <w:tcPr>
            <w:tcW w:w="7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12"/>
        </w:trPr>
        <w:tc>
          <w:tcPr>
            <w:tcW w:w="7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Amortization</w:t>
            </w:r>
          </w:p>
        </w:tc>
        <w:tc>
          <w:tcPr>
            <w:tcW w:w="12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(47)</w:t>
            </w:r>
          </w:p>
        </w:tc>
      </w:tr>
      <w:tr>
        <w:trPr>
          <w:trHeight w:val="205"/>
        </w:trPr>
        <w:tc>
          <w:tcPr>
            <w:tcW w:w="7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September 30,</w:t>
            </w:r>
          </w:p>
        </w:tc>
        <w:tc>
          <w:tcPr>
            <w:tcW w:w="1240" w:type="dxa"/>
            <w:vAlign w:val="bottom"/>
            <w:tcBorders>
              <w:top w:val="single" w:sz="8" w:color="auto"/>
              <w:bottom w:val="single" w:sz="8" w:color="auto"/>
            </w:tcBorders>
          </w:tcPr>
          <w:p>
            <w:pPr>
              <w:jc w:val="right"/>
              <w:ind w:right="108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1,102</w:t>
            </w:r>
          </w:p>
        </w:tc>
        <w:tc>
          <w:tcPr>
            <w:tcW w:w="100" w:type="dxa"/>
            <w:vAlign w:val="bottom"/>
          </w:tcPr>
          <w:p>
            <w:pPr>
              <w:spacing w:after="0"/>
              <w:rPr>
                <w:sz w:val="17"/>
                <w:szCs w:val="17"/>
                <w:color w:val="auto"/>
              </w:rPr>
            </w:pPr>
          </w:p>
        </w:tc>
        <w:tc>
          <w:tcPr>
            <w:tcW w:w="1420" w:type="dxa"/>
            <w:vAlign w:val="bottom"/>
            <w:tcBorders>
              <w:top w:val="single" w:sz="8" w:color="auto"/>
              <w:bottom w:val="single" w:sz="8" w:color="auto"/>
            </w:tcBorders>
          </w:tcPr>
          <w:p>
            <w:pPr>
              <w:jc w:val="right"/>
              <w:ind w:right="126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821</w:t>
            </w:r>
          </w:p>
        </w:tc>
      </w:tr>
      <w:tr>
        <w:trPr>
          <w:trHeight w:val="20"/>
        </w:trPr>
        <w:tc>
          <w:tcPr>
            <w:tcW w:w="73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11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DSI amortization expense of $67 million and $47 million was recorded in Depreciation and amortization on the unaudited Condensed Consolidated Statements of Earnings for the nine months ended September 30, 2026 and 2025, respectively.</w:t>
      </w:r>
    </w:p>
    <w:p>
      <w:pPr>
        <w:spacing w:after="0" w:line="84"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cash flow assumptions used to amortize VOBA and DAC were consistent with the assumptions used to estimate the future policy benefits (“FPB”) for life contingent immediate annuities and PRT. Those assumptions will be reviewed and unlocked, if applicable, in the same period as those balances. For nonparticipating traditional life contracts, the VOBA amortization is straight-line, without the use of cash flow assumptions. For indexed annuity contracts, the cash flow assumptions used to amortize VOBA, DAC, and DSI were consistent with the assumptions used to estimate the value of the embedded derivative and MRBs, and will be reviewed and unlocked, if applicable, in the same period as those balances. For fixed rate annuities and IUL the cash flow assumptions used to amortize VOBA and DAC reflect the Company’s best estimates for policyholder behavior, consistent with the development of assumptions for indexed annuities and immediate annuities.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F&amp;G reviews cash flow assumptions annually, generally in the third quarter. In 2025 and 2026, F&amp;G undertook a review of all significant assumptions and revised several assumptions relating to their deferred annuity (indexed annuity and fixed rate annuity) and IUL products. For the nine months ended September 30, 2026, F&amp;G updated the assumptions for option budgets, surrenders, mortality, and GMWB utilization. For the year ended December 31, 2025, F&amp;G updated the assumptions for option budgets, surrenders, lapses, mortality and mortality improvement, and free partial withdrawals. For both periods, these assumption updates resulted in increased amortization rates on some DAC and DSI balances, primarily for indexed annuities. All updates to these assumptions brought F&amp;G more in line with internal and overall industry experience since the prior assumption update.</w:t>
      </w:r>
    </w:p>
    <w:p>
      <w:pPr>
        <w:spacing w:after="0" w:line="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There has been no material change to the estimated future amortization expense of intangible assets since December 31, 2025.</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L — F&amp;G Reinsurance</w:t>
      </w:r>
    </w:p>
    <w:p>
      <w:pPr>
        <w:spacing w:after="0" w:line="113"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F&amp;G reinsures portions of its policy risks with other insurance companies. The use of indemnity reinsurance does not discharge an insurer from liability on the insurance ceded. The insurer is required to pay in full the amount of its insurance liability regardless of whether it is entitled to or able to receive payment from the reinsurer. The portion of risks exceeding F&amp;G's retention limit is reinsured. F&amp;G primarily seeks reinsurance coverage in order to manage loss exposures, to enhance our capital position, to diversify risks and earnings, and to manage new business volume. F&amp;G follows reinsurance accounting when the treaty adequately transfers insurance risk and any acquisition cost reimbursements reduce policy acquisition costs deferred and maintenance expense reimbursements reduce direct expenses incurred. Otherwise, F&amp;G follows deposit accounting if there is inadequate transfer of insurance risk or if the underlying policy for which risk is being transferred is an investment contract that does not contain insurance risk. As of September 30, 2026 and December 31, 2025, we had an immaterial amount of cost of reinsurance recorded on the unaudited Condensed Consolidated Balance Sheets.</w:t>
      </w:r>
    </w:p>
    <w:p>
      <w:pPr>
        <w:spacing w:after="0" w:line="8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effects of reinsurance on net premiums earned, net product fees and net benefits incurred (benefits paid and reserve changes) for the three and nine months ended September 30, 2026 and 2025 were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20" w:type="dxa"/>
            <w:vAlign w:val="bottom"/>
            <w:gridSpan w:val="7"/>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4"/>
        </w:trPr>
        <w:tc>
          <w:tcPr>
            <w:tcW w:w="34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1"/>
        </w:trPr>
        <w:tc>
          <w:tcPr>
            <w:tcW w:w="3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4"/>
        </w:trPr>
        <w:tc>
          <w:tcPr>
            <w:tcW w:w="34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1"/>
        </w:trPr>
        <w:tc>
          <w:tcPr>
            <w:tcW w:w="3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20" w:type="dxa"/>
            <w:vAlign w:val="bottom"/>
            <w:gridSpan w:val="7"/>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2"/>
        </w:trPr>
        <w:tc>
          <w:tcPr>
            <w:tcW w:w="3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Net Premiums</w:t>
            </w:r>
          </w:p>
        </w:tc>
        <w:tc>
          <w:tcPr>
            <w:tcW w:w="18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Net Product</w:t>
            </w:r>
          </w:p>
        </w:tc>
        <w:tc>
          <w:tcPr>
            <w:tcW w:w="14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Net Benefits</w:t>
            </w:r>
          </w:p>
        </w:tc>
        <w:tc>
          <w:tcPr>
            <w:tcW w:w="140" w:type="dxa"/>
            <w:vAlign w:val="bottom"/>
          </w:tcPr>
          <w:p>
            <w:pPr>
              <w:spacing w:after="0"/>
              <w:rPr>
                <w:sz w:val="14"/>
                <w:szCs w:val="14"/>
                <w:color w:val="auto"/>
              </w:rPr>
            </w:pPr>
          </w:p>
        </w:tc>
        <w:tc>
          <w:tcPr>
            <w:tcW w:w="120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Net Premiums</w:t>
            </w:r>
          </w:p>
        </w:tc>
        <w:tc>
          <w:tcPr>
            <w:tcW w:w="160" w:type="dxa"/>
            <w:vAlign w:val="bottom"/>
          </w:tcPr>
          <w:p>
            <w:pPr>
              <w:spacing w:after="0"/>
              <w:rPr>
                <w:sz w:val="14"/>
                <w:szCs w:val="14"/>
                <w:color w:val="auto"/>
              </w:rPr>
            </w:pPr>
          </w:p>
        </w:tc>
        <w:tc>
          <w:tcPr>
            <w:tcW w:w="114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Net Product</w:t>
            </w:r>
          </w:p>
        </w:tc>
        <w:tc>
          <w:tcPr>
            <w:tcW w:w="160" w:type="dxa"/>
            <w:vAlign w:val="bottom"/>
          </w:tcPr>
          <w:p>
            <w:pPr>
              <w:spacing w:after="0"/>
              <w:rPr>
                <w:sz w:val="14"/>
                <w:szCs w:val="14"/>
                <w:color w:val="auto"/>
              </w:rPr>
            </w:pPr>
          </w:p>
        </w:tc>
        <w:tc>
          <w:tcPr>
            <w:tcW w:w="1060" w:type="dxa"/>
            <w:vAlign w:val="bottom"/>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rPr>
              <w:t>Net Benefits</w:t>
            </w:r>
          </w:p>
        </w:tc>
      </w:tr>
      <w:tr>
        <w:trPr>
          <w:trHeight w:val="191"/>
        </w:trPr>
        <w:tc>
          <w:tcPr>
            <w:tcW w:w="3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Earned</w:t>
            </w:r>
          </w:p>
        </w:tc>
        <w:tc>
          <w:tcPr>
            <w:tcW w:w="18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Fees</w:t>
            </w:r>
          </w:p>
        </w:tc>
        <w:tc>
          <w:tcPr>
            <w:tcW w:w="14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Incurred</w:t>
            </w:r>
          </w:p>
        </w:tc>
        <w:tc>
          <w:tcPr>
            <w:tcW w:w="140" w:type="dxa"/>
            <w:vAlign w:val="bottom"/>
          </w:tcPr>
          <w:p>
            <w:pPr>
              <w:spacing w:after="0"/>
              <w:rPr>
                <w:sz w:val="16"/>
                <w:szCs w:val="16"/>
                <w:color w:val="auto"/>
              </w:rPr>
            </w:pPr>
          </w:p>
        </w:tc>
        <w:tc>
          <w:tcPr>
            <w:tcW w:w="120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Earned</w:t>
            </w:r>
          </w:p>
        </w:tc>
        <w:tc>
          <w:tcPr>
            <w:tcW w:w="160" w:type="dxa"/>
            <w:vAlign w:val="bottom"/>
          </w:tcPr>
          <w:p>
            <w:pPr>
              <w:spacing w:after="0"/>
              <w:rPr>
                <w:sz w:val="16"/>
                <w:szCs w:val="16"/>
                <w:color w:val="auto"/>
              </w:rPr>
            </w:pPr>
          </w:p>
        </w:tc>
        <w:tc>
          <w:tcPr>
            <w:tcW w:w="114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Fees</w:t>
            </w:r>
          </w:p>
        </w:tc>
        <w:tc>
          <w:tcPr>
            <w:tcW w:w="160" w:type="dxa"/>
            <w:vAlign w:val="bottom"/>
          </w:tcPr>
          <w:p>
            <w:pPr>
              <w:spacing w:after="0"/>
              <w:rPr>
                <w:sz w:val="16"/>
                <w:szCs w:val="16"/>
                <w:color w:val="auto"/>
              </w:rPr>
            </w:pPr>
          </w:p>
        </w:tc>
        <w:tc>
          <w:tcPr>
            <w:tcW w:w="1060" w:type="dxa"/>
            <w:vAlign w:val="bottom"/>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rPr>
              <w:t>Incurred</w:t>
            </w:r>
          </w:p>
        </w:tc>
      </w:tr>
      <w:tr>
        <w:trPr>
          <w:trHeight w:val="191"/>
        </w:trPr>
        <w:tc>
          <w:tcPr>
            <w:tcW w:w="3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Direct</w:t>
            </w:r>
          </w:p>
        </w:tc>
        <w:tc>
          <w:tcPr>
            <w:tcW w:w="140" w:type="dxa"/>
            <w:vAlign w:val="bottom"/>
            <w:tcBorders>
              <w:top w:val="single" w:sz="8" w:color="auto"/>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193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188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565</w:t>
            </w:r>
          </w:p>
        </w:tc>
        <w:tc>
          <w:tcPr>
            <w:tcW w:w="2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178</w:t>
            </w:r>
          </w:p>
        </w:tc>
        <w:tc>
          <w:tcPr>
            <w:tcW w:w="20" w:type="dxa"/>
            <w:vAlign w:val="bottom"/>
            <w:tcBorders>
              <w:top w:val="single" w:sz="8" w:color="auto"/>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1,237</w:t>
            </w:r>
          </w:p>
        </w:tc>
      </w:tr>
      <w:tr>
        <w:trPr>
          <w:trHeight w:val="188"/>
        </w:trPr>
        <w:tc>
          <w:tcPr>
            <w:tcW w:w="3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Ceded</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r>
      <w:tr>
        <w:trPr>
          <w:trHeight w:val="24"/>
        </w:trPr>
        <w:tc>
          <w:tcPr>
            <w:tcW w:w="34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0"/>
        </w:trPr>
        <w:tc>
          <w:tcPr>
            <w:tcW w:w="34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w:t>
            </w:r>
          </w:p>
        </w:tc>
        <w:tc>
          <w:tcPr>
            <w:tcW w:w="1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174</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156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544</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167</w:t>
            </w: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1,181</w:t>
            </w: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611"/>
        </w:trPr>
        <w:tc>
          <w:tcPr>
            <w:tcW w:w="3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20" w:type="dxa"/>
            <w:vAlign w:val="bottom"/>
            <w:gridSpan w:val="7"/>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Nine months ended September 30,</w:t>
            </w: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4"/>
        </w:trPr>
        <w:tc>
          <w:tcPr>
            <w:tcW w:w="3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1"/>
        </w:trPr>
        <w:tc>
          <w:tcPr>
            <w:tcW w:w="3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4"/>
        </w:trPr>
        <w:tc>
          <w:tcPr>
            <w:tcW w:w="3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7"/>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1"/>
        </w:trPr>
        <w:tc>
          <w:tcPr>
            <w:tcW w:w="3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20" w:type="dxa"/>
            <w:vAlign w:val="bottom"/>
            <w:gridSpan w:val="7"/>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2"/>
        </w:trPr>
        <w:tc>
          <w:tcPr>
            <w:tcW w:w="3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Net Premiums</w:t>
            </w:r>
          </w:p>
        </w:tc>
        <w:tc>
          <w:tcPr>
            <w:tcW w:w="18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Net Product</w:t>
            </w:r>
          </w:p>
        </w:tc>
        <w:tc>
          <w:tcPr>
            <w:tcW w:w="14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Net Benefits</w:t>
            </w:r>
          </w:p>
        </w:tc>
        <w:tc>
          <w:tcPr>
            <w:tcW w:w="140" w:type="dxa"/>
            <w:vAlign w:val="bottom"/>
          </w:tcPr>
          <w:p>
            <w:pPr>
              <w:spacing w:after="0"/>
              <w:rPr>
                <w:sz w:val="14"/>
                <w:szCs w:val="14"/>
                <w:color w:val="auto"/>
              </w:rPr>
            </w:pPr>
          </w:p>
        </w:tc>
        <w:tc>
          <w:tcPr>
            <w:tcW w:w="120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Net Premiums</w:t>
            </w:r>
          </w:p>
        </w:tc>
        <w:tc>
          <w:tcPr>
            <w:tcW w:w="160" w:type="dxa"/>
            <w:vAlign w:val="bottom"/>
          </w:tcPr>
          <w:p>
            <w:pPr>
              <w:spacing w:after="0"/>
              <w:rPr>
                <w:sz w:val="14"/>
                <w:szCs w:val="14"/>
                <w:color w:val="auto"/>
              </w:rPr>
            </w:pPr>
          </w:p>
        </w:tc>
        <w:tc>
          <w:tcPr>
            <w:tcW w:w="114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Net Product</w:t>
            </w:r>
          </w:p>
        </w:tc>
        <w:tc>
          <w:tcPr>
            <w:tcW w:w="160" w:type="dxa"/>
            <w:vAlign w:val="bottom"/>
          </w:tcPr>
          <w:p>
            <w:pPr>
              <w:spacing w:after="0"/>
              <w:rPr>
                <w:sz w:val="14"/>
                <w:szCs w:val="14"/>
                <w:color w:val="auto"/>
              </w:rPr>
            </w:pPr>
          </w:p>
        </w:tc>
        <w:tc>
          <w:tcPr>
            <w:tcW w:w="1060" w:type="dxa"/>
            <w:vAlign w:val="bottom"/>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rPr>
              <w:t>Net Benefits</w:t>
            </w:r>
          </w:p>
        </w:tc>
      </w:tr>
      <w:tr>
        <w:trPr>
          <w:trHeight w:val="191"/>
        </w:trPr>
        <w:tc>
          <w:tcPr>
            <w:tcW w:w="34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Earned</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rPr>
              <w:t>Fees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rPr>
              <w:t>Incurred</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rPr>
              <w:t>Earned</w:t>
            </w:r>
          </w:p>
        </w:tc>
        <w:tc>
          <w:tcPr>
            <w:tcW w:w="10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w w:val="98"/>
              </w:rPr>
              <w:t>Fees</w:t>
            </w:r>
          </w:p>
        </w:tc>
        <w:tc>
          <w:tcPr>
            <w:tcW w:w="8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rPr>
              <w:t>Incurred</w:t>
            </w:r>
          </w:p>
        </w:tc>
      </w:tr>
      <w:tr>
        <w:trPr>
          <w:trHeight w:val="191"/>
        </w:trPr>
        <w:tc>
          <w:tcPr>
            <w:tcW w:w="3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Direct</w:t>
            </w:r>
          </w:p>
        </w:tc>
        <w:tc>
          <w:tcPr>
            <w:tcW w:w="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799</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547</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1,815</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1,370</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w:t>
            </w: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2,871</w:t>
            </w:r>
          </w:p>
        </w:tc>
      </w:tr>
      <w:tr>
        <w:trPr>
          <w:trHeight w:val="188"/>
        </w:trPr>
        <w:tc>
          <w:tcPr>
            <w:tcW w:w="3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Ceded</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(58)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(64)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(35)</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w:t>
            </w:r>
          </w:p>
        </w:tc>
      </w:tr>
      <w:tr>
        <w:trPr>
          <w:trHeight w:val="24"/>
        </w:trPr>
        <w:tc>
          <w:tcPr>
            <w:tcW w:w="34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5"/>
        </w:trPr>
        <w:tc>
          <w:tcPr>
            <w:tcW w:w="3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Net</w:t>
            </w: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741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462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2,698</w:t>
            </w: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Amounts payable or recoverable for reinsurance on paid and unpaid claims are not subject to periodic or maximum limits. No policies issued by F&amp;G have been reinsured with any foreign company, which is controlled, either directly or indirectly, by a party not primarily engaged in the business of insurance. F&amp;G has not entered into any reinsurance agreements in which the reinsurer may unilaterally cancel any reinsurance for reasons other than non-payment of premiums or other similar credit issues.</w:t>
      </w:r>
    </w:p>
    <w:p>
      <w:pPr>
        <w:spacing w:after="0" w:line="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Reinsurance Transactions</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summarizes significant changes to third-party reinsurance agreements for the period ended September 30, 2026:</w:t>
      </w:r>
    </w:p>
    <w:p>
      <w:pPr>
        <w:spacing w:after="0" w:line="96"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Talcott Life Re. Ltd. (“Talcott”)</w:t>
      </w:r>
      <w:r>
        <w:rPr>
          <w:rFonts w:ascii="Times New Roman" w:cs="Times New Roman" w:eastAsia="Times New Roman" w:hAnsi="Times New Roman"/>
          <w:sz w:val="18"/>
          <w:szCs w:val="18"/>
          <w:color w:val="auto"/>
        </w:rPr>
        <w:t>: Effective July 1, 2026, F&amp;G entered into a reinsurance agreement with Talcott, an unaffiliated reinsurer, to cede the base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 benefits and GMWB riders attached under certain future flow FIA policies on a coinsurance quota share basis.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firstLine="318"/>
        <w:spacing w:after="0"/>
        <w:rPr>
          <w:sz w:val="20"/>
          <w:szCs w:val="20"/>
          <w:color w:val="auto"/>
        </w:rPr>
      </w:pPr>
      <w:r>
        <w:rPr>
          <w:rFonts w:ascii="Times New Roman" w:cs="Times New Roman" w:eastAsia="Times New Roman" w:hAnsi="Times New Roman"/>
          <w:sz w:val="18"/>
          <w:szCs w:val="18"/>
          <w:i w:val="1"/>
          <w:iCs w:val="1"/>
          <w:color w:val="auto"/>
        </w:rPr>
        <w:t xml:space="preserve">New Re: </w:t>
      </w:r>
      <w:r>
        <w:rPr>
          <w:rFonts w:ascii="Times New Roman" w:cs="Times New Roman" w:eastAsia="Times New Roman" w:hAnsi="Times New Roman"/>
          <w:sz w:val="18"/>
          <w:szCs w:val="18"/>
          <w:color w:val="auto"/>
        </w:rPr>
        <w:t>Effective September 30, 2026, F&amp;G amended the existing indemnity reinsurance agreement with New Reinsurance Company Ltd.,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unaffiliated reinsurer and wholly owned subsidiary of Münchener Rückversicherungs-Gesellschaft Aktiengesellschaft in München (d/b/a “Munich Re”), to additionally cede certain inforce and future flow MYGA policies on a coinsurance basis. The coinsurance basis is applicable to the base contract benefits and minimum guaranteed surrender value benefits, and for certain MYGA policies, return of premium rider benefits.</w:t>
      </w:r>
    </w:p>
    <w:p>
      <w:pPr>
        <w:spacing w:after="0" w:line="73" w:lineRule="exact"/>
        <w:rPr>
          <w:sz w:val="20"/>
          <w:szCs w:val="20"/>
          <w:color w:val="auto"/>
        </w:rPr>
      </w:pPr>
    </w:p>
    <w:p>
      <w:pPr>
        <w:jc w:val="both"/>
        <w:ind w:firstLine="318"/>
        <w:spacing w:after="0" w:line="245" w:lineRule="auto"/>
        <w:rPr>
          <w:sz w:val="20"/>
          <w:szCs w:val="20"/>
          <w:color w:val="auto"/>
        </w:rPr>
      </w:pPr>
      <w:r>
        <w:rPr>
          <w:rFonts w:ascii="Times New Roman" w:cs="Times New Roman" w:eastAsia="Times New Roman" w:hAnsi="Times New Roman"/>
          <w:sz w:val="18"/>
          <w:szCs w:val="18"/>
          <w:i w:val="1"/>
          <w:iCs w:val="1"/>
          <w:color w:val="auto"/>
        </w:rPr>
        <w:t xml:space="preserve">Ancient Re: </w:t>
      </w:r>
      <w:r>
        <w:rPr>
          <w:rFonts w:ascii="Times New Roman" w:cs="Times New Roman" w:eastAsia="Times New Roman" w:hAnsi="Times New Roman"/>
          <w:sz w:val="18"/>
          <w:szCs w:val="18"/>
          <w:color w:val="auto"/>
        </w:rPr>
        <w:t>Effective February 28, 2026, in conjunction with the sale of F&amp;G Life Re to Ancient, F&amp;G amended the existing reinsurance agreement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F&amp;G Life Re for certain inforce FIA policies and effective March 1, 2026, added a new forward flow component to cede certain MYGA policies, both on a coinsurance funds withheld quota share basis.</w:t>
      </w:r>
    </w:p>
    <w:p>
      <w:pPr>
        <w:spacing w:after="0" w:line="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There have been no other significant changes to third party reinsurance agreements for the three and nine months ended September 30, 2026.</w:t>
      </w:r>
    </w:p>
    <w:p>
      <w:pPr>
        <w:spacing w:after="0" w:line="1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summarizes our reinsurance recoverable as of September 30, 2026 and December 31, 2025:</w:t>
      </w:r>
    </w:p>
    <w:p>
      <w:pPr>
        <w:sectPr>
          <w:pgSz w:w="11900" w:h="16838" w:orient="portrait"/>
          <w:cols w:equalWidth="0" w:num="1">
            <w:col w:w="11240"/>
          </w:cols>
          <w:pgMar w:left="320" w:top="121" w:right="339" w:bottom="1440" w:gutter="0" w:footer="0" w:header="0"/>
        </w:sectPr>
      </w:pP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Parent Company/</w:t>
            </w:r>
          </w:p>
        </w:tc>
        <w:tc>
          <w:tcPr>
            <w:tcW w:w="25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Reinsurance Recoverable (a)</w:t>
            </w:r>
          </w:p>
        </w:tc>
        <w:tc>
          <w:tcPr>
            <w:tcW w:w="80" w:type="dxa"/>
            <w:vAlign w:val="bottom"/>
            <w:vMerge w:val="restart"/>
          </w:tcPr>
          <w:p>
            <w:pPr>
              <w:spacing w:after="0"/>
              <w:rPr>
                <w:sz w:val="13"/>
                <w:szCs w:val="13"/>
                <w:color w:val="auto"/>
              </w:rPr>
            </w:pPr>
          </w:p>
        </w:tc>
        <w:tc>
          <w:tcPr>
            <w:tcW w:w="126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Agreement Type</w:t>
            </w:r>
          </w:p>
        </w:tc>
        <w:tc>
          <w:tcPr>
            <w:tcW w:w="0" w:type="dxa"/>
            <w:vAlign w:val="bottom"/>
          </w:tcPr>
          <w:p>
            <w:pPr>
              <w:spacing w:after="0"/>
              <w:rPr>
                <w:sz w:val="1"/>
                <w:szCs w:val="1"/>
                <w:color w:val="auto"/>
              </w:rPr>
            </w:pPr>
          </w:p>
        </w:tc>
      </w:tr>
      <w:tr>
        <w:trPr>
          <w:trHeight w:val="191"/>
        </w:trPr>
        <w:tc>
          <w:tcPr>
            <w:tcW w:w="3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 Reinsurers</w:t>
            </w:r>
          </w:p>
        </w:tc>
        <w:tc>
          <w:tcPr>
            <w:tcW w:w="80" w:type="dxa"/>
            <w:vAlign w:val="bottom"/>
          </w:tcPr>
          <w:p>
            <w:pPr>
              <w:spacing w:after="0"/>
              <w:rPr>
                <w:sz w:val="16"/>
                <w:szCs w:val="16"/>
                <w:color w:val="auto"/>
              </w:rPr>
            </w:pPr>
          </w:p>
        </w:tc>
        <w:tc>
          <w:tcPr>
            <w:tcW w:w="2500" w:type="dxa"/>
            <w:vAlign w:val="bottom"/>
            <w:tcBorders>
              <w:bottom w:val="single" w:sz="8" w:color="auto"/>
            </w:tcBorders>
            <w:gridSpan w:val="2"/>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3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4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20" w:type="dxa"/>
            <w:vAlign w:val="bottom"/>
            <w:gridSpan w:val="2"/>
            <w:vMerge w:val="continue"/>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2275205</wp:posOffset>
            </wp:positionH>
            <wp:positionV relativeFrom="paragraph">
              <wp:posOffset>6985</wp:posOffset>
            </wp:positionV>
            <wp:extent cx="158178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581785" cy="8255"/>
                    </a:xfrm>
                    <a:prstGeom prst="rect">
                      <a:avLst/>
                    </a:prstGeom>
                    <a:noFill/>
                  </pic:spPr>
                </pic:pic>
              </a:graphicData>
            </a:graphic>
          </wp:anchor>
        </w:drawing>
      </w:r>
    </w:p>
    <w:p>
      <w:pPr>
        <w:spacing w:after="0" w:line="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31115</wp:posOffset>
            </wp:positionV>
            <wp:extent cx="7134860" cy="2190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4860" cy="2190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1340" w:type="dxa"/>
            <w:vAlign w:val="bottom"/>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w w:val="99"/>
              </w:rPr>
              <w:t>Accounting</w:t>
            </w:r>
          </w:p>
        </w:tc>
        <w:tc>
          <w:tcPr>
            <w:tcW w:w="0" w:type="dxa"/>
            <w:vAlign w:val="bottom"/>
          </w:tcPr>
          <w:p>
            <w:pPr>
              <w:spacing w:after="0"/>
              <w:rPr>
                <w:sz w:val="1"/>
                <w:szCs w:val="1"/>
                <w:color w:val="auto"/>
              </w:rPr>
            </w:pPr>
          </w:p>
        </w:tc>
      </w:tr>
      <w:tr>
        <w:trPr>
          <w:trHeight w:val="186"/>
        </w:trPr>
        <w:tc>
          <w:tcPr>
            <w:tcW w:w="1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Covered</w:t>
            </w: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-643890</wp:posOffset>
            </wp:positionH>
            <wp:positionV relativeFrom="paragraph">
              <wp:posOffset>6985</wp:posOffset>
            </wp:positionV>
            <wp:extent cx="23723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372360" cy="8255"/>
                    </a:xfrm>
                    <a:prstGeom prst="rect">
                      <a:avLst/>
                    </a:prstGeom>
                    <a:noFill/>
                  </pic:spPr>
                </pic:pic>
              </a:graphicData>
            </a:graphic>
          </wp:anchor>
        </w:drawing>
      </w:r>
    </w:p>
    <w:p>
      <w:pPr>
        <w:spacing w:after="0" w:line="582" w:lineRule="exact"/>
        <w:rPr>
          <w:sz w:val="20"/>
          <w:szCs w:val="20"/>
          <w:color w:val="auto"/>
        </w:rPr>
      </w:pPr>
    </w:p>
    <w:p>
      <w:pPr>
        <w:sectPr>
          <w:pgSz w:w="11900" w:h="16838" w:orient="portrait"/>
          <w:cols w:equalWidth="0" w:num="2">
            <w:col w:w="7800" w:space="720"/>
            <w:col w:w="2720"/>
          </w:cols>
          <w:pgMar w:left="320" w:top="121" w:right="339" w:bottom="1440" w:gutter="0" w:footer="0" w:header="0"/>
          <w:type w:val="continuous"/>
        </w:sectPr>
      </w:pPr>
    </w:p>
    <w:p>
      <w:pPr>
        <w:spacing w:after="0" w:line="1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Aspida (b)</w:t>
      </w:r>
    </w:p>
    <w:p>
      <w:pPr>
        <w:spacing w:after="0" w:line="1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Somerset Reinsurance Ltd. ("Somerset") (c)</w:t>
      </w:r>
    </w:p>
    <w:p>
      <w:pPr>
        <w:spacing w:after="0" w:line="3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Everlake Life Insurance Company (“Everlake”)</w:t>
      </w:r>
    </w:p>
    <w:p>
      <w:pPr>
        <w:spacing w:after="0" w:line="1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Fort Greene Reinsurance SPC Limited ("Fort Greene")</w:t>
      </w:r>
    </w:p>
    <w:p>
      <w:pPr>
        <w:spacing w:after="0" w:line="1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Ancient Re Ltd.</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Wilton Reassurance Company ("Wilton Re")</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Other (f)</w:t>
      </w:r>
    </w:p>
    <w:p>
      <w:pPr>
        <w:spacing w:after="0" w:line="64" w:lineRule="exact"/>
        <w:rPr>
          <w:sz w:val="20"/>
          <w:szCs w:val="20"/>
          <w:color w:val="auto"/>
        </w:rPr>
      </w:pPr>
    </w:p>
    <w:p>
      <w:pPr>
        <w:ind w:left="20" w:right="420" w:firstLine="159"/>
        <w:spacing w:after="0" w:line="314" w:lineRule="auto"/>
        <w:rPr>
          <w:sz w:val="20"/>
          <w:szCs w:val="20"/>
          <w:color w:val="auto"/>
        </w:rPr>
      </w:pPr>
      <w:r>
        <w:rPr>
          <w:rFonts w:ascii="Times New Roman" w:cs="Times New Roman" w:eastAsia="Times New Roman" w:hAnsi="Times New Roman"/>
          <w:sz w:val="14"/>
          <w:szCs w:val="14"/>
          <w:color w:val="auto"/>
        </w:rPr>
        <w:t>Reinsurance recoverable, gross of allowance Allowance for expected credit losses</w:t>
      </w:r>
    </w:p>
    <w:p>
      <w:pPr>
        <w:spacing w:after="0" w:line="1" w:lineRule="exact"/>
        <w:rPr>
          <w:sz w:val="20"/>
          <w:szCs w:val="20"/>
          <w:color w:val="auto"/>
        </w:rPr>
      </w:pPr>
    </w:p>
    <w:p>
      <w:pPr>
        <w:ind w:left="180" w:right="180"/>
        <w:spacing w:after="0" w:line="254" w:lineRule="auto"/>
        <w:rPr>
          <w:sz w:val="20"/>
          <w:szCs w:val="20"/>
          <w:color w:val="auto"/>
        </w:rPr>
      </w:pPr>
      <w:r>
        <w:rPr>
          <w:rFonts w:ascii="Times New Roman" w:cs="Times New Roman" w:eastAsia="Times New Roman" w:hAnsi="Times New Roman"/>
          <w:sz w:val="14"/>
          <w:szCs w:val="14"/>
          <w:b w:val="1"/>
          <w:bCs w:val="1"/>
          <w:color w:val="auto"/>
        </w:rPr>
        <w:t>Reinsurance recoverable, net of allowance for expected credit losses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400" w:type="dxa"/>
            <w:vAlign w:val="bottom"/>
            <w:vMerge w:val="restart"/>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8,249</w:t>
            </w:r>
          </w:p>
        </w:tc>
        <w:tc>
          <w:tcPr>
            <w:tcW w:w="100" w:type="dxa"/>
            <w:vAlign w:val="bottom"/>
          </w:tcPr>
          <w:p>
            <w:pPr>
              <w:spacing w:after="0"/>
              <w:rPr>
                <w:sz w:val="13"/>
                <w:szCs w:val="13"/>
                <w:color w:val="auto"/>
              </w:rPr>
            </w:pPr>
          </w:p>
        </w:tc>
        <w:tc>
          <w:tcPr>
            <w:tcW w:w="440" w:type="dxa"/>
            <w:vAlign w:val="bottom"/>
            <w:vMerge w:val="restart"/>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8,589</w:t>
            </w:r>
          </w:p>
        </w:tc>
        <w:tc>
          <w:tcPr>
            <w:tcW w:w="12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Coinsurance Funds</w:t>
            </w:r>
          </w:p>
        </w:tc>
        <w:tc>
          <w:tcPr>
            <w:tcW w:w="0" w:type="dxa"/>
            <w:vAlign w:val="bottom"/>
          </w:tcPr>
          <w:p>
            <w:pPr>
              <w:spacing w:after="0"/>
              <w:rPr>
                <w:sz w:val="1"/>
                <w:szCs w:val="1"/>
                <w:color w:val="auto"/>
              </w:rPr>
            </w:pPr>
          </w:p>
        </w:tc>
      </w:tr>
      <w:tr>
        <w:trPr>
          <w:trHeight w:val="184"/>
        </w:trPr>
        <w:tc>
          <w:tcPr>
            <w:tcW w:w="4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12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Withheld</w:t>
            </w:r>
          </w:p>
        </w:tc>
        <w:tc>
          <w:tcPr>
            <w:tcW w:w="0" w:type="dxa"/>
            <w:vAlign w:val="bottom"/>
          </w:tcPr>
          <w:p>
            <w:pPr>
              <w:spacing w:after="0"/>
              <w:rPr>
                <w:sz w:val="1"/>
                <w:szCs w:val="1"/>
                <w:color w:val="auto"/>
              </w:rPr>
            </w:pPr>
          </w:p>
        </w:tc>
      </w:tr>
      <w:tr>
        <w:trPr>
          <w:trHeight w:val="161"/>
        </w:trPr>
        <w:tc>
          <w:tcPr>
            <w:tcW w:w="40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6,445</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5,071</w:t>
            </w:r>
          </w:p>
        </w:tc>
        <w:tc>
          <w:tcPr>
            <w:tcW w:w="12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Coinsurance Funds</w:t>
            </w:r>
          </w:p>
        </w:tc>
        <w:tc>
          <w:tcPr>
            <w:tcW w:w="0" w:type="dxa"/>
            <w:vAlign w:val="bottom"/>
          </w:tcPr>
          <w:p>
            <w:pPr>
              <w:spacing w:after="0"/>
              <w:rPr>
                <w:sz w:val="1"/>
                <w:szCs w:val="1"/>
                <w:color w:val="auto"/>
              </w:rPr>
            </w:pPr>
          </w:p>
        </w:tc>
      </w:tr>
      <w:tr>
        <w:trPr>
          <w:trHeight w:val="184"/>
        </w:trPr>
        <w:tc>
          <w:tcPr>
            <w:tcW w:w="4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2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Withheld</w:t>
            </w:r>
          </w:p>
        </w:tc>
        <w:tc>
          <w:tcPr>
            <w:tcW w:w="0" w:type="dxa"/>
            <w:vAlign w:val="bottom"/>
          </w:tcPr>
          <w:p>
            <w:pPr>
              <w:spacing w:after="0"/>
              <w:rPr>
                <w:sz w:val="1"/>
                <w:szCs w:val="1"/>
                <w:color w:val="auto"/>
              </w:rPr>
            </w:pPr>
          </w:p>
        </w:tc>
      </w:tr>
      <w:tr>
        <w:trPr>
          <w:trHeight w:val="161"/>
        </w:trPr>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Coinsurance Funds</w:t>
            </w:r>
          </w:p>
        </w:tc>
        <w:tc>
          <w:tcPr>
            <w:tcW w:w="0" w:type="dxa"/>
            <w:vAlign w:val="bottom"/>
          </w:tcPr>
          <w:p>
            <w:pPr>
              <w:spacing w:after="0"/>
              <w:rPr>
                <w:sz w:val="1"/>
                <w:szCs w:val="1"/>
                <w:color w:val="auto"/>
              </w:rPr>
            </w:pPr>
          </w:p>
        </w:tc>
      </w:tr>
      <w:tr>
        <w:trPr>
          <w:trHeight w:val="184"/>
        </w:trPr>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Withheld</w:t>
            </w:r>
          </w:p>
        </w:tc>
        <w:tc>
          <w:tcPr>
            <w:tcW w:w="0" w:type="dxa"/>
            <w:vAlign w:val="bottom"/>
          </w:tcPr>
          <w:p>
            <w:pPr>
              <w:spacing w:after="0"/>
              <w:rPr>
                <w:sz w:val="1"/>
                <w:szCs w:val="1"/>
                <w:color w:val="auto"/>
              </w:rPr>
            </w:pPr>
          </w:p>
        </w:tc>
      </w:tr>
      <w:tr>
        <w:trPr>
          <w:trHeight w:val="199"/>
        </w:trPr>
        <w:tc>
          <w:tcPr>
            <w:tcW w:w="4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1,879</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1,868</w:t>
            </w:r>
          </w:p>
        </w:tc>
        <w:tc>
          <w:tcPr>
            <w:tcW w:w="12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Coinsurance</w:t>
            </w:r>
          </w:p>
        </w:tc>
        <w:tc>
          <w:tcPr>
            <w:tcW w:w="0" w:type="dxa"/>
            <w:vAlign w:val="bottom"/>
          </w:tcPr>
          <w:p>
            <w:pPr>
              <w:spacing w:after="0"/>
              <w:rPr>
                <w:sz w:val="1"/>
                <w:szCs w:val="1"/>
                <w:color w:val="auto"/>
              </w:rPr>
            </w:pPr>
          </w:p>
        </w:tc>
      </w:tr>
      <w:tr>
        <w:trPr>
          <w:trHeight w:val="174"/>
        </w:trPr>
        <w:tc>
          <w:tcPr>
            <w:tcW w:w="40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1,861</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502</w:t>
            </w:r>
          </w:p>
        </w:tc>
        <w:tc>
          <w:tcPr>
            <w:tcW w:w="12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Coinsurance Funds</w:t>
            </w:r>
          </w:p>
        </w:tc>
        <w:tc>
          <w:tcPr>
            <w:tcW w:w="0" w:type="dxa"/>
            <w:vAlign w:val="bottom"/>
          </w:tcPr>
          <w:p>
            <w:pPr>
              <w:spacing w:after="0"/>
              <w:rPr>
                <w:sz w:val="1"/>
                <w:szCs w:val="1"/>
                <w:color w:val="auto"/>
              </w:rPr>
            </w:pPr>
          </w:p>
        </w:tc>
      </w:tr>
      <w:tr>
        <w:trPr>
          <w:trHeight w:val="184"/>
        </w:trPr>
        <w:tc>
          <w:tcPr>
            <w:tcW w:w="4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2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Withheld</w:t>
            </w:r>
          </w:p>
        </w:tc>
        <w:tc>
          <w:tcPr>
            <w:tcW w:w="0" w:type="dxa"/>
            <w:vAlign w:val="bottom"/>
          </w:tcPr>
          <w:p>
            <w:pPr>
              <w:spacing w:after="0"/>
              <w:rPr>
                <w:sz w:val="1"/>
                <w:szCs w:val="1"/>
                <w:color w:val="auto"/>
              </w:rPr>
            </w:pPr>
          </w:p>
        </w:tc>
      </w:tr>
      <w:tr>
        <w:trPr>
          <w:trHeight w:val="161"/>
        </w:trPr>
        <w:tc>
          <w:tcPr>
            <w:tcW w:w="40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1,642</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Coinsurance Funds</w:t>
            </w:r>
          </w:p>
        </w:tc>
        <w:tc>
          <w:tcPr>
            <w:tcW w:w="0" w:type="dxa"/>
            <w:vAlign w:val="bottom"/>
          </w:tcPr>
          <w:p>
            <w:pPr>
              <w:spacing w:after="0"/>
              <w:rPr>
                <w:sz w:val="1"/>
                <w:szCs w:val="1"/>
                <w:color w:val="auto"/>
              </w:rPr>
            </w:pPr>
          </w:p>
        </w:tc>
      </w:tr>
      <w:tr>
        <w:trPr>
          <w:trHeight w:val="184"/>
        </w:trPr>
        <w:tc>
          <w:tcPr>
            <w:tcW w:w="4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2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Withheld</w:t>
            </w:r>
          </w:p>
        </w:tc>
        <w:tc>
          <w:tcPr>
            <w:tcW w:w="0" w:type="dxa"/>
            <w:vAlign w:val="bottom"/>
          </w:tcPr>
          <w:p>
            <w:pPr>
              <w:spacing w:after="0"/>
              <w:rPr>
                <w:sz w:val="1"/>
                <w:szCs w:val="1"/>
                <w:color w:val="auto"/>
              </w:rPr>
            </w:pPr>
          </w:p>
        </w:tc>
      </w:tr>
      <w:tr>
        <w:trPr>
          <w:trHeight w:val="199"/>
        </w:trPr>
        <w:tc>
          <w:tcPr>
            <w:tcW w:w="4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1,011</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1,032</w:t>
            </w:r>
          </w:p>
        </w:tc>
        <w:tc>
          <w:tcPr>
            <w:tcW w:w="12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Coinsurance</w:t>
            </w:r>
          </w:p>
        </w:tc>
        <w:tc>
          <w:tcPr>
            <w:tcW w:w="0" w:type="dxa"/>
            <w:vAlign w:val="bottom"/>
          </w:tcPr>
          <w:p>
            <w:pPr>
              <w:spacing w:after="0"/>
              <w:rPr>
                <w:sz w:val="1"/>
                <w:szCs w:val="1"/>
                <w:color w:val="auto"/>
              </w:rPr>
            </w:pPr>
          </w:p>
        </w:tc>
      </w:tr>
      <w:tr>
        <w:trPr>
          <w:trHeight w:val="212"/>
        </w:trPr>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4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21,958</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17,563</w:t>
            </w: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4"/>
        </w:trPr>
        <w:tc>
          <w:tcPr>
            <w:tcW w:w="40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21,938</w:t>
            </w:r>
          </w:p>
        </w:tc>
        <w:tc>
          <w:tcPr>
            <w:tcW w:w="100" w:type="dxa"/>
            <w:vAlign w:val="bottom"/>
          </w:tcPr>
          <w:p>
            <w:pPr>
              <w:spacing w:after="0"/>
              <w:rPr>
                <w:sz w:val="23"/>
                <w:szCs w:val="23"/>
                <w:color w:val="auto"/>
              </w:rPr>
            </w:pPr>
          </w:p>
        </w:tc>
        <w:tc>
          <w:tcPr>
            <w:tcW w:w="44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17,545</w:t>
            </w: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
        </w:trPr>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-2268855</wp:posOffset>
            </wp:positionH>
            <wp:positionV relativeFrom="paragraph">
              <wp:posOffset>-1572895</wp:posOffset>
            </wp:positionV>
            <wp:extent cx="7134860" cy="2184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4860" cy="218440"/>
                    </a:xfrm>
                    <a:prstGeom prst="rect">
                      <a:avLst/>
                    </a:prstGeom>
                    <a:noFill/>
                  </pic:spPr>
                </pic:pic>
              </a:graphicData>
            </a:graphic>
          </wp:anchor>
        </w:drawing>
        <w:drawing>
          <wp:anchor simplePos="0" relativeHeight="251657728" behindDoc="1" locked="0" layoutInCell="0" allowOverlap="1">
            <wp:simplePos x="0" y="0"/>
            <wp:positionH relativeFrom="column">
              <wp:posOffset>-2268855</wp:posOffset>
            </wp:positionH>
            <wp:positionV relativeFrom="paragraph">
              <wp:posOffset>-1219200</wp:posOffset>
            </wp:positionV>
            <wp:extent cx="7134860" cy="2184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4860" cy="218440"/>
                    </a:xfrm>
                    <a:prstGeom prst="rect">
                      <a:avLst/>
                    </a:prstGeom>
                    <a:noFill/>
                  </pic:spPr>
                </pic:pic>
              </a:graphicData>
            </a:graphic>
          </wp:anchor>
        </w:drawing>
        <w:drawing>
          <wp:anchor simplePos="0" relativeHeight="251657728" behindDoc="1" locked="0" layoutInCell="0" allowOverlap="1">
            <wp:simplePos x="0" y="0"/>
            <wp:positionH relativeFrom="column">
              <wp:posOffset>-2268855</wp:posOffset>
            </wp:positionH>
            <wp:positionV relativeFrom="paragraph">
              <wp:posOffset>-781685</wp:posOffset>
            </wp:positionV>
            <wp:extent cx="7134860" cy="134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4860" cy="134620"/>
                    </a:xfrm>
                    <a:prstGeom prst="rect">
                      <a:avLst/>
                    </a:prstGeom>
                    <a:noFill/>
                  </pic:spPr>
                </pic:pic>
              </a:graphicData>
            </a:graphic>
          </wp:anchor>
        </w:drawing>
        <w:drawing>
          <wp:anchor simplePos="0" relativeHeight="251657728" behindDoc="1" locked="0" layoutInCell="0" allowOverlap="1">
            <wp:simplePos x="0" y="0"/>
            <wp:positionH relativeFrom="column">
              <wp:posOffset>-2268855</wp:posOffset>
            </wp:positionH>
            <wp:positionV relativeFrom="paragraph">
              <wp:posOffset>-512445</wp:posOffset>
            </wp:positionV>
            <wp:extent cx="7134860" cy="1428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4860" cy="142875"/>
                    </a:xfrm>
                    <a:prstGeom prst="rect">
                      <a:avLst/>
                    </a:prstGeom>
                    <a:noFill/>
                  </pic:spPr>
                </pic:pic>
              </a:graphicData>
            </a:graphic>
          </wp:anchor>
        </w:drawing>
        <w:drawing>
          <wp:anchor simplePos="0" relativeHeight="251657728" behindDoc="1" locked="0" layoutInCell="0" allowOverlap="1">
            <wp:simplePos x="0" y="0"/>
            <wp:positionH relativeFrom="column">
              <wp:posOffset>-2268855</wp:posOffset>
            </wp:positionH>
            <wp:positionV relativeFrom="paragraph">
              <wp:posOffset>-234950</wp:posOffset>
            </wp:positionV>
            <wp:extent cx="7134860" cy="2190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4860" cy="2190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tabs>
          <w:tab w:leader="none" w:pos="2640" w:val="left"/>
        </w:tabs>
        <w:rPr>
          <w:sz w:val="20"/>
          <w:szCs w:val="20"/>
          <w:color w:val="auto"/>
        </w:rPr>
      </w:pPr>
      <w:r>
        <w:rPr>
          <w:rFonts w:ascii="Times New Roman" w:cs="Times New Roman" w:eastAsia="Times New Roman" w:hAnsi="Times New Roman"/>
          <w:sz w:val="14"/>
          <w:szCs w:val="14"/>
          <w:color w:val="auto"/>
        </w:rPr>
        <w:t>Certain MYGA</w:t>
      </w:r>
      <w:r>
        <w:rPr>
          <w:sz w:val="20"/>
          <w:szCs w:val="20"/>
          <w:color w:val="auto"/>
        </w:rPr>
        <w:tab/>
      </w:r>
      <w:r>
        <w:rPr>
          <w:rFonts w:ascii="Times New Roman" w:cs="Times New Roman" w:eastAsia="Times New Roman" w:hAnsi="Times New Roman"/>
          <w:sz w:val="14"/>
          <w:szCs w:val="14"/>
          <w:color w:val="auto"/>
        </w:rPr>
        <w:t>Deposit</w:t>
      </w:r>
    </w:p>
    <w:p>
      <w:pPr>
        <w:spacing w:after="0" w:line="184" w:lineRule="exact"/>
        <w:rPr>
          <w:sz w:val="20"/>
          <w:szCs w:val="20"/>
          <w:color w:val="auto"/>
        </w:rPr>
      </w:pPr>
    </w:p>
    <w:p>
      <w:pPr>
        <w:spacing w:after="0"/>
        <w:tabs>
          <w:tab w:leader="none" w:pos="2640" w:val="left"/>
        </w:tabs>
        <w:rPr>
          <w:sz w:val="20"/>
          <w:szCs w:val="20"/>
          <w:color w:val="auto"/>
        </w:rPr>
      </w:pPr>
      <w:r>
        <w:rPr>
          <w:rFonts w:ascii="Times New Roman" w:cs="Times New Roman" w:eastAsia="Times New Roman" w:hAnsi="Times New Roman"/>
          <w:sz w:val="14"/>
          <w:szCs w:val="14"/>
          <w:color w:val="auto"/>
        </w:rPr>
        <w:t>Certain MYGA and deferred annuities</w:t>
      </w:r>
      <w:r>
        <w:rPr>
          <w:sz w:val="20"/>
          <w:szCs w:val="20"/>
          <w:color w:val="auto"/>
        </w:rPr>
        <w:tab/>
      </w:r>
      <w:r>
        <w:rPr>
          <w:rFonts w:ascii="Times New Roman" w:cs="Times New Roman" w:eastAsia="Times New Roman" w:hAnsi="Times New Roman"/>
          <w:sz w:val="14"/>
          <w:szCs w:val="14"/>
          <w:color w:val="auto"/>
        </w:rPr>
        <w:t>Deposit</w:t>
      </w:r>
    </w:p>
    <w:p>
      <w:pPr>
        <w:spacing w:after="0" w:line="184" w:lineRule="exact"/>
        <w:rPr>
          <w:sz w:val="20"/>
          <w:szCs w:val="20"/>
          <w:color w:val="auto"/>
        </w:rPr>
      </w:pPr>
    </w:p>
    <w:p>
      <w:pPr>
        <w:spacing w:after="0"/>
        <w:tabs>
          <w:tab w:leader="none" w:pos="2640" w:val="left"/>
        </w:tabs>
        <w:rPr>
          <w:sz w:val="20"/>
          <w:szCs w:val="20"/>
          <w:color w:val="auto"/>
        </w:rPr>
      </w:pPr>
      <w:r>
        <w:rPr>
          <w:rFonts w:ascii="Times New Roman" w:cs="Times New Roman" w:eastAsia="Times New Roman" w:hAnsi="Times New Roman"/>
          <w:sz w:val="14"/>
          <w:szCs w:val="14"/>
          <w:color w:val="auto"/>
        </w:rPr>
        <w:t>Certain FIA</w:t>
      </w:r>
      <w:r>
        <w:rPr>
          <w:sz w:val="20"/>
          <w:szCs w:val="20"/>
          <w:color w:val="auto"/>
        </w:rPr>
        <w:tab/>
      </w:r>
      <w:r>
        <w:rPr>
          <w:rFonts w:ascii="Times New Roman" w:cs="Times New Roman" w:eastAsia="Times New Roman" w:hAnsi="Times New Roman"/>
          <w:sz w:val="14"/>
          <w:szCs w:val="14"/>
          <w:color w:val="auto"/>
        </w:rPr>
        <w:t>Reinsurance</w:t>
      </w:r>
    </w:p>
    <w:p>
      <w:pPr>
        <w:spacing w:after="0" w:line="51" w:lineRule="exact"/>
        <w:rPr>
          <w:sz w:val="20"/>
          <w:szCs w:val="20"/>
          <w:color w:val="auto"/>
        </w:rPr>
      </w:pPr>
    </w:p>
    <w:p>
      <w:pPr>
        <w:spacing w:after="0"/>
        <w:tabs>
          <w:tab w:leader="none" w:pos="2640" w:val="left"/>
        </w:tabs>
        <w:rPr>
          <w:sz w:val="20"/>
          <w:szCs w:val="20"/>
          <w:color w:val="auto"/>
        </w:rPr>
      </w:pPr>
      <w:r>
        <w:rPr>
          <w:rFonts w:ascii="Times New Roman" w:cs="Times New Roman" w:eastAsia="Times New Roman" w:hAnsi="Times New Roman"/>
          <w:sz w:val="14"/>
          <w:szCs w:val="14"/>
          <w:color w:val="auto"/>
        </w:rPr>
        <w:t>Certain MYGA (d)</w:t>
      </w:r>
      <w:r>
        <w:rPr>
          <w:sz w:val="20"/>
          <w:szCs w:val="20"/>
          <w:color w:val="auto"/>
        </w:rPr>
        <w:tab/>
      </w:r>
      <w:r>
        <w:rPr>
          <w:rFonts w:ascii="Times New Roman" w:cs="Times New Roman" w:eastAsia="Times New Roman" w:hAnsi="Times New Roman"/>
          <w:sz w:val="14"/>
          <w:szCs w:val="14"/>
          <w:color w:val="auto"/>
        </w:rPr>
        <w:t>Deposit</w:t>
      </w:r>
    </w:p>
    <w:p>
      <w:pPr>
        <w:spacing w:after="0" w:line="184" w:lineRule="exact"/>
        <w:rPr>
          <w:sz w:val="20"/>
          <w:szCs w:val="20"/>
          <w:color w:val="auto"/>
        </w:rPr>
      </w:pPr>
    </w:p>
    <w:p>
      <w:pPr>
        <w:spacing w:after="0"/>
        <w:tabs>
          <w:tab w:leader="none" w:pos="2640" w:val="left"/>
        </w:tabs>
        <w:rPr>
          <w:sz w:val="20"/>
          <w:szCs w:val="20"/>
          <w:color w:val="auto"/>
        </w:rPr>
      </w:pPr>
      <w:r>
        <w:rPr>
          <w:rFonts w:ascii="Times New Roman" w:cs="Times New Roman" w:eastAsia="Times New Roman" w:hAnsi="Times New Roman"/>
          <w:sz w:val="14"/>
          <w:szCs w:val="14"/>
          <w:color w:val="auto"/>
        </w:rPr>
        <w:t>Certain FIA</w:t>
      </w:r>
      <w:r>
        <w:rPr>
          <w:sz w:val="20"/>
          <w:szCs w:val="20"/>
          <w:color w:val="auto"/>
        </w:rPr>
        <w:tab/>
      </w:r>
      <w:r>
        <w:rPr>
          <w:rFonts w:ascii="Times New Roman" w:cs="Times New Roman" w:eastAsia="Times New Roman" w:hAnsi="Times New Roman"/>
          <w:sz w:val="14"/>
          <w:szCs w:val="14"/>
          <w:color w:val="auto"/>
        </w:rPr>
        <w:t>Deposit</w:t>
      </w:r>
    </w:p>
    <w:p>
      <w:pPr>
        <w:spacing w:after="0" w:line="184" w:lineRule="exact"/>
        <w:rPr>
          <w:sz w:val="20"/>
          <w:szCs w:val="20"/>
          <w:color w:val="auto"/>
        </w:rPr>
      </w:pPr>
    </w:p>
    <w:p>
      <w:pPr>
        <w:spacing w:after="0"/>
        <w:tabs>
          <w:tab w:leader="none" w:pos="2640" w:val="left"/>
        </w:tabs>
        <w:rPr>
          <w:sz w:val="20"/>
          <w:szCs w:val="20"/>
          <w:color w:val="auto"/>
        </w:rPr>
      </w:pPr>
      <w:r>
        <w:rPr>
          <w:rFonts w:ascii="Times New Roman" w:cs="Times New Roman" w:eastAsia="Times New Roman" w:hAnsi="Times New Roman"/>
          <w:sz w:val="14"/>
          <w:szCs w:val="14"/>
          <w:color w:val="auto"/>
        </w:rPr>
        <w:t>Certain FIA and certain MYGA</w:t>
      </w:r>
      <w:r>
        <w:rPr>
          <w:sz w:val="20"/>
          <w:szCs w:val="20"/>
          <w:color w:val="auto"/>
        </w:rPr>
        <w:tab/>
      </w:r>
      <w:r>
        <w:rPr>
          <w:rFonts w:ascii="Times New Roman" w:cs="Times New Roman" w:eastAsia="Times New Roman" w:hAnsi="Times New Roman"/>
          <w:sz w:val="14"/>
          <w:szCs w:val="14"/>
          <w:color w:val="auto"/>
        </w:rPr>
        <w:t>Deposit</w:t>
      </w:r>
    </w:p>
    <w:p>
      <w:pPr>
        <w:spacing w:after="0" w:line="51" w:lineRule="exact"/>
        <w:rPr>
          <w:sz w:val="20"/>
          <w:szCs w:val="20"/>
          <w:color w:val="auto"/>
        </w:rPr>
      </w:pPr>
    </w:p>
    <w:p>
      <w:pPr>
        <w:spacing w:after="0"/>
        <w:tabs>
          <w:tab w:leader="none" w:pos="2640" w:val="left"/>
        </w:tabs>
        <w:rPr>
          <w:sz w:val="20"/>
          <w:szCs w:val="20"/>
          <w:color w:val="auto"/>
        </w:rPr>
      </w:pPr>
      <w:r>
        <w:rPr>
          <w:rFonts w:ascii="Times New Roman" w:cs="Times New Roman" w:eastAsia="Times New Roman" w:hAnsi="Times New Roman"/>
          <w:sz w:val="14"/>
          <w:szCs w:val="14"/>
          <w:color w:val="auto"/>
        </w:rPr>
        <w:t>Block of traditional, IUL, and UL (e)</w:t>
      </w:r>
      <w:r>
        <w:rPr>
          <w:sz w:val="20"/>
          <w:szCs w:val="20"/>
          <w:color w:val="auto"/>
        </w:rPr>
        <w:tab/>
      </w:r>
      <w:r>
        <w:rPr>
          <w:rFonts w:ascii="Times New Roman" w:cs="Times New Roman" w:eastAsia="Times New Roman" w:hAnsi="Times New Roman"/>
          <w:sz w:val="14"/>
          <w:szCs w:val="14"/>
          <w:color w:val="auto"/>
        </w:rPr>
        <w:t>Reinsurance</w:t>
      </w:r>
    </w:p>
    <w:p>
      <w:pPr>
        <w:spacing w:after="0" w:line="1097" w:lineRule="exact"/>
        <w:rPr>
          <w:sz w:val="20"/>
          <w:szCs w:val="20"/>
          <w:color w:val="auto"/>
        </w:rPr>
      </w:pPr>
    </w:p>
    <w:p>
      <w:pPr>
        <w:sectPr>
          <w:pgSz w:w="11900" w:h="16838" w:orient="portrait"/>
          <w:cols w:equalWidth="0" w:num="3">
            <w:col w:w="3120" w:space="460"/>
            <w:col w:w="3700" w:space="240"/>
            <w:col w:w="3720"/>
          </w:cols>
          <w:pgMar w:left="320" w:top="121" w:right="339" w:bottom="1440" w:gutter="0" w:footer="0" w:header="0"/>
          <w:type w:val="continuous"/>
        </w:sectPr>
      </w:pPr>
    </w:p>
    <w:p>
      <w:pPr>
        <w:ind w:left="220" w:hanging="196"/>
        <w:spacing w:after="0"/>
        <w:tabs>
          <w:tab w:leader="none" w:pos="2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Reinsurance recoverables do not include unearned ceded premiums that would be recovered in the event of early termination of certain traditional life policies.</w:t>
      </w:r>
    </w:p>
    <w:p>
      <w:pPr>
        <w:spacing w:after="0" w:line="51" w:lineRule="exact"/>
        <w:rPr>
          <w:rFonts w:ascii="Times New Roman" w:cs="Times New Roman" w:eastAsia="Times New Roman" w:hAnsi="Times New Roman"/>
          <w:sz w:val="14"/>
          <w:szCs w:val="14"/>
          <w:color w:val="auto"/>
        </w:rPr>
      </w:pPr>
    </w:p>
    <w:p>
      <w:pPr>
        <w:ind w:left="220" w:hanging="196"/>
        <w:spacing w:after="0"/>
        <w:tabs>
          <w:tab w:leader="none" w:pos="2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Aspida Life Re Ltd. and Aspida Re Cayman Ltd. (together, “Aspida”)</w:t>
      </w:r>
    </w:p>
    <w:p>
      <w:pPr>
        <w:spacing w:after="0" w:line="51" w:lineRule="exact"/>
        <w:rPr>
          <w:rFonts w:ascii="Times New Roman" w:cs="Times New Roman" w:eastAsia="Times New Roman" w:hAnsi="Times New Roman"/>
          <w:sz w:val="14"/>
          <w:szCs w:val="14"/>
          <w:color w:val="auto"/>
        </w:rPr>
      </w:pPr>
    </w:p>
    <w:p>
      <w:pPr>
        <w:ind w:left="220" w:hanging="196"/>
        <w:spacing w:after="0"/>
        <w:tabs>
          <w:tab w:leader="none" w:pos="2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balance represents the total reinsurance recoverable for all reinsurance agreements with Somerset.</w:t>
      </w:r>
    </w:p>
    <w:p>
      <w:pPr>
        <w:spacing w:after="0" w:line="51" w:lineRule="exact"/>
        <w:rPr>
          <w:rFonts w:ascii="Times New Roman" w:cs="Times New Roman" w:eastAsia="Times New Roman" w:hAnsi="Times New Roman"/>
          <w:sz w:val="14"/>
          <w:szCs w:val="14"/>
          <w:color w:val="auto"/>
        </w:rPr>
      </w:pPr>
    </w:p>
    <w:p>
      <w:pPr>
        <w:ind w:left="220" w:hanging="196"/>
        <w:spacing w:after="0"/>
        <w:tabs>
          <w:tab w:leader="none" w:pos="2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Reinsurance recoverable is collateralized by assets placed in a statutory comfort trust by the reinsurer and maintained for our sole benefit.</w:t>
      </w:r>
    </w:p>
    <w:p>
      <w:pPr>
        <w:spacing w:after="0" w:line="51" w:lineRule="exact"/>
        <w:rPr>
          <w:rFonts w:ascii="Times New Roman" w:cs="Times New Roman" w:eastAsia="Times New Roman" w:hAnsi="Times New Roman"/>
          <w:sz w:val="14"/>
          <w:szCs w:val="14"/>
          <w:color w:val="auto"/>
        </w:rPr>
      </w:pPr>
    </w:p>
    <w:p>
      <w:pPr>
        <w:ind w:left="220" w:hanging="196"/>
        <w:spacing w:after="0"/>
        <w:tabs>
          <w:tab w:leader="none" w:pos="2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Also includes certain FGL Insurance life insurance policies that are subject to redundant reserves, reported on a statutory basis, under Regulation XXX and Guideline AXXX.</w:t>
      </w:r>
    </w:p>
    <w:p>
      <w:pPr>
        <w:spacing w:after="0" w:line="51" w:lineRule="exact"/>
        <w:rPr>
          <w:rFonts w:ascii="Times New Roman" w:cs="Times New Roman" w:eastAsia="Times New Roman" w:hAnsi="Times New Roman"/>
          <w:sz w:val="14"/>
          <w:szCs w:val="14"/>
          <w:color w:val="auto"/>
        </w:rPr>
      </w:pPr>
    </w:p>
    <w:p>
      <w:pPr>
        <w:ind w:left="200" w:hanging="176"/>
        <w:spacing w:after="0"/>
        <w:tabs>
          <w:tab w:leader="none" w:pos="2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all other reinsurers, with no single reinsurer having a carrying value in excess of 5% of total reinsurance recoverable.</w:t>
      </w:r>
    </w:p>
    <w:p>
      <w:pPr>
        <w:spacing w:after="0" w:line="21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As of September 30, 2026 and December 31, 2025, F&amp;G had a deposit asset of $15,555 million and $13,279 million, respectively, which is reported in the Reinsurance recoverable, net of allowance for credit losses on the unaudited Condensed Consolidated Balance Sheets.</w:t>
      </w:r>
    </w:p>
    <w:p>
      <w:pPr>
        <w:spacing w:after="0" w:line="3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F&amp;G incurred risk charge fees of $10 million and $10 million during the three months ended September 30, 2026 and 2025, respectively, and $32 million and $31 million during the nine months ended September 30, 2026 and 2025, respectively, in relation to reinsurance agreements.</w:t>
      </w: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Credit Losses</w:t>
      </w:r>
    </w:p>
    <w:p>
      <w:pPr>
        <w:spacing w:after="0" w:line="62"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F&amp;G estimates expected credit losses on reinsurance recoverables using a probability of default/loss given default model. Significant inputs to the model include the reinsurer's credit risk, expected timing of recovery, industry-wide historical default experience, senior unsecured bond recovery rates, and credit enhancement features. There was no material change in the expected credit loss reserve for the three and nine months ended September 30, 2026 and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Funds Withheld</w:t>
      </w:r>
    </w:p>
    <w:p>
      <w:pPr>
        <w:spacing w:after="0" w:line="6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assets were held in support of our reserves associated with our coinsurance with funds withheld agreements and are reported at carrying value in the line items shown below in the unaudited Condensed Consolidated Balance Sheets: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380" w:type="dxa"/>
            <w:vAlign w:val="bottom"/>
          </w:tcPr>
          <w:p>
            <w:pPr>
              <w:spacing w:after="0"/>
              <w:rPr>
                <w:sz w:val="16"/>
                <w:szCs w:val="16"/>
                <w:color w:val="auto"/>
              </w:rPr>
            </w:pPr>
          </w:p>
        </w:tc>
        <w:tc>
          <w:tcPr>
            <w:tcW w:w="1660" w:type="dxa"/>
            <w:vAlign w:val="bottom"/>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4"/>
        </w:trPr>
        <w:tc>
          <w:tcPr>
            <w:tcW w:w="70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3"/>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181"/>
        </w:trPr>
        <w:tc>
          <w:tcPr>
            <w:tcW w:w="7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60" w:type="dxa"/>
            <w:vAlign w:val="bottom"/>
          </w:tcPr>
          <w:p>
            <w:pPr>
              <w:spacing w:after="0"/>
              <w:rPr>
                <w:sz w:val="15"/>
                <w:szCs w:val="15"/>
                <w:color w:val="auto"/>
              </w:rPr>
            </w:pPr>
          </w:p>
        </w:tc>
      </w:tr>
      <w:tr>
        <w:trPr>
          <w:trHeight w:val="24"/>
        </w:trPr>
        <w:tc>
          <w:tcPr>
            <w:tcW w:w="7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192"/>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Fixed maturities, AFS</w:t>
            </w:r>
          </w:p>
        </w:tc>
        <w:tc>
          <w:tcPr>
            <w:tcW w:w="26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15,312</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12,530</w:t>
            </w:r>
          </w:p>
        </w:tc>
      </w:tr>
      <w:tr>
        <w:trPr>
          <w:trHeight w:val="188"/>
        </w:trPr>
        <w:tc>
          <w:tcPr>
            <w:tcW w:w="7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securities</w:t>
            </w:r>
          </w:p>
        </w:tc>
        <w:tc>
          <w:tcPr>
            <w:tcW w:w="26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r>
      <w:tr>
        <w:trPr>
          <w:trHeight w:val="24"/>
        </w:trPr>
        <w:tc>
          <w:tcPr>
            <w:tcW w:w="7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192"/>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Derivative instruments</w:t>
            </w:r>
          </w:p>
        </w:tc>
        <w:tc>
          <w:tcPr>
            <w:tcW w:w="260" w:type="dxa"/>
            <w:vAlign w:val="bottom"/>
            <w:tcBorders>
              <w:bottom w:val="single" w:sz="8" w:color="CCEEFF"/>
            </w:tcBorders>
            <w:shd w:val="clear" w:color="auto" w:fill="CCEEFF"/>
          </w:tcPr>
          <w:p>
            <w:pPr>
              <w:spacing w:after="0"/>
              <w:rPr>
                <w:sz w:val="16"/>
                <w:szCs w:val="16"/>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r>
      <w:tr>
        <w:trPr>
          <w:trHeight w:val="188"/>
        </w:trPr>
        <w:tc>
          <w:tcPr>
            <w:tcW w:w="7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Mortgage loans</w:t>
            </w:r>
          </w:p>
        </w:tc>
        <w:tc>
          <w:tcPr>
            <w:tcW w:w="26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r>
      <w:tr>
        <w:trPr>
          <w:trHeight w:val="24"/>
        </w:trPr>
        <w:tc>
          <w:tcPr>
            <w:tcW w:w="7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192"/>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Investments in unconsolidated affiliates</w:t>
            </w:r>
          </w:p>
        </w:tc>
        <w:tc>
          <w:tcPr>
            <w:tcW w:w="260" w:type="dxa"/>
            <w:vAlign w:val="bottom"/>
            <w:tcBorders>
              <w:bottom w:val="single" w:sz="8" w:color="CCEEFF"/>
            </w:tcBorders>
            <w:shd w:val="clear" w:color="auto" w:fill="CCEEFF"/>
          </w:tcPr>
          <w:p>
            <w:pPr>
              <w:spacing w:after="0"/>
              <w:rPr>
                <w:sz w:val="16"/>
                <w:szCs w:val="16"/>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1,006</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752</w:t>
            </w:r>
          </w:p>
        </w:tc>
      </w:tr>
      <w:tr>
        <w:trPr>
          <w:trHeight w:val="188"/>
        </w:trPr>
        <w:tc>
          <w:tcPr>
            <w:tcW w:w="7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Policy loans</w:t>
            </w:r>
          </w:p>
        </w:tc>
        <w:tc>
          <w:tcPr>
            <w:tcW w:w="26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4"/>
        </w:trPr>
        <w:tc>
          <w:tcPr>
            <w:tcW w:w="7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192"/>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60" w:type="dxa"/>
            <w:vAlign w:val="bottom"/>
            <w:tcBorders>
              <w:bottom w:val="single" w:sz="8" w:color="CCEEFF"/>
            </w:tcBorders>
            <w:shd w:val="clear" w:color="auto" w:fill="CCEEFF"/>
          </w:tcPr>
          <w:p>
            <w:pPr>
              <w:spacing w:after="0"/>
              <w:rPr>
                <w:sz w:val="16"/>
                <w:szCs w:val="16"/>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702</w:t>
            </w:r>
          </w:p>
        </w:tc>
      </w:tr>
      <w:tr>
        <w:trPr>
          <w:trHeight w:val="188"/>
        </w:trPr>
        <w:tc>
          <w:tcPr>
            <w:tcW w:w="7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Subtotal</w:t>
            </w:r>
          </w:p>
        </w:tc>
        <w:tc>
          <w:tcPr>
            <w:tcW w:w="26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17,907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14,165</w:t>
            </w:r>
          </w:p>
        </w:tc>
      </w:tr>
      <w:tr>
        <w:trPr>
          <w:trHeight w:val="24"/>
        </w:trPr>
        <w:tc>
          <w:tcPr>
            <w:tcW w:w="7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192"/>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receivable, included in Prepaid expenses and other assets</w:t>
            </w:r>
          </w:p>
        </w:tc>
        <w:tc>
          <w:tcPr>
            <w:tcW w:w="260" w:type="dxa"/>
            <w:vAlign w:val="bottom"/>
            <w:tcBorders>
              <w:bottom w:val="single" w:sz="8" w:color="CCEEFF"/>
            </w:tcBorders>
            <w:shd w:val="clear" w:color="auto" w:fill="CCEEFF"/>
          </w:tcPr>
          <w:p>
            <w:pPr>
              <w:spacing w:after="0"/>
              <w:rPr>
                <w:sz w:val="16"/>
                <w:szCs w:val="16"/>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w:t>
            </w:r>
          </w:p>
        </w:tc>
      </w:tr>
      <w:tr>
        <w:trPr>
          <w:trHeight w:val="188"/>
        </w:trPr>
        <w:tc>
          <w:tcPr>
            <w:tcW w:w="7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Accounts payable and accrued liabilities and reconciling items (a)</w:t>
            </w:r>
          </w:p>
        </w:tc>
        <w:tc>
          <w:tcPr>
            <w:tcW w:w="26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w:t>
            </w:r>
          </w:p>
        </w:tc>
      </w:tr>
      <w:tr>
        <w:trPr>
          <w:trHeight w:val="24"/>
        </w:trPr>
        <w:tc>
          <w:tcPr>
            <w:tcW w:w="7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0"/>
        </w:trPr>
        <w:tc>
          <w:tcPr>
            <w:tcW w:w="70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Net assets</w:t>
            </w: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17,837</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14,191</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 Reconciling items primarily represent net balances in process of settlement or clearing.</w:t>
      </w:r>
    </w:p>
    <w:p>
      <w:pPr>
        <w:spacing w:after="0" w:line="1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Reinsurance Risk</w:t>
      </w:r>
    </w:p>
    <w:p>
      <w:pPr>
        <w:spacing w:after="0" w:line="115"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As indicated above, F&amp;G has a significant concentration of reinsurance risk with third party reinsurers, Aspida, Somerset, Everlake, Fort Greene, Ancient Re and Wilton Re (each, as defined above) that could have a material impact on our financial position in the event that any of these reinsurers fails to perform its obligations under the various reinsurance treaties. We monitor the financial condition and financial strength of individual reinsurers using public ratings (refer to table below) and ratings reports of individual reinsurers to attempt to reduce the risk of default by such reinsurers. In addition, the risk of non-performance is further mitigated with various forms of collateral or collateral arrangements, including secured trusts, funds withheld accounts, and irrevocable letters of credit. We believe that all amounts due from Aspida, Somerset, Everlake, Fort Greene, Ancient Re and Wilton Re for periodic treaty settlements, net of any applicable credit loss reserves, are collectible as of September 30, 2026. The following table presents financial strength ratings as of September 30, 2026:</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400" w:type="dxa"/>
            <w:vAlign w:val="bottom"/>
          </w:tcPr>
          <w:p>
            <w:pPr>
              <w:spacing w:after="0"/>
              <w:rPr>
                <w:sz w:val="16"/>
                <w:szCs w:val="16"/>
                <w:color w:val="auto"/>
              </w:rPr>
            </w:pPr>
          </w:p>
        </w:tc>
        <w:tc>
          <w:tcPr>
            <w:tcW w:w="596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Parent Company/Principal Reinsurers</w:t>
            </w:r>
          </w:p>
        </w:tc>
        <w:tc>
          <w:tcPr>
            <w:tcW w:w="2640" w:type="dxa"/>
            <w:vAlign w:val="bottom"/>
            <w:gridSpan w:val="4"/>
          </w:tcPr>
          <w:p>
            <w:pPr>
              <w:ind w:left="500"/>
              <w:spacing w:after="0"/>
              <w:rPr>
                <w:sz w:val="20"/>
                <w:szCs w:val="20"/>
                <w:color w:val="auto"/>
              </w:rPr>
            </w:pPr>
            <w:r>
              <w:rPr>
                <w:rFonts w:ascii="Times New Roman" w:cs="Times New Roman" w:eastAsia="Times New Roman" w:hAnsi="Times New Roman"/>
                <w:sz w:val="14"/>
                <w:szCs w:val="14"/>
                <w:b w:val="1"/>
                <w:bCs w:val="1"/>
                <w:color w:val="auto"/>
              </w:rPr>
              <w:t>Financial Strength Rating</w:t>
            </w:r>
          </w:p>
        </w:tc>
        <w:tc>
          <w:tcPr>
            <w:tcW w:w="1240" w:type="dxa"/>
            <w:vAlign w:val="bottom"/>
          </w:tcPr>
          <w:p>
            <w:pPr>
              <w:spacing w:after="0"/>
              <w:rPr>
                <w:sz w:val="16"/>
                <w:szCs w:val="16"/>
                <w:color w:val="auto"/>
              </w:rPr>
            </w:pPr>
          </w:p>
        </w:tc>
      </w:tr>
      <w:tr>
        <w:trPr>
          <w:trHeight w:val="24"/>
        </w:trPr>
        <w:tc>
          <w:tcPr>
            <w:tcW w:w="140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1"/>
        </w:trPr>
        <w:tc>
          <w:tcPr>
            <w:tcW w:w="140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 Best</w:t>
            </w: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S&amp;P</w:t>
            </w: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Fitch</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Moody's</w:t>
            </w:r>
          </w:p>
        </w:tc>
      </w:tr>
      <w:tr>
        <w:trPr>
          <w:trHeight w:val="24"/>
        </w:trPr>
        <w:tc>
          <w:tcPr>
            <w:tcW w:w="1400" w:type="dxa"/>
            <w:vAlign w:val="bottom"/>
            <w:tcBorders>
              <w:bottom w:val="single" w:sz="8" w:color="CCEEFF"/>
            </w:tcBorders>
          </w:tcPr>
          <w:p>
            <w:pPr>
              <w:spacing w:after="0"/>
              <w:rPr>
                <w:sz w:val="2"/>
                <w:szCs w:val="2"/>
                <w:color w:val="auto"/>
              </w:rPr>
            </w:pPr>
          </w:p>
        </w:tc>
        <w:tc>
          <w:tcPr>
            <w:tcW w:w="464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5"/>
        </w:trPr>
        <w:tc>
          <w:tcPr>
            <w:tcW w:w="1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Aspida</w:t>
            </w:r>
          </w:p>
        </w:tc>
        <w:tc>
          <w:tcPr>
            <w:tcW w:w="464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4"/>
              </w:rPr>
              <w:t>A-</w:t>
            </w:r>
          </w:p>
        </w:tc>
        <w:tc>
          <w:tcPr>
            <w:tcW w:w="13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32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4"/>
                <w:szCs w:val="14"/>
                <w:color w:val="auto"/>
                <w:w w:val="99"/>
              </w:rPr>
              <w:t>—</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r>
      <w:tr>
        <w:trPr>
          <w:trHeight w:val="188"/>
        </w:trPr>
        <w:tc>
          <w:tcPr>
            <w:tcW w:w="1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Somerset</w:t>
            </w:r>
          </w:p>
        </w:tc>
        <w:tc>
          <w:tcPr>
            <w:tcW w:w="4640" w:type="dxa"/>
            <w:vAlign w:val="bottom"/>
          </w:tcPr>
          <w:p>
            <w:pPr>
              <w:spacing w:after="0"/>
              <w:rPr>
                <w:sz w:val="16"/>
                <w:szCs w:val="16"/>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A</w:t>
            </w: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BBB+</w:t>
            </w:r>
          </w:p>
        </w:tc>
        <w:tc>
          <w:tcPr>
            <w:tcW w:w="13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w w:val="99"/>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r>
      <w:tr>
        <w:trPr>
          <w:trHeight w:val="24"/>
        </w:trPr>
        <w:tc>
          <w:tcPr>
            <w:tcW w:w="140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92"/>
        </w:trPr>
        <w:tc>
          <w:tcPr>
            <w:tcW w:w="1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Everlake</w:t>
            </w:r>
          </w:p>
        </w:tc>
        <w:tc>
          <w:tcPr>
            <w:tcW w:w="464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8"/>
              </w:rPr>
              <w:t>A</w:t>
            </w:r>
          </w:p>
        </w:tc>
        <w:tc>
          <w:tcPr>
            <w:tcW w:w="13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32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4"/>
                <w:szCs w:val="14"/>
                <w:color w:val="auto"/>
                <w:w w:val="99"/>
              </w:rPr>
              <w:t>—</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r>
      <w:tr>
        <w:trPr>
          <w:trHeight w:val="188"/>
        </w:trPr>
        <w:tc>
          <w:tcPr>
            <w:tcW w:w="1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Fort Greene</w:t>
            </w:r>
          </w:p>
        </w:tc>
        <w:tc>
          <w:tcPr>
            <w:tcW w:w="4640" w:type="dxa"/>
            <w:vAlign w:val="bottom"/>
          </w:tcPr>
          <w:p>
            <w:pPr>
              <w:spacing w:after="0"/>
              <w:rPr>
                <w:sz w:val="16"/>
                <w:szCs w:val="16"/>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3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w w:val="99"/>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r>
      <w:tr>
        <w:trPr>
          <w:trHeight w:val="24"/>
        </w:trPr>
        <w:tc>
          <w:tcPr>
            <w:tcW w:w="140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92"/>
        </w:trPr>
        <w:tc>
          <w:tcPr>
            <w:tcW w:w="1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Ancient Re Ltd.</w:t>
            </w:r>
          </w:p>
        </w:tc>
        <w:tc>
          <w:tcPr>
            <w:tcW w:w="464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3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32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4"/>
                <w:szCs w:val="14"/>
                <w:color w:val="auto"/>
                <w:w w:val="99"/>
              </w:rPr>
              <w:t>—</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r>
      <w:tr>
        <w:trPr>
          <w:trHeight w:val="188"/>
        </w:trPr>
        <w:tc>
          <w:tcPr>
            <w:tcW w:w="1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Wilton Re</w:t>
            </w:r>
          </w:p>
        </w:tc>
        <w:tc>
          <w:tcPr>
            <w:tcW w:w="4640" w:type="dxa"/>
            <w:vAlign w:val="bottom"/>
          </w:tcPr>
          <w:p>
            <w:pPr>
              <w:spacing w:after="0"/>
              <w:rPr>
                <w:sz w:val="16"/>
                <w:szCs w:val="16"/>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A+</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A-</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r>
    </w:tbl>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indicates not rated</w:t>
      </w:r>
    </w:p>
    <w:p>
      <w:pPr>
        <w:sectPr>
          <w:pgSz w:w="11900" w:h="16838" w:orient="portrait"/>
          <w:cols w:equalWidth="0" w:num="1">
            <w:col w:w="11240"/>
          </w:cols>
          <w:pgMar w:left="320" w:top="121" w:right="339" w:bottom="88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88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4780"/>
        <w:spacing w:after="0" w:line="369" w:lineRule="auto"/>
        <w:rPr>
          <w:sz w:val="20"/>
          <w:szCs w:val="20"/>
          <w:color w:val="auto"/>
        </w:rPr>
      </w:pPr>
      <w:r>
        <w:rPr>
          <w:rFonts w:ascii="Times New Roman" w:cs="Times New Roman" w:eastAsia="Times New Roman" w:hAnsi="Times New Roman"/>
          <w:sz w:val="18"/>
          <w:szCs w:val="18"/>
          <w:b w:val="1"/>
          <w:bCs w:val="1"/>
          <w:color w:val="auto"/>
        </w:rPr>
        <w:t xml:space="preserve">Note M — F&amp;G Insurance Subsidiary Financial Information and Regulatory Matters </w:t>
      </w:r>
      <w:r>
        <w:rPr>
          <w:rFonts w:ascii="Times New Roman" w:cs="Times New Roman" w:eastAsia="Times New Roman" w:hAnsi="Times New Roman"/>
          <w:sz w:val="18"/>
          <w:szCs w:val="18"/>
          <w:b w:val="1"/>
          <w:bCs w:val="1"/>
          <w:i w:val="1"/>
          <w:iCs w:val="1"/>
          <w:color w:val="auto"/>
        </w:rPr>
        <w:t>U.S. Companies</w:t>
      </w:r>
    </w:p>
    <w:p>
      <w:pPr>
        <w:spacing w:after="0" w:line="2"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Certain of our insurance subsidiaries are subject to statutory accounting and regulatory requirements prescribed or permitted by their respective insurance regulatory authorities. Statutory accounting principles differ in certain respects from U.S. generally accepted accounting principles.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Statutory Financial Information</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Statutory net income for the three and nine months ended September 30, 2026 and 2025, and statutory capital and surplus as of September 30, 2026 and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of our life insurance legal entities, were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6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2"/>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 xml:space="preserve">Subsidiary (state of domicile) </w:t>
            </w:r>
            <w:r>
              <w:rPr>
                <w:rFonts w:ascii="Times New Roman" w:cs="Times New Roman" w:eastAsia="Times New Roman" w:hAnsi="Times New Roman"/>
                <w:sz w:val="18"/>
                <w:szCs w:val="18"/>
                <w:b w:val="1"/>
                <w:bCs w:val="1"/>
                <w:color w:val="auto"/>
                <w:vertAlign w:val="superscript"/>
              </w:rPr>
              <w:t>(a)</w:t>
            </w:r>
          </w:p>
        </w:tc>
        <w:tc>
          <w:tcPr>
            <w:tcW w:w="4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1"/>
        </w:trPr>
        <w:tc>
          <w:tcPr>
            <w:tcW w:w="4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jc w:val="right"/>
              <w:ind w:right="289"/>
              <w:spacing w:after="0" w:line="141" w:lineRule="exact"/>
              <w:rPr>
                <w:sz w:val="20"/>
                <w:szCs w:val="20"/>
                <w:color w:val="auto"/>
              </w:rPr>
            </w:pPr>
            <w:r>
              <w:rPr>
                <w:rFonts w:ascii="Times New Roman" w:cs="Times New Roman" w:eastAsia="Times New Roman" w:hAnsi="Times New Roman"/>
                <w:sz w:val="14"/>
                <w:szCs w:val="14"/>
                <w:b w:val="1"/>
                <w:bCs w:val="1"/>
                <w:color w:val="auto"/>
              </w:rPr>
              <w:t>FGL Insurance</w:t>
            </w:r>
          </w:p>
        </w:tc>
        <w:tc>
          <w:tcPr>
            <w:tcW w:w="1660" w:type="dxa"/>
            <w:vAlign w:val="bottom"/>
            <w:gridSpan w:val="2"/>
            <w:vMerge w:val="restart"/>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FGL NY Insurance (NY)</w:t>
            </w:r>
          </w:p>
        </w:tc>
        <w:tc>
          <w:tcPr>
            <w:tcW w:w="1240" w:type="dxa"/>
            <w:vAlign w:val="bottom"/>
          </w:tcPr>
          <w:p>
            <w:pPr>
              <w:jc w:val="right"/>
              <w:ind w:right="29"/>
              <w:spacing w:after="0" w:line="141" w:lineRule="exact"/>
              <w:rPr>
                <w:sz w:val="20"/>
                <w:szCs w:val="20"/>
                <w:color w:val="auto"/>
              </w:rPr>
            </w:pPr>
            <w:r>
              <w:rPr>
                <w:rFonts w:ascii="Times New Roman" w:cs="Times New Roman" w:eastAsia="Times New Roman" w:hAnsi="Times New Roman"/>
                <w:sz w:val="14"/>
                <w:szCs w:val="14"/>
                <w:b w:val="1"/>
                <w:bCs w:val="1"/>
                <w:color w:val="auto"/>
              </w:rPr>
              <w:t>Raven Re</w:t>
            </w: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20" w:type="dxa"/>
            <w:vAlign w:val="bottom"/>
          </w:tcPr>
          <w:p>
            <w:pPr>
              <w:jc w:val="right"/>
              <w:ind w:right="349"/>
              <w:spacing w:after="0" w:line="141" w:lineRule="exact"/>
              <w:rPr>
                <w:sz w:val="20"/>
                <w:szCs w:val="20"/>
                <w:color w:val="auto"/>
              </w:rPr>
            </w:pPr>
            <w:r>
              <w:rPr>
                <w:rFonts w:ascii="Times New Roman" w:cs="Times New Roman" w:eastAsia="Times New Roman" w:hAnsi="Times New Roman"/>
                <w:sz w:val="14"/>
                <w:szCs w:val="14"/>
                <w:b w:val="1"/>
                <w:bCs w:val="1"/>
                <w:color w:val="auto"/>
              </w:rPr>
              <w:t>Corbeau Re</w:t>
            </w:r>
          </w:p>
        </w:tc>
        <w:tc>
          <w:tcPr>
            <w:tcW w:w="0" w:type="dxa"/>
            <w:vAlign w:val="bottom"/>
          </w:tcPr>
          <w:p>
            <w:pPr>
              <w:spacing w:after="0"/>
              <w:rPr>
                <w:sz w:val="1"/>
                <w:szCs w:val="1"/>
                <w:color w:val="auto"/>
              </w:rPr>
            </w:pPr>
          </w:p>
        </w:tc>
      </w:tr>
      <w:tr>
        <w:trPr>
          <w:trHeight w:val="190"/>
        </w:trPr>
        <w:tc>
          <w:tcPr>
            <w:tcW w:w="4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(IA)</w:t>
            </w:r>
          </w:p>
        </w:tc>
        <w:tc>
          <w:tcPr>
            <w:tcW w:w="1660" w:type="dxa"/>
            <w:vAlign w:val="bottom"/>
            <w:tcBorders>
              <w:bottom w:val="single" w:sz="8" w:color="auto"/>
            </w:tcBorders>
            <w:gridSpan w:val="2"/>
            <w:vMerge w:val="continue"/>
          </w:tcPr>
          <w:p>
            <w:pPr>
              <w:spacing w:after="0"/>
              <w:rPr>
                <w:sz w:val="16"/>
                <w:szCs w:val="16"/>
                <w:color w:val="auto"/>
              </w:rPr>
            </w:pPr>
          </w:p>
        </w:tc>
        <w:tc>
          <w:tcPr>
            <w:tcW w:w="12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(VT)</w:t>
            </w:r>
          </w:p>
        </w:tc>
        <w:tc>
          <w:tcPr>
            <w:tcW w:w="4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(VT)</w:t>
            </w:r>
          </w:p>
        </w:tc>
        <w:tc>
          <w:tcPr>
            <w:tcW w:w="0" w:type="dxa"/>
            <w:vAlign w:val="bottom"/>
          </w:tcPr>
          <w:p>
            <w:pPr>
              <w:spacing w:after="0"/>
              <w:rPr>
                <w:sz w:val="1"/>
                <w:szCs w:val="1"/>
                <w:color w:val="auto"/>
              </w:rPr>
            </w:pPr>
          </w:p>
        </w:tc>
      </w:tr>
      <w:tr>
        <w:trPr>
          <w:trHeight w:val="188"/>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Statutory Net income (loss):</w:t>
            </w: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80" w:type="dxa"/>
            <w:vAlign w:val="bottom"/>
            <w:gridSpan w:val="2"/>
          </w:tcPr>
          <w:p>
            <w:pPr>
              <w:jc w:val="right"/>
              <w:ind w:right="78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 the three months ended September 30, 2026</w:t>
            </w:r>
          </w:p>
        </w:tc>
        <w:tc>
          <w:tcPr>
            <w:tcW w:w="22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(75)</w:t>
            </w:r>
          </w:p>
        </w:tc>
        <w:tc>
          <w:tcPr>
            <w:tcW w:w="420" w:type="dxa"/>
            <w:vAlign w:val="bottom"/>
            <w:tcBorders>
              <w:bottom w:val="single" w:sz="8" w:color="CCEEFF"/>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w:t>
            </w:r>
          </w:p>
        </w:tc>
        <w:tc>
          <w:tcPr>
            <w:tcW w:w="1240" w:type="dxa"/>
            <w:vAlign w:val="bottom"/>
            <w:tcBorders>
              <w:bottom w:val="single" w:sz="8" w:color="CCEEFF"/>
            </w:tcBorders>
            <w:shd w:val="clear" w:color="auto" w:fill="CCEEFF"/>
          </w:tcPr>
          <w:p>
            <w:pPr>
              <w:jc w:val="right"/>
              <w:ind w:right="1029"/>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w:t>
            </w:r>
          </w:p>
        </w:tc>
        <w:tc>
          <w:tcPr>
            <w:tcW w:w="32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88"/>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 the three months ended September 30, 2025</w:t>
            </w:r>
          </w:p>
        </w:tc>
        <w:tc>
          <w:tcPr>
            <w:tcW w:w="220" w:type="dxa"/>
            <w:vAlign w:val="bottom"/>
          </w:tcPr>
          <w:p>
            <w:pPr>
              <w:spacing w:after="0"/>
              <w:rPr>
                <w:sz w:val="16"/>
                <w:szCs w:val="16"/>
                <w:color w:val="auto"/>
              </w:rPr>
            </w:pPr>
          </w:p>
        </w:tc>
        <w:tc>
          <w:tcPr>
            <w:tcW w:w="14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(13)</w:t>
            </w:r>
          </w:p>
        </w:tc>
        <w:tc>
          <w:tcPr>
            <w:tcW w:w="420" w:type="dxa"/>
            <w:vAlign w:val="bottom"/>
          </w:tcPr>
          <w:p>
            <w:pPr>
              <w:spacing w:after="0"/>
              <w:rPr>
                <w:sz w:val="16"/>
                <w:szCs w:val="16"/>
                <w:color w:val="auto"/>
              </w:rPr>
            </w:pPr>
          </w:p>
        </w:tc>
        <w:tc>
          <w:tcPr>
            <w:tcW w:w="12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w:t>
            </w:r>
          </w:p>
        </w:tc>
        <w:tc>
          <w:tcPr>
            <w:tcW w:w="1240" w:type="dxa"/>
            <w:vAlign w:val="bottom"/>
          </w:tcPr>
          <w:p>
            <w:pPr>
              <w:spacing w:after="0"/>
              <w:rPr>
                <w:sz w:val="16"/>
                <w:szCs w:val="16"/>
                <w:color w:val="auto"/>
              </w:rPr>
            </w:pPr>
          </w:p>
        </w:tc>
        <w:tc>
          <w:tcPr>
            <w:tcW w:w="4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8</w:t>
            </w:r>
          </w:p>
        </w:tc>
        <w:tc>
          <w:tcPr>
            <w:tcW w:w="3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24"/>
        </w:trPr>
        <w:tc>
          <w:tcPr>
            <w:tcW w:w="4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4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 the nine months ended September 30, 2026</w:t>
            </w: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(159)</w:t>
            </w:r>
          </w:p>
        </w:tc>
        <w:tc>
          <w:tcPr>
            <w:tcW w:w="42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7</w:t>
            </w:r>
          </w:p>
        </w:tc>
        <w:tc>
          <w:tcPr>
            <w:tcW w:w="1240" w:type="dxa"/>
            <w:vAlign w:val="bottom"/>
          </w:tcPr>
          <w:p>
            <w:pPr>
              <w:jc w:val="right"/>
              <w:ind w:right="1029"/>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22</w:t>
            </w:r>
          </w:p>
        </w:tc>
        <w:tc>
          <w:tcPr>
            <w:tcW w:w="3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0" w:type="dxa"/>
            <w:vAlign w:val="bottom"/>
          </w:tcPr>
          <w:p>
            <w:pPr>
              <w:spacing w:after="0"/>
              <w:rPr>
                <w:sz w:val="1"/>
                <w:szCs w:val="1"/>
                <w:color w:val="auto"/>
              </w:rPr>
            </w:pPr>
          </w:p>
        </w:tc>
      </w:tr>
      <w:tr>
        <w:trPr>
          <w:trHeight w:val="24"/>
        </w:trPr>
        <w:tc>
          <w:tcPr>
            <w:tcW w:w="4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 the nine months ended September 30, 2025</w:t>
            </w:r>
          </w:p>
        </w:tc>
        <w:tc>
          <w:tcPr>
            <w:tcW w:w="22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(216)</w:t>
            </w:r>
          </w:p>
        </w:tc>
        <w:tc>
          <w:tcPr>
            <w:tcW w:w="42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7</w:t>
            </w:r>
          </w:p>
        </w:tc>
        <w:tc>
          <w:tcPr>
            <w:tcW w:w="124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28</w:t>
            </w:r>
          </w:p>
        </w:tc>
        <w:tc>
          <w:tcPr>
            <w:tcW w:w="32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0" w:type="dxa"/>
            <w:vAlign w:val="bottom"/>
          </w:tcPr>
          <w:p>
            <w:pPr>
              <w:spacing w:after="0"/>
              <w:rPr>
                <w:sz w:val="1"/>
                <w:szCs w:val="1"/>
                <w:color w:val="auto"/>
              </w:rPr>
            </w:pPr>
          </w:p>
        </w:tc>
      </w:tr>
      <w:tr>
        <w:trPr>
          <w:trHeight w:val="199"/>
        </w:trPr>
        <w:tc>
          <w:tcPr>
            <w:tcW w:w="4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Statutory Capital and Surplus:</w:t>
            </w:r>
          </w:p>
        </w:tc>
        <w:tc>
          <w:tcPr>
            <w:tcW w:w="22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September 30, 2026</w:t>
            </w: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991</w:t>
            </w:r>
          </w:p>
        </w:tc>
        <w:tc>
          <w:tcPr>
            <w:tcW w:w="42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127</w:t>
            </w:r>
          </w:p>
        </w:tc>
        <w:tc>
          <w:tcPr>
            <w:tcW w:w="1240" w:type="dxa"/>
            <w:vAlign w:val="bottom"/>
          </w:tcPr>
          <w:p>
            <w:pPr>
              <w:jc w:val="right"/>
              <w:ind w:right="1029"/>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178</w:t>
            </w:r>
          </w:p>
        </w:tc>
        <w:tc>
          <w:tcPr>
            <w:tcW w:w="3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0" w:type="dxa"/>
            <w:vAlign w:val="bottom"/>
          </w:tcPr>
          <w:p>
            <w:pPr>
              <w:spacing w:after="0"/>
              <w:rPr>
                <w:sz w:val="1"/>
                <w:szCs w:val="1"/>
                <w:color w:val="auto"/>
              </w:rPr>
            </w:pPr>
          </w:p>
        </w:tc>
      </w:tr>
      <w:tr>
        <w:trPr>
          <w:trHeight w:val="24"/>
        </w:trPr>
        <w:tc>
          <w:tcPr>
            <w:tcW w:w="4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31, 2025</w:t>
            </w:r>
          </w:p>
        </w:tc>
        <w:tc>
          <w:tcPr>
            <w:tcW w:w="22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1,735</w:t>
            </w:r>
          </w:p>
        </w:tc>
        <w:tc>
          <w:tcPr>
            <w:tcW w:w="42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122</w:t>
            </w:r>
          </w:p>
        </w:tc>
        <w:tc>
          <w:tcPr>
            <w:tcW w:w="124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182</w:t>
            </w:r>
          </w:p>
        </w:tc>
        <w:tc>
          <w:tcPr>
            <w:tcW w:w="32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0" w:type="dxa"/>
            <w:vAlign w:val="bottom"/>
          </w:tcPr>
          <w:p>
            <w:pPr>
              <w:spacing w:after="0"/>
              <w:rPr>
                <w:sz w:val="1"/>
                <w:szCs w:val="1"/>
                <w:color w:val="auto"/>
              </w:rPr>
            </w:pPr>
          </w:p>
        </w:tc>
      </w:tr>
      <w:tr>
        <w:trPr>
          <w:trHeight w:val="24"/>
        </w:trPr>
        <w:tc>
          <w:tcPr>
            <w:tcW w:w="46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FGL NY Insurance, Raven Re, and Corbeau Re are subsidiaries of FGL Insurance, and the columns should not be added together.</w:t>
      </w:r>
    </w:p>
    <w:p>
      <w:pPr>
        <w:spacing w:after="0" w:line="1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Regulatory Capital and Dividend Restrictions</w:t>
      </w:r>
    </w:p>
    <w:p>
      <w:pPr>
        <w:spacing w:after="0" w:line="11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F&amp;G's U.S. insurance subsidiaries are subject to statutory capital requirements and restrictions on the payment of dividends. For the nine months ended September 30, 2026, FGL Insurance did not pay any ordinary dividends to its parent, Fidelity &amp; Guaranty Life Holdings, Inc. (“FGLH”), and FGL Insurance’s maximum ordinary dividend capacity for 2026 is $0. During the third quarter of 2026, upon approval by the Iowa Insurance Division, FGL Insurance paid $250 million in cash to FGLH as a return of capital, approximately $249 million of which was ultimately received by FGAL.</w:t>
      </w:r>
    </w:p>
    <w:p>
      <w:pPr>
        <w:spacing w:after="0" w:line="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Prescribed and Permitted Statutory Accounting Practices</w:t>
      </w:r>
    </w:p>
    <w:p>
      <w:pPr>
        <w:spacing w:after="0" w:line="113"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Certain of F&amp;G's insurance subsidiaries use prescribed or permitted statutory accounting practices that differ from NAIC statutory accounting practices. The aggregate effect of such practices resulted in increases to statutory capital and surplus of $169 million and $249 million at September 30, 2026 and December 31, 2025, respectively. Without such permitted statutory accounting practices, FGL Insurance’s risk-based capital would have been above the minimum regulatory requirements as of September 30, 2026 and December 31, 2025. Without such permitted statutory accounting practices, Raven Re’s and Corbeau Re's risk-based capital would have been above the minimum regulatory requirements as of September 30, 2026 and December 31, 2025.</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Non-U.S. Company</w:t>
      </w:r>
    </w:p>
    <w:p>
      <w:pPr>
        <w:spacing w:after="0" w:line="11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F&amp;G Cayman Re is subject to statutory accounting and regulatory requirements of the Cayman Islands Monetary Authority. It uses certain permitted regulatory accounting practices related to letters of credit supporting reinsurance transactions and certain pension risk transfer reinsurance reserves. Without these practices, its statutory surplus would have been $57 million and $20 million as of September 30, 2026 and December 31, 2025, respectively, and its risk-based capital would have fallen below the minimum regulatory requirements.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Net income and capital and surplus of our wholly owned Cayman Islands insurance subsidiary under SAP were as follows: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20" w:type="dxa"/>
            <w:vAlign w:val="bottom"/>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rPr>
              <w:t>Subsidiary (country of domicile)</w:t>
            </w:r>
          </w:p>
        </w:tc>
      </w:tr>
      <w:tr>
        <w:trPr>
          <w:trHeight w:val="24"/>
        </w:trPr>
        <w:tc>
          <w:tcPr>
            <w:tcW w:w="84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r>
      <w:tr>
        <w:trPr>
          <w:trHeight w:val="181"/>
        </w:trPr>
        <w:tc>
          <w:tcPr>
            <w:tcW w:w="8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20" w:type="dxa"/>
            <w:vAlign w:val="bottom"/>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rPr>
              <w:t>F&amp;G Cayman Re (Cayman Islands)</w:t>
            </w:r>
          </w:p>
        </w:tc>
      </w:tr>
      <w:tr>
        <w:trPr>
          <w:trHeight w:val="24"/>
        </w:trPr>
        <w:tc>
          <w:tcPr>
            <w:tcW w:w="84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r>
      <w:tr>
        <w:trPr>
          <w:trHeight w:val="181"/>
        </w:trPr>
        <w:tc>
          <w:tcPr>
            <w:tcW w:w="8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20" w:type="dxa"/>
            <w:vAlign w:val="bottom"/>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12"/>
        </w:trPr>
        <w:tc>
          <w:tcPr>
            <w:tcW w:w="8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Statutory Net income (loss):</w:t>
            </w:r>
          </w:p>
        </w:tc>
        <w:tc>
          <w:tcPr>
            <w:tcW w:w="200" w:type="dxa"/>
            <w:vAlign w:val="bottom"/>
          </w:tcPr>
          <w:p>
            <w:pPr>
              <w:spacing w:after="0"/>
              <w:rPr>
                <w:sz w:val="18"/>
                <w:szCs w:val="18"/>
                <w:color w:val="auto"/>
              </w:rPr>
            </w:pPr>
          </w:p>
        </w:tc>
        <w:tc>
          <w:tcPr>
            <w:tcW w:w="2620" w:type="dxa"/>
            <w:vAlign w:val="bottom"/>
          </w:tcPr>
          <w:p>
            <w:pPr>
              <w:spacing w:after="0"/>
              <w:rPr>
                <w:sz w:val="18"/>
                <w:szCs w:val="18"/>
                <w:color w:val="auto"/>
              </w:rPr>
            </w:pPr>
          </w:p>
        </w:tc>
      </w:tr>
      <w:tr>
        <w:trPr>
          <w:trHeight w:val="24"/>
        </w:trPr>
        <w:tc>
          <w:tcPr>
            <w:tcW w:w="8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192"/>
        </w:trPr>
        <w:tc>
          <w:tcPr>
            <w:tcW w:w="8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 the three months ended September 30, 2026</w:t>
            </w: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2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88"/>
        </w:trPr>
        <w:tc>
          <w:tcPr>
            <w:tcW w:w="8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 the three months ended September 30, 2025</w:t>
            </w:r>
          </w:p>
        </w:tc>
        <w:tc>
          <w:tcPr>
            <w:tcW w:w="200" w:type="dxa"/>
            <w:vAlign w:val="bottom"/>
          </w:tcPr>
          <w:p>
            <w:pPr>
              <w:spacing w:after="0"/>
              <w:rPr>
                <w:sz w:val="16"/>
                <w:szCs w:val="16"/>
                <w:color w:val="auto"/>
              </w:rPr>
            </w:pPr>
          </w:p>
        </w:tc>
        <w:tc>
          <w:tcPr>
            <w:tcW w:w="2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57"/>
        </w:trPr>
        <w:tc>
          <w:tcPr>
            <w:tcW w:w="842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2620" w:type="dxa"/>
            <w:vAlign w:val="bottom"/>
            <w:tcBorders>
              <w:bottom w:val="single" w:sz="8" w:color="CCEEFF"/>
            </w:tcBorders>
          </w:tcPr>
          <w:p>
            <w:pPr>
              <w:spacing w:after="0"/>
              <w:rPr>
                <w:sz w:val="4"/>
                <w:szCs w:val="4"/>
                <w:color w:val="auto"/>
              </w:rPr>
            </w:pPr>
          </w:p>
        </w:tc>
      </w:tr>
      <w:tr>
        <w:trPr>
          <w:trHeight w:val="188"/>
        </w:trPr>
        <w:tc>
          <w:tcPr>
            <w:tcW w:w="8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 the nine months ended September 30, 2026</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2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24"/>
        </w:trPr>
        <w:tc>
          <w:tcPr>
            <w:tcW w:w="8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192"/>
        </w:trPr>
        <w:tc>
          <w:tcPr>
            <w:tcW w:w="8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 the nine months ended September 30, 2025</w:t>
            </w:r>
          </w:p>
        </w:tc>
        <w:tc>
          <w:tcPr>
            <w:tcW w:w="200" w:type="dxa"/>
            <w:vAlign w:val="bottom"/>
            <w:tcBorders>
              <w:bottom w:val="single" w:sz="8" w:color="CCEEFF"/>
            </w:tcBorders>
            <w:shd w:val="clear" w:color="auto" w:fill="CCEEFF"/>
          </w:tcPr>
          <w:p>
            <w:pPr>
              <w:spacing w:after="0"/>
              <w:rPr>
                <w:sz w:val="16"/>
                <w:szCs w:val="16"/>
                <w:color w:val="auto"/>
              </w:rPr>
            </w:pPr>
          </w:p>
        </w:tc>
        <w:tc>
          <w:tcPr>
            <w:tcW w:w="2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93"/>
        </w:trPr>
        <w:tc>
          <w:tcPr>
            <w:tcW w:w="8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20" w:type="dxa"/>
            <w:vAlign w:val="bottom"/>
          </w:tcPr>
          <w:p>
            <w:pPr>
              <w:spacing w:after="0"/>
              <w:rPr>
                <w:sz w:val="8"/>
                <w:szCs w:val="8"/>
                <w:color w:val="auto"/>
              </w:rPr>
            </w:pPr>
          </w:p>
        </w:tc>
      </w:tr>
      <w:tr>
        <w:trPr>
          <w:trHeight w:val="192"/>
        </w:trPr>
        <w:tc>
          <w:tcPr>
            <w:tcW w:w="8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Statutory Capital and Surplus:</w:t>
            </w:r>
          </w:p>
        </w:tc>
        <w:tc>
          <w:tcPr>
            <w:tcW w:w="200" w:type="dxa"/>
            <w:vAlign w:val="bottom"/>
            <w:tcBorders>
              <w:bottom w:val="single" w:sz="8" w:color="CCEEFF"/>
            </w:tcBorders>
            <w:shd w:val="clear" w:color="auto" w:fill="CCEEFF"/>
          </w:tcPr>
          <w:p>
            <w:pPr>
              <w:spacing w:after="0"/>
              <w:rPr>
                <w:sz w:val="16"/>
                <w:szCs w:val="16"/>
                <w:color w:val="auto"/>
              </w:rPr>
            </w:pPr>
          </w:p>
        </w:tc>
        <w:tc>
          <w:tcPr>
            <w:tcW w:w="2620" w:type="dxa"/>
            <w:vAlign w:val="bottom"/>
            <w:tcBorders>
              <w:bottom w:val="single" w:sz="8" w:color="CCEEFF"/>
            </w:tcBorders>
            <w:shd w:val="clear" w:color="auto" w:fill="CCEEFF"/>
          </w:tcPr>
          <w:p>
            <w:pPr>
              <w:spacing w:after="0"/>
              <w:rPr>
                <w:sz w:val="16"/>
                <w:szCs w:val="16"/>
                <w:color w:val="auto"/>
              </w:rPr>
            </w:pPr>
          </w:p>
        </w:tc>
      </w:tr>
      <w:tr>
        <w:trPr>
          <w:trHeight w:val="188"/>
        </w:trPr>
        <w:tc>
          <w:tcPr>
            <w:tcW w:w="8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September 30, 2026</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2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1,215</w:t>
            </w:r>
          </w:p>
        </w:tc>
      </w:tr>
      <w:tr>
        <w:trPr>
          <w:trHeight w:val="24"/>
        </w:trPr>
        <w:tc>
          <w:tcPr>
            <w:tcW w:w="8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188"/>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31, 2025</w:t>
            </w:r>
          </w:p>
        </w:tc>
        <w:tc>
          <w:tcPr>
            <w:tcW w:w="200" w:type="dxa"/>
            <w:vAlign w:val="bottom"/>
            <w:shd w:val="clear" w:color="auto" w:fill="CCEEFF"/>
          </w:tcPr>
          <w:p>
            <w:pPr>
              <w:spacing w:after="0"/>
              <w:rPr>
                <w:sz w:val="16"/>
                <w:szCs w:val="16"/>
                <w:color w:val="auto"/>
              </w:rPr>
            </w:pP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1,134</w:t>
            </w:r>
          </w:p>
        </w:tc>
      </w:tr>
      <w:tr>
        <w:trPr>
          <w:trHeight w:val="24"/>
        </w:trPr>
        <w:tc>
          <w:tcPr>
            <w:tcW w:w="84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620" w:type="dxa"/>
            <w:vAlign w:val="bottom"/>
            <w:shd w:val="clear" w:color="auto" w:fill="CCEEFF"/>
          </w:tcPr>
          <w:p>
            <w:pPr>
              <w:spacing w:after="0"/>
              <w:rPr>
                <w:sz w:val="2"/>
                <w:szCs w:val="2"/>
                <w:color w:val="auto"/>
              </w:rPr>
            </w:pPr>
          </w:p>
        </w:tc>
      </w:tr>
    </w:tbl>
    <w:p>
      <w:pPr>
        <w:spacing w:after="0" w:line="8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prescribed and permitted statutory accounting practices have no impact on our unaudited Condensed Consolidated Financial Statements, which are prepared in accordance with GAAP.</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N — Market Risk Benefits</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presents the balances of and changes in MRBs associated with indexed annuities and fixed rate annuities for the nine months ended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2026 and the year ended December 31, 2025:</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6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80" w:type="dxa"/>
            <w:vAlign w:val="bottom"/>
          </w:tcPr>
          <w:p>
            <w:pPr>
              <w:spacing w:after="0"/>
              <w:rPr>
                <w:sz w:val="16"/>
                <w:szCs w:val="16"/>
                <w:color w:val="auto"/>
              </w:rPr>
            </w:pPr>
          </w:p>
        </w:tc>
        <w:tc>
          <w:tcPr>
            <w:tcW w:w="2060" w:type="dxa"/>
            <w:vAlign w:val="bottom"/>
            <w:gridSpan w:val="4"/>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4"/>
        </w:trPr>
        <w:tc>
          <w:tcPr>
            <w:tcW w:w="66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41"/>
        </w:trPr>
        <w:tc>
          <w:tcPr>
            <w:tcW w:w="6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260"/>
              <w:spacing w:after="0" w:line="141" w:lineRule="exact"/>
              <w:rPr>
                <w:sz w:val="20"/>
                <w:szCs w:val="20"/>
                <w:color w:val="auto"/>
              </w:rPr>
            </w:pPr>
            <w:r>
              <w:rPr>
                <w:rFonts w:ascii="Times New Roman" w:cs="Times New Roman" w:eastAsia="Times New Roman" w:hAnsi="Times New Roman"/>
                <w:sz w:val="14"/>
                <w:szCs w:val="14"/>
                <w:b w:val="1"/>
                <w:bCs w:val="1"/>
                <w:color w:val="auto"/>
              </w:rPr>
              <w:t>Indexed</w:t>
            </w:r>
          </w:p>
        </w:tc>
        <w:tc>
          <w:tcPr>
            <w:tcW w:w="160" w:type="dxa"/>
            <w:vAlign w:val="bottom"/>
          </w:tcPr>
          <w:p>
            <w:pPr>
              <w:spacing w:after="0"/>
              <w:rPr>
                <w:sz w:val="12"/>
                <w:szCs w:val="12"/>
                <w:color w:val="auto"/>
              </w:rPr>
            </w:pPr>
          </w:p>
        </w:tc>
        <w:tc>
          <w:tcPr>
            <w:tcW w:w="1000" w:type="dxa"/>
            <w:vAlign w:val="bottom"/>
            <w:gridSpan w:val="2"/>
          </w:tcPr>
          <w:p>
            <w:pPr>
              <w:jc w:val="center"/>
              <w:ind w:right="260"/>
              <w:spacing w:after="0" w:line="141" w:lineRule="exact"/>
              <w:rPr>
                <w:sz w:val="20"/>
                <w:szCs w:val="20"/>
                <w:color w:val="auto"/>
              </w:rPr>
            </w:pPr>
            <w:r>
              <w:rPr>
                <w:rFonts w:ascii="Times New Roman" w:cs="Times New Roman" w:eastAsia="Times New Roman" w:hAnsi="Times New Roman"/>
                <w:sz w:val="14"/>
                <w:szCs w:val="14"/>
                <w:b w:val="1"/>
                <w:bCs w:val="1"/>
                <w:color w:val="auto"/>
              </w:rPr>
              <w:t>Fixed rate</w:t>
            </w:r>
          </w:p>
        </w:tc>
        <w:tc>
          <w:tcPr>
            <w:tcW w:w="180" w:type="dxa"/>
            <w:vAlign w:val="bottom"/>
          </w:tcPr>
          <w:p>
            <w:pPr>
              <w:spacing w:after="0"/>
              <w:rPr>
                <w:sz w:val="12"/>
                <w:szCs w:val="12"/>
                <w:color w:val="auto"/>
              </w:rPr>
            </w:pPr>
          </w:p>
        </w:tc>
        <w:tc>
          <w:tcPr>
            <w:tcW w:w="980" w:type="dxa"/>
            <w:vAlign w:val="bottom"/>
            <w:gridSpan w:val="2"/>
          </w:tcPr>
          <w:p>
            <w:pPr>
              <w:jc w:val="center"/>
              <w:ind w:right="260"/>
              <w:spacing w:after="0" w:line="141" w:lineRule="exact"/>
              <w:rPr>
                <w:sz w:val="20"/>
                <w:szCs w:val="20"/>
                <w:color w:val="auto"/>
              </w:rPr>
            </w:pPr>
            <w:r>
              <w:rPr>
                <w:rFonts w:ascii="Times New Roman" w:cs="Times New Roman" w:eastAsia="Times New Roman" w:hAnsi="Times New Roman"/>
                <w:sz w:val="14"/>
                <w:szCs w:val="14"/>
                <w:b w:val="1"/>
                <w:bCs w:val="1"/>
                <w:color w:val="auto"/>
                <w:w w:val="99"/>
              </w:rPr>
              <w:t>Indexed</w:t>
            </w:r>
          </w:p>
        </w:tc>
        <w:tc>
          <w:tcPr>
            <w:tcW w:w="160" w:type="dxa"/>
            <w:vAlign w:val="bottom"/>
          </w:tcPr>
          <w:p>
            <w:pPr>
              <w:spacing w:after="0"/>
              <w:rPr>
                <w:sz w:val="12"/>
                <w:szCs w:val="12"/>
                <w:color w:val="auto"/>
              </w:rPr>
            </w:pPr>
          </w:p>
        </w:tc>
        <w:tc>
          <w:tcPr>
            <w:tcW w:w="920" w:type="dxa"/>
            <w:vAlign w:val="bottom"/>
          </w:tcPr>
          <w:p>
            <w:pPr>
              <w:jc w:val="right"/>
              <w:ind w:right="149"/>
              <w:spacing w:after="0" w:line="141" w:lineRule="exact"/>
              <w:rPr>
                <w:sz w:val="20"/>
                <w:szCs w:val="20"/>
                <w:color w:val="auto"/>
              </w:rPr>
            </w:pPr>
            <w:r>
              <w:rPr>
                <w:rFonts w:ascii="Times New Roman" w:cs="Times New Roman" w:eastAsia="Times New Roman" w:hAnsi="Times New Roman"/>
                <w:sz w:val="14"/>
                <w:szCs w:val="14"/>
                <w:b w:val="1"/>
                <w:bCs w:val="1"/>
                <w:color w:val="auto"/>
              </w:rPr>
              <w:t>Fixed rate</w:t>
            </w:r>
          </w:p>
        </w:tc>
      </w:tr>
      <w:tr>
        <w:trPr>
          <w:trHeight w:val="191"/>
        </w:trPr>
        <w:tc>
          <w:tcPr>
            <w:tcW w:w="66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annuities</w:t>
            </w: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annuities</w:t>
            </w: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annuities</w:t>
            </w:r>
          </w:p>
        </w:tc>
      </w:tr>
      <w:tr>
        <w:trPr>
          <w:trHeight w:val="187"/>
        </w:trPr>
        <w:tc>
          <w:tcPr>
            <w:tcW w:w="6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6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
        </w:trPr>
        <w:tc>
          <w:tcPr>
            <w:tcW w:w="6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7"/>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beginning of period, net liability</w:t>
            </w: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92"/>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beginning of period, before effect of changes in the instrument-specific credit risk</w:t>
            </w:r>
          </w:p>
        </w:tc>
        <w:tc>
          <w:tcPr>
            <w:tcW w:w="1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684</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8"/>
        </w:trPr>
        <w:tc>
          <w:tcPr>
            <w:tcW w:w="66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Issuances and benefit payments</w:t>
            </w: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4"/>
        </w:trPr>
        <w:tc>
          <w:tcPr>
            <w:tcW w:w="6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2"/>
        </w:trPr>
        <w:tc>
          <w:tcPr>
            <w:tcW w:w="66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Attributed fees collected and interest accrual</w:t>
            </w:r>
          </w:p>
        </w:tc>
        <w:tc>
          <w:tcPr>
            <w:tcW w:w="1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8"/>
        </w:trPr>
        <w:tc>
          <w:tcPr>
            <w:tcW w:w="66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Actual policyholder behavior different from expected</w:t>
            </w: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4"/>
        </w:trPr>
        <w:tc>
          <w:tcPr>
            <w:tcW w:w="6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2"/>
        </w:trPr>
        <w:tc>
          <w:tcPr>
            <w:tcW w:w="66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Changes in assumptions and other</w:t>
            </w:r>
          </w:p>
        </w:tc>
        <w:tc>
          <w:tcPr>
            <w:tcW w:w="1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8"/>
        </w:trPr>
        <w:tc>
          <w:tcPr>
            <w:tcW w:w="66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Effects of market related movements</w:t>
            </w: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4"/>
        </w:trPr>
        <w:tc>
          <w:tcPr>
            <w:tcW w:w="66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5"/>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end of period, before effect of changes in the instrument-specific credit risk</w:t>
            </w:r>
          </w:p>
        </w:tc>
        <w:tc>
          <w:tcPr>
            <w:tcW w:w="1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702</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684</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8"/>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 of changes in the instrument-specific credit risk</w:t>
            </w: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4"/>
        </w:trPr>
        <w:tc>
          <w:tcPr>
            <w:tcW w:w="66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5"/>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end of period, net liability</w:t>
            </w:r>
          </w:p>
        </w:tc>
        <w:tc>
          <w:tcPr>
            <w:tcW w:w="1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797</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8"/>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reinsured market risk benefits</w:t>
            </w: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4"/>
        </w:trPr>
        <w:tc>
          <w:tcPr>
            <w:tcW w:w="66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0"/>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end of period, net of reinsurance</w:t>
            </w: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617</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attained age of policyholders weighted by total AV (years)</w:t>
            </w:r>
          </w:p>
        </w:tc>
        <w:tc>
          <w:tcPr>
            <w:tcW w:w="1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67.78</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85.23</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67.84</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84.69</w:t>
            </w:r>
          </w:p>
        </w:tc>
      </w:tr>
      <w:tr>
        <w:trPr>
          <w:trHeight w:val="188"/>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amount at risk</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10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1,900</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bl>
    <w:p>
      <w:pPr>
        <w:spacing w:after="0" w:line="33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reconciles MRBs by amounts in an asset position and amounts in a liability position to the MRBs amounts in the unaudited</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Balance Sheets: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
        </w:trPr>
        <w:tc>
          <w:tcPr>
            <w:tcW w:w="37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1"/>
        </w:trPr>
        <w:tc>
          <w:tcPr>
            <w:tcW w:w="37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Direct</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Reinsured</w:t>
            </w:r>
          </w:p>
        </w:tc>
        <w:tc>
          <w:tcPr>
            <w:tcW w:w="260" w:type="dxa"/>
            <w:vAlign w:val="bottom"/>
          </w:tcPr>
          <w:p>
            <w:pPr>
              <w:spacing w:after="0"/>
              <w:rPr>
                <w:sz w:val="15"/>
                <w:szCs w:val="15"/>
                <w:color w:val="auto"/>
              </w:rPr>
            </w:pP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60" w:type="dxa"/>
            <w:vAlign w:val="bottom"/>
          </w:tcPr>
          <w:p>
            <w:pPr>
              <w:spacing w:after="0"/>
              <w:rPr>
                <w:sz w:val="15"/>
                <w:szCs w:val="15"/>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Direct</w:t>
            </w:r>
          </w:p>
        </w:tc>
        <w:tc>
          <w:tcPr>
            <w:tcW w:w="180" w:type="dxa"/>
            <w:vAlign w:val="bottom"/>
          </w:tcPr>
          <w:p>
            <w:pPr>
              <w:spacing w:after="0"/>
              <w:rPr>
                <w:sz w:val="15"/>
                <w:szCs w:val="15"/>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Reinsured</w:t>
            </w:r>
          </w:p>
        </w:tc>
        <w:tc>
          <w:tcPr>
            <w:tcW w:w="260" w:type="dxa"/>
            <w:vAlign w:val="bottom"/>
          </w:tcPr>
          <w:p>
            <w:pPr>
              <w:spacing w:after="0"/>
              <w:rPr>
                <w:sz w:val="15"/>
                <w:szCs w:val="15"/>
                <w:color w:val="auto"/>
              </w:rPr>
            </w:pPr>
          </w:p>
        </w:tc>
        <w:tc>
          <w:tcPr>
            <w:tcW w:w="920" w:type="dxa"/>
            <w:vAlign w:val="bottom"/>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
        </w:trPr>
        <w:tc>
          <w:tcPr>
            <w:tcW w:w="37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1"/>
        </w:trPr>
        <w:tc>
          <w:tcPr>
            <w:tcW w:w="3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4"/>
        </w:trPr>
        <w:tc>
          <w:tcPr>
            <w:tcW w:w="3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2"/>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MRB asset</w:t>
            </w:r>
          </w:p>
        </w:tc>
        <w:tc>
          <w:tcPr>
            <w:tcW w:w="84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r>
      <w:tr>
        <w:trPr>
          <w:trHeight w:val="188"/>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Indexed annuities</w:t>
            </w:r>
          </w:p>
        </w:tc>
        <w:tc>
          <w:tcPr>
            <w:tcW w:w="840" w:type="dxa"/>
            <w:vAlign w:val="bottom"/>
          </w:tcPr>
          <w:p>
            <w:pPr>
              <w:jc w:val="right"/>
              <w:ind w:right="66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28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100" w:type="dxa"/>
            <w:vAlign w:val="bottom"/>
          </w:tcPr>
          <w:p>
            <w:pPr>
              <w:spacing w:after="0"/>
              <w:rPr>
                <w:sz w:val="16"/>
                <w:szCs w:val="16"/>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100" w:type="dxa"/>
            <w:vAlign w:val="bottom"/>
          </w:tcPr>
          <w:p>
            <w:pPr>
              <w:spacing w:after="0"/>
              <w:rPr>
                <w:sz w:val="16"/>
                <w:szCs w:val="16"/>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tcPr>
          <w:p>
            <w:pPr>
              <w:spacing w:after="0"/>
              <w:rPr>
                <w:sz w:val="16"/>
                <w:szCs w:val="16"/>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100" w:type="dxa"/>
            <w:vAlign w:val="bottom"/>
          </w:tcPr>
          <w:p>
            <w:pPr>
              <w:spacing w:after="0"/>
              <w:rPr>
                <w:sz w:val="16"/>
                <w:szCs w:val="16"/>
                <w:color w:val="auto"/>
              </w:rPr>
            </w:pP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w:t>
            </w:r>
          </w:p>
        </w:tc>
      </w:tr>
      <w:tr>
        <w:trPr>
          <w:trHeight w:val="24"/>
        </w:trPr>
        <w:tc>
          <w:tcPr>
            <w:tcW w:w="3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12"/>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Fixed rate annuities</w:t>
            </w:r>
          </w:p>
        </w:tc>
        <w:tc>
          <w:tcPr>
            <w:tcW w:w="8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5"/>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MRB asset</w:t>
            </w:r>
          </w:p>
        </w:tc>
        <w:tc>
          <w:tcPr>
            <w:tcW w:w="840" w:type="dxa"/>
            <w:vAlign w:val="bottom"/>
            <w:tcBorders>
              <w:top w:val="single" w:sz="8" w:color="auto"/>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285</w:t>
            </w:r>
          </w:p>
        </w:tc>
      </w:tr>
      <w:tr>
        <w:trPr>
          <w:trHeight w:val="84"/>
        </w:trPr>
        <w:tc>
          <w:tcPr>
            <w:tcW w:w="3740" w:type="dxa"/>
            <w:vAlign w:val="bottom"/>
            <w:tcBorders>
              <w:bottom w:val="single" w:sz="8" w:color="CCEEFF"/>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r>
      <w:tr>
        <w:trPr>
          <w:trHeight w:val="188"/>
        </w:trPr>
        <w:tc>
          <w:tcPr>
            <w:tcW w:w="374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MRB liability</w:t>
            </w:r>
          </w:p>
        </w:tc>
        <w:tc>
          <w:tcPr>
            <w:tcW w:w="84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0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8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9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920" w:type="dxa"/>
            <w:vAlign w:val="bottom"/>
            <w:tcBorders>
              <w:top w:val="single" w:sz="8" w:color="CCEEFF"/>
            </w:tcBorders>
          </w:tcPr>
          <w:p>
            <w:pPr>
              <w:spacing w:after="0"/>
              <w:rPr>
                <w:sz w:val="16"/>
                <w:szCs w:val="16"/>
                <w:color w:val="auto"/>
              </w:rPr>
            </w:pPr>
          </w:p>
        </w:tc>
      </w:tr>
      <w:tr>
        <w:trPr>
          <w:trHeight w:val="24"/>
        </w:trPr>
        <w:tc>
          <w:tcPr>
            <w:tcW w:w="3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2"/>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Indexed annuities</w:t>
            </w:r>
          </w:p>
        </w:tc>
        <w:tc>
          <w:tcPr>
            <w:tcW w:w="840" w:type="dxa"/>
            <w:vAlign w:val="bottom"/>
            <w:tcBorders>
              <w:bottom w:val="single" w:sz="8" w:color="CCEEFF"/>
            </w:tcBorders>
            <w:shd w:val="clear" w:color="auto" w:fill="CCEEFF"/>
          </w:tcPr>
          <w:p>
            <w:pPr>
              <w:jc w:val="right"/>
              <w:ind w:right="66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896</w:t>
            </w:r>
          </w:p>
        </w:tc>
        <w:tc>
          <w:tcPr>
            <w:tcW w:w="280" w:type="dxa"/>
            <w:vAlign w:val="bottom"/>
            <w:tcBorders>
              <w:bottom w:val="single" w:sz="8" w:color="CCEEFF"/>
            </w:tcBorders>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905</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902</w:t>
            </w:r>
          </w:p>
        </w:tc>
      </w:tr>
      <w:tr>
        <w:trPr>
          <w:trHeight w:val="188"/>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Fixed rate annuities</w:t>
            </w:r>
          </w:p>
        </w:tc>
        <w:tc>
          <w:tcPr>
            <w:tcW w:w="84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4"/>
        </w:trPr>
        <w:tc>
          <w:tcPr>
            <w:tcW w:w="37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25"/>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MRB liability</w:t>
            </w:r>
          </w:p>
        </w:tc>
        <w:tc>
          <w:tcPr>
            <w:tcW w:w="840" w:type="dxa"/>
            <w:vAlign w:val="bottom"/>
            <w:shd w:val="clear" w:color="auto" w:fill="CCEEFF"/>
          </w:tcPr>
          <w:p>
            <w:pPr>
              <w:jc w:val="right"/>
              <w:ind w:right="66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897</w:t>
            </w:r>
          </w:p>
        </w:tc>
        <w:tc>
          <w:tcPr>
            <w:tcW w:w="280" w:type="dxa"/>
            <w:vAlign w:val="bottom"/>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903</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net MRB liability decreased for the nine months ended September 30, 2026, primarily as a result of market-related movements, offset by collection of attributed fees, interest accrual, actual to expected policyholder behavior, and MRB reserves for contracts issued within the period.</w:t>
      </w:r>
    </w:p>
    <w:p>
      <w:pPr>
        <w:spacing w:after="0" w:line="5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For the nine months ended September 30, 2026, notable changes made to the inputs to the fair value estimates of MRBs calculations included an increase in risk-free rates leading to a favorable change in the MRBs associated with indexed annuities partially offset by decreases in the equity market related projections which resulted in an increase in the net amount at risk associated with indexed annuities, leading to an unfavorable change in the value of the associated MRBs.</w:t>
      </w:r>
    </w:p>
    <w:p>
      <w:pPr>
        <w:spacing w:after="0" w:line="7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net MRB liability increased for the year ended December 31, 2025, primarily as a result of collection of attributed fees, interest accrual, MRB reserves for contracts issued within the period, and changes in actuarial assumptions. These increases were partially offset by the effects of market related movements, including the impacts of higher risk-free rates and increases in the equity market related projections.</w:t>
      </w:r>
    </w:p>
    <w:p>
      <w:pPr>
        <w:spacing w:after="0" w:line="7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For the year ended December 31, 2025, notable changes made to the inputs to the fair value estimates of MRBs calculations included an increase in risk-free rates leading to a favorable change in the MRBs associated with indexed annuities and decreases in the equity market related projections resulted in an increase in the net amount at risk associated with indexed annuities, leading to an unfavorable change in the value of the associated MRBs.</w:t>
      </w:r>
    </w:p>
    <w:p>
      <w:pPr>
        <w:spacing w:after="0" w:line="72"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In addition, the cash flow assumptions used to calculate MRBs reflect the Company’s best estimates for policyholder behavior. F&amp;G reviews cash flow assumptions annually, generally in the third quarter. In 2025 and for the nine months ended in September 30, 2026, F&amp;G undertook a review of all significant assumptions and revised several assumptions relating to their deferred annuities (indexed annuities and fixed rate annuities) with MRBs. For the nine months ended September 30, 2026, F&amp;G updated assumptions including surrender rates, GMWB utilization, projected CPI, and option budgets. All updates to these assumptions brought F&amp;G more in line with internal and overall industry experience since the prior assumption updates. These updates, in total, led to a decrease in the net MRB liability for the nine months ended September 30, 2026. For the year ended December 31, 2025, F&amp;G updated assumptions including surrender rates, mortality and mortality improvement, partial withdrawals, projected CPI, and option budgets. All updates to these assumptions brought F&amp;G more in line with internal and overall industry experience since the prior assumption updates. These updates, in total, led to an increase in the net MRB liability for the year ended December 31, 2025.</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O — Contractholder Funds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tables summarize balances of and changes in Contractholder funds’ account balances: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4"/>
        </w:trPr>
        <w:tc>
          <w:tcPr>
            <w:tcW w:w="36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1"/>
        </w:trPr>
        <w:tc>
          <w:tcPr>
            <w:tcW w:w="3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Indexed annuities</w:t>
            </w:r>
          </w:p>
        </w:tc>
        <w:tc>
          <w:tcPr>
            <w:tcW w:w="120" w:type="dxa"/>
            <w:vAlign w:val="bottom"/>
          </w:tcPr>
          <w:p>
            <w:pPr>
              <w:spacing w:after="0"/>
              <w:rPr>
                <w:sz w:val="15"/>
                <w:szCs w:val="15"/>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Fixed rate annuities</w:t>
            </w:r>
          </w:p>
        </w:tc>
        <w:tc>
          <w:tcPr>
            <w:tcW w:w="220" w:type="dxa"/>
            <w:vAlign w:val="bottom"/>
          </w:tcPr>
          <w:p>
            <w:pPr>
              <w:spacing w:after="0"/>
              <w:rPr>
                <w:sz w:val="15"/>
                <w:szCs w:val="15"/>
                <w:color w:val="auto"/>
              </w:rPr>
            </w:pPr>
          </w:p>
        </w:tc>
        <w:tc>
          <w:tcPr>
            <w:tcW w:w="13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Universal life</w:t>
            </w:r>
          </w:p>
        </w:tc>
        <w:tc>
          <w:tcPr>
            <w:tcW w:w="240" w:type="dxa"/>
            <w:vAlign w:val="bottom"/>
          </w:tcPr>
          <w:p>
            <w:pPr>
              <w:spacing w:after="0"/>
              <w:rPr>
                <w:sz w:val="15"/>
                <w:szCs w:val="15"/>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FABN (a)</w:t>
            </w:r>
          </w:p>
        </w:tc>
        <w:tc>
          <w:tcPr>
            <w:tcW w:w="240" w:type="dxa"/>
            <w:vAlign w:val="bottom"/>
          </w:tcPr>
          <w:p>
            <w:pPr>
              <w:spacing w:after="0"/>
              <w:rPr>
                <w:sz w:val="15"/>
                <w:szCs w:val="15"/>
                <w:color w:val="auto"/>
              </w:rPr>
            </w:pPr>
          </w:p>
        </w:tc>
        <w:tc>
          <w:tcPr>
            <w:tcW w:w="1140" w:type="dxa"/>
            <w:vAlign w:val="bottom"/>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FHLB (a)</w:t>
            </w:r>
          </w:p>
        </w:tc>
      </w:tr>
      <w:tr>
        <w:trPr>
          <w:trHeight w:val="24"/>
        </w:trPr>
        <w:tc>
          <w:tcPr>
            <w:tcW w:w="36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1"/>
        </w:trPr>
        <w:tc>
          <w:tcPr>
            <w:tcW w:w="3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4"/>
        </w:trPr>
        <w:tc>
          <w:tcPr>
            <w:tcW w:w="3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2"/>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beginning of year</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33,226</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19,265</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3,292</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3,324</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2,898</w:t>
            </w:r>
          </w:p>
        </w:tc>
      </w:tr>
      <w:tr>
        <w:trPr>
          <w:trHeight w:val="188"/>
        </w:trPr>
        <w:tc>
          <w:tcPr>
            <w:tcW w:w="36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Issuances</w:t>
            </w:r>
          </w:p>
        </w:tc>
        <w:tc>
          <w:tcPr>
            <w:tcW w:w="160" w:type="dxa"/>
            <w:vAlign w:val="bottom"/>
          </w:tcPr>
          <w:p>
            <w:pPr>
              <w:spacing w:after="0"/>
              <w:rPr>
                <w:sz w:val="16"/>
                <w:szCs w:val="16"/>
                <w:color w:val="auto"/>
              </w:rPr>
            </w:pPr>
          </w:p>
        </w:tc>
        <w:tc>
          <w:tcPr>
            <w:tcW w:w="13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5,570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357</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170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750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2,375</w:t>
            </w:r>
          </w:p>
        </w:tc>
      </w:tr>
      <w:tr>
        <w:trPr>
          <w:trHeight w:val="24"/>
        </w:trPr>
        <w:tc>
          <w:tcPr>
            <w:tcW w:w="3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2"/>
        </w:trPr>
        <w:tc>
          <w:tcPr>
            <w:tcW w:w="36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Premiums received</w:t>
            </w:r>
          </w:p>
        </w:tc>
        <w:tc>
          <w:tcPr>
            <w:tcW w:w="16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507</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8"/>
        </w:trPr>
        <w:tc>
          <w:tcPr>
            <w:tcW w:w="36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Policy charges (b)</w:t>
            </w:r>
          </w:p>
        </w:tc>
        <w:tc>
          <w:tcPr>
            <w:tcW w:w="160" w:type="dxa"/>
            <w:vAlign w:val="bottom"/>
          </w:tcPr>
          <w:p>
            <w:pPr>
              <w:spacing w:after="0"/>
              <w:rPr>
                <w:sz w:val="16"/>
                <w:szCs w:val="16"/>
                <w:color w:val="auto"/>
              </w:rPr>
            </w:pPr>
          </w:p>
        </w:tc>
        <w:tc>
          <w:tcPr>
            <w:tcW w:w="13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(181)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(315)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4"/>
        </w:trPr>
        <w:tc>
          <w:tcPr>
            <w:tcW w:w="3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2"/>
        </w:trPr>
        <w:tc>
          <w:tcPr>
            <w:tcW w:w="36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Surrenders and withdrawals</w:t>
            </w:r>
          </w:p>
        </w:tc>
        <w:tc>
          <w:tcPr>
            <w:tcW w:w="16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(3,013)</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(1,570)</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(113)</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8"/>
        </w:trPr>
        <w:tc>
          <w:tcPr>
            <w:tcW w:w="36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Benefit payments</w:t>
            </w:r>
          </w:p>
        </w:tc>
        <w:tc>
          <w:tcPr>
            <w:tcW w:w="160" w:type="dxa"/>
            <w:vAlign w:val="bottom"/>
          </w:tcPr>
          <w:p>
            <w:pPr>
              <w:spacing w:after="0"/>
              <w:rPr>
                <w:sz w:val="16"/>
                <w:szCs w:val="16"/>
                <w:color w:val="auto"/>
              </w:rPr>
            </w:pPr>
          </w:p>
        </w:tc>
        <w:tc>
          <w:tcPr>
            <w:tcW w:w="13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(379)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(296)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(1,774)</w:t>
            </w:r>
          </w:p>
        </w:tc>
      </w:tr>
      <w:tr>
        <w:trPr>
          <w:trHeight w:val="24"/>
        </w:trPr>
        <w:tc>
          <w:tcPr>
            <w:tcW w:w="3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2"/>
        </w:trPr>
        <w:tc>
          <w:tcPr>
            <w:tcW w:w="36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Interest credited</w:t>
            </w:r>
          </w:p>
        </w:tc>
        <w:tc>
          <w:tcPr>
            <w:tcW w:w="16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941</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669</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203</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115</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r>
      <w:tr>
        <w:trPr>
          <w:trHeight w:val="188"/>
        </w:trPr>
        <w:tc>
          <w:tcPr>
            <w:tcW w:w="36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Other</w:t>
            </w:r>
          </w:p>
        </w:tc>
        <w:tc>
          <w:tcPr>
            <w:tcW w:w="160" w:type="dxa"/>
            <w:vAlign w:val="bottom"/>
          </w:tcPr>
          <w:p>
            <w:pPr>
              <w:spacing w:after="0"/>
              <w:rPr>
                <w:sz w:val="16"/>
                <w:szCs w:val="16"/>
                <w:color w:val="auto"/>
              </w:rPr>
            </w:pPr>
          </w:p>
        </w:tc>
        <w:tc>
          <w:tcPr>
            <w:tcW w:w="13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4"/>
        </w:trPr>
        <w:tc>
          <w:tcPr>
            <w:tcW w:w="3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5"/>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end of period</w:t>
            </w:r>
          </w:p>
        </w:tc>
        <w:tc>
          <w:tcPr>
            <w:tcW w:w="16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36,175</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18,427</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3,730</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3,329</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3,582</w:t>
            </w:r>
          </w:p>
        </w:tc>
      </w:tr>
      <w:tr>
        <w:trPr>
          <w:trHeight w:val="188"/>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Reconciling items (c)</w:t>
            </w:r>
          </w:p>
        </w:tc>
        <w:tc>
          <w:tcPr>
            <w:tcW w:w="160" w:type="dxa"/>
            <w:vAlign w:val="bottom"/>
          </w:tcPr>
          <w:p>
            <w:pPr>
              <w:spacing w:after="0"/>
              <w:rPr>
                <w:sz w:val="16"/>
                <w:szCs w:val="16"/>
                <w:color w:val="auto"/>
              </w:rPr>
            </w:pPr>
          </w:p>
        </w:tc>
        <w:tc>
          <w:tcPr>
            <w:tcW w:w="13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(493)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4"/>
        </w:trPr>
        <w:tc>
          <w:tcPr>
            <w:tcW w:w="3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5"/>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Gross liability, end of period</w:t>
            </w:r>
          </w:p>
        </w:tc>
        <w:tc>
          <w:tcPr>
            <w:tcW w:w="16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35,682</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18,429</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3,832</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3,288</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3,582</w:t>
            </w:r>
          </w:p>
        </w:tc>
      </w:tr>
      <w:tr>
        <w:trPr>
          <w:trHeight w:val="188"/>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Reinsurance recoverable</w:t>
            </w:r>
          </w:p>
        </w:tc>
        <w:tc>
          <w:tcPr>
            <w:tcW w:w="160" w:type="dxa"/>
            <w:vAlign w:val="bottom"/>
          </w:tcPr>
          <w:p>
            <w:pPr>
              <w:spacing w:after="0"/>
              <w:rPr>
                <w:sz w:val="16"/>
                <w:szCs w:val="16"/>
                <w:color w:val="auto"/>
              </w:rPr>
            </w:pPr>
          </w:p>
        </w:tc>
        <w:tc>
          <w:tcPr>
            <w:tcW w:w="13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7,829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12,645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878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24"/>
        </w:trPr>
        <w:tc>
          <w:tcPr>
            <w:tcW w:w="3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0"/>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liability, after reinsurance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27,853</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5,784</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2,954</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3,288</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3,557</w:t>
            </w: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05"/>
        </w:trPr>
        <w:tc>
          <w:tcPr>
            <w:tcW w:w="3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r>
      <w:tr>
        <w:trPr>
          <w:trHeight w:val="192"/>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crediting rate</w:t>
            </w:r>
          </w:p>
        </w:tc>
        <w:tc>
          <w:tcPr>
            <w:tcW w:w="16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3.68 %</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4.85 %</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8.02 %</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N/A</w:t>
            </w:r>
          </w:p>
        </w:tc>
        <w:tc>
          <w:tcPr>
            <w:tcW w:w="2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r>
      <w:tr>
        <w:trPr>
          <w:trHeight w:val="188"/>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amount at risk (d)</w:t>
            </w:r>
          </w:p>
        </w:tc>
        <w:tc>
          <w:tcPr>
            <w:tcW w:w="160" w:type="dxa"/>
            <w:vAlign w:val="bottom"/>
          </w:tcPr>
          <w:p>
            <w:pPr>
              <w:spacing w:after="0"/>
              <w:rPr>
                <w:sz w:val="16"/>
                <w:szCs w:val="16"/>
                <w:color w:val="auto"/>
              </w:rPr>
            </w:pPr>
          </w:p>
        </w:tc>
        <w:tc>
          <w:tcPr>
            <w:tcW w:w="1440" w:type="dxa"/>
            <w:vAlign w:val="bottom"/>
            <w:gridSpan w:val="2"/>
          </w:tcPr>
          <w:p>
            <w:pPr>
              <w:ind w:left="1080"/>
              <w:spacing w:after="0"/>
              <w:rPr>
                <w:sz w:val="20"/>
                <w:szCs w:val="20"/>
                <w:color w:val="auto"/>
              </w:rPr>
            </w:pPr>
            <w:r>
              <w:rPr>
                <w:rFonts w:ascii="Times New Roman" w:cs="Times New Roman" w:eastAsia="Times New Roman" w:hAnsi="Times New Roman"/>
                <w:sz w:val="14"/>
                <w:szCs w:val="14"/>
                <w:color w:val="auto"/>
              </w:rPr>
              <w:t>N/A</w:t>
            </w:r>
          </w:p>
        </w:tc>
        <w:tc>
          <w:tcPr>
            <w:tcW w:w="120" w:type="dxa"/>
            <w:vAlign w:val="bottom"/>
          </w:tcPr>
          <w:p>
            <w:pPr>
              <w:spacing w:after="0"/>
              <w:rPr>
                <w:sz w:val="16"/>
                <w:szCs w:val="16"/>
                <w:color w:val="auto"/>
              </w:rPr>
            </w:pPr>
          </w:p>
        </w:tc>
        <w:tc>
          <w:tcPr>
            <w:tcW w:w="1460" w:type="dxa"/>
            <w:vAlign w:val="bottom"/>
            <w:gridSpan w:val="2"/>
          </w:tcPr>
          <w:p>
            <w:pPr>
              <w:ind w:left="1100"/>
              <w:spacing w:after="0"/>
              <w:rPr>
                <w:sz w:val="20"/>
                <w:szCs w:val="20"/>
                <w:color w:val="auto"/>
              </w:rPr>
            </w:pPr>
            <w:r>
              <w:rPr>
                <w:rFonts w:ascii="Times New Roman" w:cs="Times New Roman" w:eastAsia="Times New Roman" w:hAnsi="Times New Roman"/>
                <w:sz w:val="14"/>
                <w:szCs w:val="14"/>
                <w:color w:val="auto"/>
              </w:rPr>
              <w:t>N/A</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29,754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N/A</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r>
      <w:tr>
        <w:trPr>
          <w:trHeight w:val="24"/>
        </w:trPr>
        <w:tc>
          <w:tcPr>
            <w:tcW w:w="3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88"/>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surrender value (e)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33,637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18,428</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2,887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N/A</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r>
      <w:tr>
        <w:trPr>
          <w:trHeight w:val="24"/>
        </w:trPr>
        <w:tc>
          <w:tcPr>
            <w:tcW w:w="36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4"/>
        </w:trPr>
        <w:tc>
          <w:tcPr>
            <w:tcW w:w="36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1"/>
        </w:trPr>
        <w:tc>
          <w:tcPr>
            <w:tcW w:w="3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Indexed annuities</w:t>
            </w:r>
          </w:p>
        </w:tc>
        <w:tc>
          <w:tcPr>
            <w:tcW w:w="120" w:type="dxa"/>
            <w:vAlign w:val="bottom"/>
          </w:tcPr>
          <w:p>
            <w:pPr>
              <w:spacing w:after="0"/>
              <w:rPr>
                <w:sz w:val="15"/>
                <w:szCs w:val="15"/>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Fixed rate annuities</w:t>
            </w:r>
          </w:p>
        </w:tc>
        <w:tc>
          <w:tcPr>
            <w:tcW w:w="220" w:type="dxa"/>
            <w:vAlign w:val="bottom"/>
          </w:tcPr>
          <w:p>
            <w:pPr>
              <w:spacing w:after="0"/>
              <w:rPr>
                <w:sz w:val="15"/>
                <w:szCs w:val="15"/>
                <w:color w:val="auto"/>
              </w:rPr>
            </w:pPr>
          </w:p>
        </w:tc>
        <w:tc>
          <w:tcPr>
            <w:tcW w:w="13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Universal life</w:t>
            </w:r>
          </w:p>
        </w:tc>
        <w:tc>
          <w:tcPr>
            <w:tcW w:w="240" w:type="dxa"/>
            <w:vAlign w:val="bottom"/>
          </w:tcPr>
          <w:p>
            <w:pPr>
              <w:spacing w:after="0"/>
              <w:rPr>
                <w:sz w:val="15"/>
                <w:szCs w:val="15"/>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FABN (a)</w:t>
            </w:r>
          </w:p>
        </w:tc>
        <w:tc>
          <w:tcPr>
            <w:tcW w:w="240" w:type="dxa"/>
            <w:vAlign w:val="bottom"/>
          </w:tcPr>
          <w:p>
            <w:pPr>
              <w:spacing w:after="0"/>
              <w:rPr>
                <w:sz w:val="15"/>
                <w:szCs w:val="15"/>
                <w:color w:val="auto"/>
              </w:rPr>
            </w:pPr>
          </w:p>
        </w:tc>
        <w:tc>
          <w:tcPr>
            <w:tcW w:w="1140" w:type="dxa"/>
            <w:vAlign w:val="bottom"/>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FHLB (a)</w:t>
            </w:r>
          </w:p>
        </w:tc>
      </w:tr>
      <w:tr>
        <w:trPr>
          <w:trHeight w:val="24"/>
        </w:trPr>
        <w:tc>
          <w:tcPr>
            <w:tcW w:w="36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1"/>
        </w:trPr>
        <w:tc>
          <w:tcPr>
            <w:tcW w:w="3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4"/>
        </w:trPr>
        <w:tc>
          <w:tcPr>
            <w:tcW w:w="3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2"/>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beginning of year</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30,235</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17,442</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2,817</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2,463</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2,852</w:t>
            </w:r>
          </w:p>
        </w:tc>
      </w:tr>
      <w:tr>
        <w:trPr>
          <w:trHeight w:val="188"/>
        </w:trPr>
        <w:tc>
          <w:tcPr>
            <w:tcW w:w="36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Issuances</w:t>
            </w:r>
          </w:p>
        </w:tc>
        <w:tc>
          <w:tcPr>
            <w:tcW w:w="160" w:type="dxa"/>
            <w:vAlign w:val="bottom"/>
          </w:tcPr>
          <w:p>
            <w:pPr>
              <w:spacing w:after="0"/>
              <w:rPr>
                <w:sz w:val="16"/>
                <w:szCs w:val="16"/>
                <w:color w:val="auto"/>
              </w:rPr>
            </w:pPr>
          </w:p>
        </w:tc>
        <w:tc>
          <w:tcPr>
            <w:tcW w:w="13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6,714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3,801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229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1,148</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2,241</w:t>
            </w:r>
          </w:p>
        </w:tc>
      </w:tr>
      <w:tr>
        <w:trPr>
          <w:trHeight w:val="24"/>
        </w:trPr>
        <w:tc>
          <w:tcPr>
            <w:tcW w:w="3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2"/>
        </w:trPr>
        <w:tc>
          <w:tcPr>
            <w:tcW w:w="36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Premiums received</w:t>
            </w:r>
          </w:p>
        </w:tc>
        <w:tc>
          <w:tcPr>
            <w:tcW w:w="16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593</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8"/>
        </w:trPr>
        <w:tc>
          <w:tcPr>
            <w:tcW w:w="36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Policy charges (b)</w:t>
            </w:r>
          </w:p>
        </w:tc>
        <w:tc>
          <w:tcPr>
            <w:tcW w:w="160" w:type="dxa"/>
            <w:vAlign w:val="bottom"/>
          </w:tcPr>
          <w:p>
            <w:pPr>
              <w:spacing w:after="0"/>
              <w:rPr>
                <w:sz w:val="16"/>
                <w:szCs w:val="16"/>
                <w:color w:val="auto"/>
              </w:rPr>
            </w:pPr>
          </w:p>
        </w:tc>
        <w:tc>
          <w:tcPr>
            <w:tcW w:w="13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(222)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(378)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4"/>
        </w:trPr>
        <w:tc>
          <w:tcPr>
            <w:tcW w:w="3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2"/>
        </w:trPr>
        <w:tc>
          <w:tcPr>
            <w:tcW w:w="36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Surrenders and withdrawals</w:t>
            </w:r>
          </w:p>
        </w:tc>
        <w:tc>
          <w:tcPr>
            <w:tcW w:w="16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(3,831)</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(2,485)</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8"/>
        </w:trPr>
        <w:tc>
          <w:tcPr>
            <w:tcW w:w="36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Benefit payments</w:t>
            </w:r>
          </w:p>
        </w:tc>
        <w:tc>
          <w:tcPr>
            <w:tcW w:w="160" w:type="dxa"/>
            <w:vAlign w:val="bottom"/>
          </w:tcPr>
          <w:p>
            <w:pPr>
              <w:spacing w:after="0"/>
              <w:rPr>
                <w:sz w:val="16"/>
                <w:szCs w:val="16"/>
                <w:color w:val="auto"/>
              </w:rPr>
            </w:pPr>
          </w:p>
        </w:tc>
        <w:tc>
          <w:tcPr>
            <w:tcW w:w="13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(536)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(358)</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(2,298)</w:t>
            </w:r>
          </w:p>
        </w:tc>
      </w:tr>
      <w:tr>
        <w:trPr>
          <w:trHeight w:val="24"/>
        </w:trPr>
        <w:tc>
          <w:tcPr>
            <w:tcW w:w="3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2"/>
        </w:trPr>
        <w:tc>
          <w:tcPr>
            <w:tcW w:w="36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Interest credited</w:t>
            </w:r>
          </w:p>
        </w:tc>
        <w:tc>
          <w:tcPr>
            <w:tcW w:w="16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830</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866</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182</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107</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r>
      <w:tr>
        <w:trPr>
          <w:trHeight w:val="188"/>
        </w:trPr>
        <w:tc>
          <w:tcPr>
            <w:tcW w:w="36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Other</w:t>
            </w:r>
          </w:p>
        </w:tc>
        <w:tc>
          <w:tcPr>
            <w:tcW w:w="160" w:type="dxa"/>
            <w:vAlign w:val="bottom"/>
          </w:tcPr>
          <w:p>
            <w:pPr>
              <w:spacing w:after="0"/>
              <w:rPr>
                <w:sz w:val="16"/>
                <w:szCs w:val="16"/>
                <w:color w:val="auto"/>
              </w:rPr>
            </w:pPr>
          </w:p>
        </w:tc>
        <w:tc>
          <w:tcPr>
            <w:tcW w:w="13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1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4"/>
        </w:trPr>
        <w:tc>
          <w:tcPr>
            <w:tcW w:w="3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5"/>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end of period</w:t>
            </w:r>
          </w:p>
        </w:tc>
        <w:tc>
          <w:tcPr>
            <w:tcW w:w="16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33,226</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19,265</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3,292</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3,324</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2,898</w:t>
            </w:r>
          </w:p>
        </w:tc>
      </w:tr>
      <w:tr>
        <w:trPr>
          <w:trHeight w:val="188"/>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Reconciling items (c)</w:t>
            </w:r>
          </w:p>
        </w:tc>
        <w:tc>
          <w:tcPr>
            <w:tcW w:w="160" w:type="dxa"/>
            <w:vAlign w:val="bottom"/>
          </w:tcPr>
          <w:p>
            <w:pPr>
              <w:spacing w:after="0"/>
              <w:rPr>
                <w:sz w:val="16"/>
                <w:szCs w:val="16"/>
                <w:color w:val="auto"/>
              </w:rPr>
            </w:pPr>
          </w:p>
        </w:tc>
        <w:tc>
          <w:tcPr>
            <w:tcW w:w="13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321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4"/>
        </w:trPr>
        <w:tc>
          <w:tcPr>
            <w:tcW w:w="3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5"/>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Gross liability, end of period</w:t>
            </w:r>
          </w:p>
        </w:tc>
        <w:tc>
          <w:tcPr>
            <w:tcW w:w="16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33,547</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19,267</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3,407</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3,335</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2,898</w:t>
            </w:r>
          </w:p>
        </w:tc>
      </w:tr>
      <w:tr>
        <w:trPr>
          <w:trHeight w:val="188"/>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Reinsurance recoverable</w:t>
            </w:r>
          </w:p>
        </w:tc>
        <w:tc>
          <w:tcPr>
            <w:tcW w:w="160" w:type="dxa"/>
            <w:vAlign w:val="bottom"/>
          </w:tcPr>
          <w:p>
            <w:pPr>
              <w:spacing w:after="0"/>
              <w:rPr>
                <w:sz w:val="16"/>
                <w:szCs w:val="16"/>
                <w:color w:val="auto"/>
              </w:rPr>
            </w:pPr>
          </w:p>
        </w:tc>
        <w:tc>
          <w:tcPr>
            <w:tcW w:w="13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3,198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12,863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887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4"/>
        </w:trPr>
        <w:tc>
          <w:tcPr>
            <w:tcW w:w="3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0"/>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liability, after reinsurance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30,349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6,404</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2,520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3,335</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2,898</w:t>
            </w: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92"/>
        </w:trPr>
        <w:tc>
          <w:tcPr>
            <w:tcW w:w="3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Pr>
          <w:p>
            <w:pPr>
              <w:spacing w:after="0"/>
              <w:rPr>
                <w:sz w:val="8"/>
                <w:szCs w:val="8"/>
                <w:color w:val="auto"/>
              </w:rPr>
            </w:pPr>
          </w:p>
        </w:tc>
      </w:tr>
      <w:tr>
        <w:trPr>
          <w:trHeight w:val="192"/>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crediting rate</w:t>
            </w:r>
          </w:p>
        </w:tc>
        <w:tc>
          <w:tcPr>
            <w:tcW w:w="16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2.65 %</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4.84 %</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6.13 %</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N/A</w:t>
            </w:r>
          </w:p>
        </w:tc>
        <w:tc>
          <w:tcPr>
            <w:tcW w:w="2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r>
      <w:tr>
        <w:trPr>
          <w:trHeight w:val="188"/>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amount at risk (d)</w:t>
            </w:r>
          </w:p>
        </w:tc>
        <w:tc>
          <w:tcPr>
            <w:tcW w:w="160" w:type="dxa"/>
            <w:vAlign w:val="bottom"/>
          </w:tcPr>
          <w:p>
            <w:pPr>
              <w:spacing w:after="0"/>
              <w:rPr>
                <w:sz w:val="16"/>
                <w:szCs w:val="16"/>
                <w:color w:val="auto"/>
              </w:rPr>
            </w:pPr>
          </w:p>
        </w:tc>
        <w:tc>
          <w:tcPr>
            <w:tcW w:w="1440" w:type="dxa"/>
            <w:vAlign w:val="bottom"/>
            <w:gridSpan w:val="2"/>
          </w:tcPr>
          <w:p>
            <w:pPr>
              <w:ind w:left="1080"/>
              <w:spacing w:after="0"/>
              <w:rPr>
                <w:sz w:val="20"/>
                <w:szCs w:val="20"/>
                <w:color w:val="auto"/>
              </w:rPr>
            </w:pPr>
            <w:r>
              <w:rPr>
                <w:rFonts w:ascii="Times New Roman" w:cs="Times New Roman" w:eastAsia="Times New Roman" w:hAnsi="Times New Roman"/>
                <w:sz w:val="14"/>
                <w:szCs w:val="14"/>
                <w:color w:val="auto"/>
              </w:rPr>
              <w:t>N/A</w:t>
            </w:r>
          </w:p>
        </w:tc>
        <w:tc>
          <w:tcPr>
            <w:tcW w:w="120" w:type="dxa"/>
            <w:vAlign w:val="bottom"/>
          </w:tcPr>
          <w:p>
            <w:pPr>
              <w:spacing w:after="0"/>
              <w:rPr>
                <w:sz w:val="16"/>
                <w:szCs w:val="16"/>
                <w:color w:val="auto"/>
              </w:rPr>
            </w:pPr>
          </w:p>
        </w:tc>
        <w:tc>
          <w:tcPr>
            <w:tcW w:w="1460" w:type="dxa"/>
            <w:vAlign w:val="bottom"/>
            <w:gridSpan w:val="2"/>
          </w:tcPr>
          <w:p>
            <w:pPr>
              <w:ind w:left="1100"/>
              <w:spacing w:after="0"/>
              <w:rPr>
                <w:sz w:val="20"/>
                <w:szCs w:val="20"/>
                <w:color w:val="auto"/>
              </w:rPr>
            </w:pPr>
            <w:r>
              <w:rPr>
                <w:rFonts w:ascii="Times New Roman" w:cs="Times New Roman" w:eastAsia="Times New Roman" w:hAnsi="Times New Roman"/>
                <w:sz w:val="14"/>
                <w:szCs w:val="14"/>
                <w:color w:val="auto"/>
              </w:rPr>
              <w:t>N/A</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29,581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N/A</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r>
      <w:tr>
        <w:trPr>
          <w:trHeight w:val="24"/>
        </w:trPr>
        <w:tc>
          <w:tcPr>
            <w:tcW w:w="3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88"/>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surrender value (e)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30,920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18,034</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2,533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N/A</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r>
      <w:tr>
        <w:trPr>
          <w:trHeight w:val="24"/>
        </w:trPr>
        <w:tc>
          <w:tcPr>
            <w:tcW w:w="36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80" w:lineRule="exact"/>
        <w:rPr>
          <w:sz w:val="20"/>
          <w:szCs w:val="20"/>
          <w:color w:val="auto"/>
        </w:rPr>
      </w:pPr>
    </w:p>
    <w:p>
      <w:pPr>
        <w:ind w:firstLine="6"/>
        <w:spacing w:after="0" w:line="265" w:lineRule="auto"/>
        <w:tabs>
          <w:tab w:leader="none" w:pos="191"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FABN and FHLB are considered funding agreements that are investment contracts, which follow the interest method of accounting, and therefore are not subject to ASU 2018-12 disclosure requirements. However, the Company has elected to present the liability for these agreements within the disaggregated roll forward as we believe it will provide meaningful information for users of the financials.</w:t>
      </w:r>
    </w:p>
    <w:p>
      <w:pPr>
        <w:ind w:left="200" w:hanging="194"/>
        <w:spacing w:after="0"/>
        <w:tabs>
          <w:tab w:leader="none" w:pos="20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Contracts included in the Contractholder funds are generally charged a premium and/or monthly assessments on the basis of the account balance.</w:t>
      </w:r>
    </w:p>
    <w:p>
      <w:pPr>
        <w:spacing w:after="0" w:line="9" w:lineRule="exact"/>
        <w:rPr>
          <w:rFonts w:ascii="Times New Roman" w:cs="Times New Roman" w:eastAsia="Times New Roman" w:hAnsi="Times New Roman"/>
          <w:sz w:val="13"/>
          <w:szCs w:val="13"/>
          <w:color w:val="auto"/>
        </w:rPr>
      </w:pPr>
    </w:p>
    <w:p>
      <w:pPr>
        <w:ind w:right="20" w:firstLine="6"/>
        <w:spacing w:after="0" w:line="234" w:lineRule="auto"/>
        <w:tabs>
          <w:tab w:leader="none" w:pos="183"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reconciling items reconcile the account balance to the gross GAAP liability. For indexed annuities and universal life, the reconciling items represent embedded derivatives and include the combination of the host contracts and the fair value of the embedded derivatives. For FABN, the reconciling items represent basis adjustments due to the impact of fair value hedge accounting.</w:t>
      </w:r>
    </w:p>
    <w:p>
      <w:pPr>
        <w:ind w:firstLine="6"/>
        <w:spacing w:after="0" w:line="254" w:lineRule="auto"/>
        <w:tabs>
          <w:tab w:leader="none" w:pos="192"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those guarantees of benefits that are payable in the event of death, the net amount at risk is generally defined as the current guaranteed minimum death benefit in excess of the current account balance at the balance sheet date.</w:t>
      </w:r>
    </w:p>
    <w:p>
      <w:pPr>
        <w:ind w:left="180" w:hanging="174"/>
        <w:spacing w:after="0"/>
        <w:tabs>
          <w:tab w:leader="none" w:pos="18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These amounts are gross of reinsurance.</w:t>
      </w:r>
    </w:p>
    <w:p>
      <w:pPr>
        <w:spacing w:after="0" w:line="84" w:lineRule="exact"/>
        <w:rPr>
          <w:sz w:val="20"/>
          <w:szCs w:val="20"/>
          <w:color w:val="auto"/>
        </w:rPr>
      </w:pPr>
    </w:p>
    <w:p>
      <w:pPr>
        <w:jc w:val="both"/>
        <w:ind w:firstLine="318"/>
        <w:spacing w:after="0" w:line="243" w:lineRule="auto"/>
        <w:rPr>
          <w:sz w:val="20"/>
          <w:szCs w:val="20"/>
          <w:color w:val="auto"/>
        </w:rPr>
      </w:pPr>
      <w:r>
        <w:rPr>
          <w:rFonts w:ascii="Times New Roman" w:cs="Times New Roman" w:eastAsia="Times New Roman" w:hAnsi="Times New Roman"/>
          <w:sz w:val="18"/>
          <w:szCs w:val="18"/>
          <w:color w:val="auto"/>
        </w:rPr>
        <w:t>The following table reconciles Contractholder funds’ account balances to the Contractholder funds liability in the accompanying unaudited Condensed Consolidated Balance Sheets: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00" w:type="dxa"/>
            <w:vAlign w:val="bottom"/>
          </w:tcPr>
          <w:p>
            <w:pPr>
              <w:spacing w:after="0"/>
              <w:rPr>
                <w:sz w:val="16"/>
                <w:szCs w:val="16"/>
                <w:color w:val="auto"/>
              </w:rPr>
            </w:pPr>
          </w:p>
        </w:tc>
        <w:tc>
          <w:tcPr>
            <w:tcW w:w="158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4"/>
        </w:trPr>
        <w:tc>
          <w:tcPr>
            <w:tcW w:w="77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gridSpan w:val="4"/>
          </w:tcPr>
          <w:p>
            <w:pPr>
              <w:spacing w:after="0"/>
              <w:rPr>
                <w:sz w:val="2"/>
                <w:szCs w:val="2"/>
                <w:color w:val="auto"/>
              </w:rPr>
            </w:pPr>
          </w:p>
        </w:tc>
      </w:tr>
      <w:tr>
        <w:trPr>
          <w:trHeight w:val="181"/>
        </w:trPr>
        <w:tc>
          <w:tcPr>
            <w:tcW w:w="7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340" w:type="dxa"/>
            <w:vAlign w:val="bottom"/>
            <w:gridSpan w:val="4"/>
          </w:tcPr>
          <w:p>
            <w:pPr>
              <w:jc w:val="right"/>
              <w:ind w:right="1309"/>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4"/>
        </w:trPr>
        <w:tc>
          <w:tcPr>
            <w:tcW w:w="7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192"/>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Indexed annuities</w:t>
            </w:r>
          </w:p>
        </w:tc>
        <w:tc>
          <w:tcPr>
            <w:tcW w:w="1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35,682</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33,547</w:t>
            </w:r>
          </w:p>
        </w:tc>
      </w:tr>
      <w:tr>
        <w:trPr>
          <w:trHeight w:val="188"/>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Fixed rate annuities</w:t>
            </w: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18,429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19,267</w:t>
            </w:r>
          </w:p>
        </w:tc>
      </w:tr>
      <w:tr>
        <w:trPr>
          <w:trHeight w:val="24"/>
        </w:trPr>
        <w:tc>
          <w:tcPr>
            <w:tcW w:w="7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192"/>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Immediate annuities</w:t>
            </w:r>
          </w:p>
        </w:tc>
        <w:tc>
          <w:tcPr>
            <w:tcW w:w="16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w:t>
            </w:r>
          </w:p>
        </w:tc>
      </w:tr>
      <w:tr>
        <w:trPr>
          <w:trHeight w:val="188"/>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Universal life</w:t>
            </w: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3,407</w:t>
            </w:r>
          </w:p>
        </w:tc>
      </w:tr>
      <w:tr>
        <w:trPr>
          <w:trHeight w:val="24"/>
        </w:trPr>
        <w:tc>
          <w:tcPr>
            <w:tcW w:w="7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192"/>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Traditional life</w:t>
            </w:r>
          </w:p>
        </w:tc>
        <w:tc>
          <w:tcPr>
            <w:tcW w:w="16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88"/>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FABN</w:t>
            </w: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3,335</w:t>
            </w:r>
          </w:p>
        </w:tc>
      </w:tr>
      <w:tr>
        <w:trPr>
          <w:trHeight w:val="24"/>
        </w:trPr>
        <w:tc>
          <w:tcPr>
            <w:tcW w:w="7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192"/>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FHLB</w:t>
            </w:r>
          </w:p>
        </w:tc>
        <w:tc>
          <w:tcPr>
            <w:tcW w:w="16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3,582</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2,898</w:t>
            </w:r>
          </w:p>
        </w:tc>
      </w:tr>
      <w:tr>
        <w:trPr>
          <w:trHeight w:val="188"/>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PRT</w:t>
            </w: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24"/>
        </w:trPr>
        <w:tc>
          <w:tcPr>
            <w:tcW w:w="7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0"/>
        </w:trPr>
        <w:tc>
          <w:tcPr>
            <w:tcW w:w="77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65,069</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62,726</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jc w:val="both"/>
        <w:ind w:firstLine="318"/>
        <w:spacing w:after="0" w:line="236" w:lineRule="auto"/>
        <w:rPr>
          <w:sz w:val="20"/>
          <w:szCs w:val="20"/>
          <w:color w:val="auto"/>
        </w:rPr>
      </w:pPr>
      <w:r>
        <w:rPr>
          <w:rFonts w:ascii="Times New Roman" w:cs="Times New Roman" w:eastAsia="Times New Roman" w:hAnsi="Times New Roman"/>
          <w:sz w:val="18"/>
          <w:szCs w:val="18"/>
          <w:color w:val="auto"/>
        </w:rPr>
        <w:t>Annually, typically in the third quarter, F&amp;G reviews assumptions associated with reserves for policy benefits and product guarantees. For the nine months ended September 30, 2026 and the year ended December 31, 2025, based on policyholder behavior, experience and interest rate movements, F&amp;G updated certain economic indexed annuities assumptions used to calculate the fair value of the embedded derivative component within Contractholder funds. Additionally, for both periods, F&amp;G reflected updates to surrender assumptions for recent and expected policyholder behavior. These changes resulted in decreases in Contractholder funds of approximately $268 million and $22 million for the nine months ended September 30, 2026 and for the year ended December 31, 2025,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firstLine="318"/>
        <w:spacing w:after="0" w:line="272" w:lineRule="auto"/>
        <w:rPr>
          <w:sz w:val="20"/>
          <w:szCs w:val="20"/>
          <w:color w:val="auto"/>
        </w:rPr>
      </w:pPr>
      <w:r>
        <w:rPr>
          <w:rFonts w:ascii="Times New Roman" w:cs="Times New Roman" w:eastAsia="Times New Roman" w:hAnsi="Times New Roman"/>
          <w:sz w:val="18"/>
          <w:szCs w:val="18"/>
          <w:color w:val="auto"/>
        </w:rPr>
        <w:t>The following tables present the account values by range of guaranteed minimum crediting rates and the related range of difference, in basis points, between rates being credited to policyholders and the respective guaranteed minimums:</w:t>
      </w:r>
    </w:p>
    <w:p>
      <w:pPr>
        <w:sectPr>
          <w:pgSz w:w="11900" w:h="16838" w:orient="portrait"/>
          <w:cols w:equalWidth="0" w:num="1">
            <w:col w:w="11240"/>
          </w:cols>
          <w:pgMar w:left="320" w:top="121" w:right="339" w:bottom="1440" w:gutter="0" w:footer="0" w:header="0"/>
        </w:sectPr>
      </w:pPr>
    </w:p>
    <w:p>
      <w:pPr>
        <w:spacing w:after="0" w:line="3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Range of guaranteed minimum crediting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31115</wp:posOffset>
            </wp:positionV>
            <wp:extent cx="239776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397760" cy="8255"/>
                    </a:xfrm>
                    <a:prstGeom prst="rect">
                      <a:avLst/>
                    </a:prstGeom>
                    <a:noFill/>
                  </pic:spPr>
                </pic:pic>
              </a:graphicData>
            </a:graphic>
          </wp:anchor>
        </w:drawing>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Indexed annuities</w:t>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Up to 1.50%</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1.51%-2.50%</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Greater than 2.50%</w:t>
      </w:r>
    </w:p>
    <w:p>
      <w:pPr>
        <w:spacing w:after="0" w:line="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Subtotal</w:t>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No guaranteed minimum crediting rate</w:t>
      </w:r>
    </w:p>
    <w:p>
      <w:pPr>
        <w:spacing w:after="0" w:line="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p>
      <w:pPr>
        <w:spacing w:after="0" w:line="1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Fixed rate annuities</w:t>
      </w:r>
    </w:p>
    <w:p>
      <w:pPr>
        <w:spacing w:after="0" w:line="20" w:lineRule="exact"/>
        <w:rPr>
          <w:sz w:val="20"/>
          <w:szCs w:val="20"/>
          <w:color w:val="auto"/>
        </w:rPr>
      </w:pPr>
      <w:r>
        <w:rPr>
          <w:sz w:val="20"/>
          <w:szCs w:val="20"/>
          <w:color w:val="auto"/>
        </w:rPr>
        <w:br w:type="column"/>
      </w:r>
    </w:p>
    <w:p>
      <w:pPr>
        <w:ind w:left="3080"/>
        <w:spacing w:after="0"/>
        <w:rPr>
          <w:sz w:val="20"/>
          <w:szCs w:val="20"/>
          <w:color w:val="auto"/>
        </w:rPr>
      </w:pPr>
      <w:r>
        <w:rPr>
          <w:rFonts w:ascii="Times New Roman" w:cs="Times New Roman" w:eastAsia="Times New Roman" w:hAnsi="Times New Roman"/>
          <w:sz w:val="14"/>
          <w:szCs w:val="14"/>
          <w:b w:val="1"/>
          <w:bCs w:val="1"/>
          <w:color w:val="auto"/>
        </w:rPr>
        <w:t>September 30, 2026</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At Guaranteed</w:t>
            </w:r>
          </w:p>
        </w:tc>
        <w:tc>
          <w:tcPr>
            <w:tcW w:w="8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1 Basis Point-50 Basis</w:t>
            </w:r>
          </w:p>
        </w:tc>
        <w:tc>
          <w:tcPr>
            <w:tcW w:w="164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51 Basis Points-150 Basis</w:t>
            </w:r>
          </w:p>
        </w:tc>
        <w:tc>
          <w:tcPr>
            <w:tcW w:w="12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Greater Than 150</w:t>
            </w:r>
          </w:p>
        </w:tc>
        <w:tc>
          <w:tcPr>
            <w:tcW w:w="3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vMerge w:val="restart"/>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Points Above</w:t>
            </w: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Points Above</w:t>
            </w: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Basis Points Above</w:t>
            </w: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702</w:t>
            </w:r>
          </w:p>
        </w:tc>
        <w:tc>
          <w:tcPr>
            <w:tcW w:w="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w:t>
            </w:r>
          </w:p>
        </w:tc>
        <w:tc>
          <w:tcPr>
            <w:tcW w:w="10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666</w:t>
            </w:r>
          </w:p>
        </w:tc>
        <w:tc>
          <w:tcPr>
            <w:tcW w:w="100" w:type="dxa"/>
            <w:vAlign w:val="bottom"/>
          </w:tcPr>
          <w:p>
            <w:pPr>
              <w:spacing w:after="0"/>
              <w:rPr>
                <w:sz w:val="18"/>
                <w:szCs w:val="18"/>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2,044</w:t>
            </w:r>
          </w:p>
        </w:tc>
        <w:tc>
          <w:tcPr>
            <w:tcW w:w="0" w:type="dxa"/>
            <w:vAlign w:val="bottom"/>
          </w:tcPr>
          <w:p>
            <w:pPr>
              <w:spacing w:after="0"/>
              <w:rPr>
                <w:sz w:val="1"/>
                <w:szCs w:val="1"/>
                <w:color w:val="auto"/>
              </w:rPr>
            </w:pPr>
          </w:p>
        </w:tc>
      </w:tr>
      <w:tr>
        <w:trPr>
          <w:trHeight w:val="212"/>
        </w:trPr>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2,259</w:t>
            </w:r>
          </w:p>
        </w:tc>
        <w:tc>
          <w:tcPr>
            <w:tcW w:w="0" w:type="dxa"/>
            <w:vAlign w:val="bottom"/>
          </w:tcPr>
          <w:p>
            <w:pPr>
              <w:spacing w:after="0"/>
              <w:rPr>
                <w:sz w:val="1"/>
                <w:szCs w:val="1"/>
                <w:color w:val="auto"/>
              </w:rPr>
            </w:pPr>
          </w:p>
        </w:tc>
      </w:tr>
      <w:tr>
        <w:trPr>
          <w:trHeight w:val="212"/>
        </w:trPr>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0" w:type="dxa"/>
            <w:vAlign w:val="bottom"/>
          </w:tcPr>
          <w:p>
            <w:pPr>
              <w:spacing w:after="0"/>
              <w:rPr>
                <w:sz w:val="1"/>
                <w:szCs w:val="1"/>
                <w:color w:val="auto"/>
              </w:rPr>
            </w:pPr>
          </w:p>
        </w:tc>
      </w:tr>
      <w:tr>
        <w:trPr>
          <w:trHeight w:val="24"/>
        </w:trPr>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1,395</w:t>
            </w:r>
          </w:p>
        </w:tc>
        <w:tc>
          <w:tcPr>
            <w:tcW w:w="10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376</w:t>
            </w:r>
          </w:p>
        </w:tc>
        <w:tc>
          <w:tcPr>
            <w:tcW w:w="100" w:type="dxa"/>
            <w:vAlign w:val="bottom"/>
          </w:tcPr>
          <w:p>
            <w:pPr>
              <w:spacing w:after="0"/>
              <w:rPr>
                <w:sz w:val="17"/>
                <w:szCs w:val="17"/>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1,351</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1,371</w:t>
            </w:r>
          </w:p>
        </w:tc>
        <w:tc>
          <w:tcPr>
            <w:tcW w:w="100" w:type="dxa"/>
            <w:vAlign w:val="bottom"/>
          </w:tcPr>
          <w:p>
            <w:pPr>
              <w:spacing w:after="0"/>
              <w:rPr>
                <w:sz w:val="17"/>
                <w:szCs w:val="17"/>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4,493</w:t>
            </w:r>
          </w:p>
        </w:tc>
        <w:tc>
          <w:tcPr>
            <w:tcW w:w="0" w:type="dxa"/>
            <w:vAlign w:val="bottom"/>
          </w:tcPr>
          <w:p>
            <w:pPr>
              <w:spacing w:after="0"/>
              <w:rPr>
                <w:sz w:val="1"/>
                <w:szCs w:val="1"/>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31,682</w:t>
            </w:r>
          </w:p>
        </w:tc>
        <w:tc>
          <w:tcPr>
            <w:tcW w:w="0" w:type="dxa"/>
            <w:vAlign w:val="bottom"/>
          </w:tcPr>
          <w:p>
            <w:pPr>
              <w:spacing w:after="0" w:line="20" w:lineRule="exact"/>
              <w:rPr>
                <w:sz w:val="1"/>
                <w:szCs w:val="1"/>
                <w:color w:val="auto"/>
              </w:rPr>
            </w:pPr>
          </w:p>
        </w:tc>
      </w:tr>
      <w:tr>
        <w:trPr>
          <w:trHeight w:val="154"/>
        </w:trPr>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36,175</w:t>
            </w:r>
          </w:p>
        </w:tc>
        <w:tc>
          <w:tcPr>
            <w:tcW w:w="0" w:type="dxa"/>
            <w:vAlign w:val="bottom"/>
          </w:tcPr>
          <w:p>
            <w:pPr>
              <w:spacing w:after="0"/>
              <w:rPr>
                <w:sz w:val="1"/>
                <w:szCs w:val="1"/>
                <w:color w:val="auto"/>
              </w:rPr>
            </w:pPr>
          </w:p>
        </w:tc>
      </w:tr>
      <w:tr>
        <w:trPr>
          <w:trHeight w:val="24"/>
        </w:trPr>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-2459355</wp:posOffset>
            </wp:positionH>
            <wp:positionV relativeFrom="paragraph">
              <wp:posOffset>-874395</wp:posOffset>
            </wp:positionV>
            <wp:extent cx="7134860" cy="134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4860" cy="134620"/>
                    </a:xfrm>
                    <a:prstGeom prst="rect">
                      <a:avLst/>
                    </a:prstGeom>
                    <a:noFill/>
                  </pic:spPr>
                </pic:pic>
              </a:graphicData>
            </a:graphic>
          </wp:anchor>
        </w:drawing>
        <w:drawing>
          <wp:anchor simplePos="0" relativeHeight="251657728" behindDoc="1" locked="0" layoutInCell="0" allowOverlap="1">
            <wp:simplePos x="0" y="0"/>
            <wp:positionH relativeFrom="column">
              <wp:posOffset>-2459355</wp:posOffset>
            </wp:positionH>
            <wp:positionV relativeFrom="paragraph">
              <wp:posOffset>-605155</wp:posOffset>
            </wp:positionV>
            <wp:extent cx="7134860" cy="134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4860" cy="134620"/>
                    </a:xfrm>
                    <a:prstGeom prst="rect">
                      <a:avLst/>
                    </a:prstGeom>
                    <a:noFill/>
                  </pic:spPr>
                </pic:pic>
              </a:graphicData>
            </a:graphic>
          </wp:anchor>
        </w:drawing>
        <w:drawing>
          <wp:anchor simplePos="0" relativeHeight="251657728" behindDoc="1" locked="0" layoutInCell="0" allowOverlap="1">
            <wp:simplePos x="0" y="0"/>
            <wp:positionH relativeFrom="column">
              <wp:posOffset>-2459355</wp:posOffset>
            </wp:positionH>
            <wp:positionV relativeFrom="paragraph">
              <wp:posOffset>-310515</wp:posOffset>
            </wp:positionV>
            <wp:extent cx="7134860" cy="134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4860" cy="134620"/>
                    </a:xfrm>
                    <a:prstGeom prst="rect">
                      <a:avLst/>
                    </a:prstGeom>
                    <a:noFill/>
                  </pic:spPr>
                </pic:pic>
              </a:graphicData>
            </a:graphic>
          </wp:anchor>
        </w:drawing>
      </w:r>
    </w:p>
    <w:p>
      <w:pPr>
        <w:spacing w:after="0" w:line="331" w:lineRule="exact"/>
        <w:rPr>
          <w:sz w:val="20"/>
          <w:szCs w:val="20"/>
          <w:color w:val="auto"/>
        </w:rPr>
      </w:pPr>
    </w:p>
    <w:p>
      <w:pPr>
        <w:sectPr>
          <w:pgSz w:w="11900" w:h="16838" w:orient="portrait"/>
          <w:cols w:equalWidth="0" w:num="2">
            <w:col w:w="3260" w:space="620"/>
            <w:col w:w="736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12"/>
        </w:trPr>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Up to 1.50%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15,197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15,670</w:t>
            </w:r>
          </w:p>
        </w:tc>
        <w:tc>
          <w:tcPr>
            <w:tcW w:w="0" w:type="dxa"/>
            <w:vAlign w:val="bottom"/>
          </w:tcPr>
          <w:p>
            <w:pPr>
              <w:spacing w:after="0"/>
              <w:rPr>
                <w:sz w:val="1"/>
                <w:szCs w:val="1"/>
                <w:color w:val="auto"/>
              </w:rPr>
            </w:pPr>
          </w:p>
        </w:tc>
      </w:tr>
      <w:tr>
        <w:trPr>
          <w:trHeight w:val="188"/>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1.51%-2.50%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w:t>
            </w:r>
          </w:p>
        </w:tc>
        <w:tc>
          <w:tcPr>
            <w:tcW w:w="0" w:type="dxa"/>
            <w:vAlign w:val="bottom"/>
          </w:tcPr>
          <w:p>
            <w:pPr>
              <w:spacing w:after="0"/>
              <w:rPr>
                <w:sz w:val="1"/>
                <w:szCs w:val="1"/>
                <w:color w:val="auto"/>
              </w:rPr>
            </w:pPr>
          </w:p>
        </w:tc>
      </w:tr>
      <w:tr>
        <w:trPr>
          <w:trHeight w:val="24"/>
        </w:trPr>
        <w:tc>
          <w:tcPr>
            <w:tcW w:w="3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3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Greater than 2.50%</w:t>
            </w: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679</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1,622</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2,307</w:t>
            </w:r>
          </w:p>
        </w:tc>
        <w:tc>
          <w:tcPr>
            <w:tcW w:w="0" w:type="dxa"/>
            <w:vAlign w:val="bottom"/>
          </w:tcPr>
          <w:p>
            <w:pPr>
              <w:spacing w:after="0"/>
              <w:rPr>
                <w:sz w:val="1"/>
                <w:szCs w:val="1"/>
                <w:color w:val="auto"/>
              </w:rPr>
            </w:pPr>
          </w:p>
        </w:tc>
      </w:tr>
      <w:tr>
        <w:trPr>
          <w:trHeight w:val="205"/>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820</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17,241</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18,427</w:t>
            </w:r>
          </w:p>
        </w:tc>
        <w:tc>
          <w:tcPr>
            <w:tcW w:w="0" w:type="dxa"/>
            <w:vAlign w:val="bottom"/>
          </w:tcPr>
          <w:p>
            <w:pPr>
              <w:spacing w:after="0"/>
              <w:rPr>
                <w:sz w:val="1"/>
                <w:szCs w:val="1"/>
                <w:color w:val="auto"/>
              </w:rPr>
            </w:pPr>
          </w:p>
        </w:tc>
      </w:tr>
      <w:tr>
        <w:trPr>
          <w:trHeight w:val="20"/>
        </w:trPr>
        <w:tc>
          <w:tcPr>
            <w:tcW w:w="3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Universal life</w:t>
            </w: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38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3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3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Up to 1.50%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3,342</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3,384</w:t>
            </w:r>
          </w:p>
        </w:tc>
        <w:tc>
          <w:tcPr>
            <w:tcW w:w="0" w:type="dxa"/>
            <w:vAlign w:val="bottom"/>
          </w:tcPr>
          <w:p>
            <w:pPr>
              <w:spacing w:after="0"/>
              <w:rPr>
                <w:sz w:val="1"/>
                <w:szCs w:val="1"/>
                <w:color w:val="auto"/>
              </w:rPr>
            </w:pPr>
          </w:p>
        </w:tc>
      </w:tr>
      <w:tr>
        <w:trPr>
          <w:trHeight w:val="188"/>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1.51%-2.50%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3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3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Greater than 2.50%</w:t>
            </w: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w:t>
            </w:r>
          </w:p>
        </w:tc>
        <w:tc>
          <w:tcPr>
            <w:tcW w:w="0" w:type="dxa"/>
            <w:vAlign w:val="bottom"/>
          </w:tcPr>
          <w:p>
            <w:pPr>
              <w:spacing w:after="0"/>
              <w:rPr>
                <w:sz w:val="1"/>
                <w:szCs w:val="1"/>
                <w:color w:val="auto"/>
              </w:rPr>
            </w:pPr>
          </w:p>
        </w:tc>
      </w:tr>
      <w:tr>
        <w:trPr>
          <w:trHeight w:val="205"/>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3,687</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3,730</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8"/>
        </w:trPr>
        <w:tc>
          <w:tcPr>
            <w:tcW w:w="3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3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9"/>
        </w:trPr>
        <w:tc>
          <w:tcPr>
            <w:tcW w:w="3780" w:type="dxa"/>
            <w:vAlign w:val="bottom"/>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Range of guaranteed minimum crediting rate</w:t>
            </w:r>
          </w:p>
        </w:tc>
        <w:tc>
          <w:tcPr>
            <w:tcW w:w="10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00"/>
              <w:spacing w:after="0" w:line="139" w:lineRule="exact"/>
              <w:rPr>
                <w:sz w:val="20"/>
                <w:szCs w:val="20"/>
                <w:color w:val="auto"/>
              </w:rPr>
            </w:pPr>
            <w:r>
              <w:rPr>
                <w:rFonts w:ascii="Times New Roman" w:cs="Times New Roman" w:eastAsia="Times New Roman" w:hAnsi="Times New Roman"/>
                <w:sz w:val="14"/>
                <w:szCs w:val="14"/>
                <w:b w:val="1"/>
                <w:bCs w:val="1"/>
                <w:color w:val="auto"/>
              </w:rPr>
              <w:t>At Guaranteed</w:t>
            </w:r>
          </w:p>
        </w:tc>
        <w:tc>
          <w:tcPr>
            <w:tcW w:w="100" w:type="dxa"/>
            <w:vAlign w:val="bottom"/>
          </w:tcPr>
          <w:p>
            <w:pPr>
              <w:spacing w:after="0"/>
              <w:rPr>
                <w:sz w:val="12"/>
                <w:szCs w:val="12"/>
                <w:color w:val="auto"/>
              </w:rPr>
            </w:pPr>
          </w:p>
        </w:tc>
        <w:tc>
          <w:tcPr>
            <w:tcW w:w="1500" w:type="dxa"/>
            <w:vAlign w:val="bottom"/>
            <w:gridSpan w:val="2"/>
          </w:tcPr>
          <w:p>
            <w:pPr>
              <w:jc w:val="center"/>
              <w:ind w:right="180"/>
              <w:spacing w:after="0" w:line="139" w:lineRule="exact"/>
              <w:rPr>
                <w:sz w:val="20"/>
                <w:szCs w:val="20"/>
                <w:color w:val="auto"/>
              </w:rPr>
            </w:pPr>
            <w:r>
              <w:rPr>
                <w:rFonts w:ascii="Times New Roman" w:cs="Times New Roman" w:eastAsia="Times New Roman" w:hAnsi="Times New Roman"/>
                <w:sz w:val="14"/>
                <w:szCs w:val="14"/>
                <w:b w:val="1"/>
                <w:bCs w:val="1"/>
                <w:color w:val="auto"/>
              </w:rPr>
              <w:t>1 Basis Point-50 Basis</w:t>
            </w:r>
          </w:p>
        </w:tc>
        <w:tc>
          <w:tcPr>
            <w:tcW w:w="1640" w:type="dxa"/>
            <w:vAlign w:val="bottom"/>
            <w:gridSpan w:val="3"/>
          </w:tcPr>
          <w:p>
            <w:pPr>
              <w:ind w:left="20"/>
              <w:spacing w:after="0" w:line="139" w:lineRule="exact"/>
              <w:rPr>
                <w:sz w:val="20"/>
                <w:szCs w:val="20"/>
                <w:color w:val="auto"/>
              </w:rPr>
            </w:pPr>
            <w:r>
              <w:rPr>
                <w:rFonts w:ascii="Times New Roman" w:cs="Times New Roman" w:eastAsia="Times New Roman" w:hAnsi="Times New Roman"/>
                <w:sz w:val="14"/>
                <w:szCs w:val="14"/>
                <w:b w:val="1"/>
                <w:bCs w:val="1"/>
                <w:color w:val="auto"/>
              </w:rPr>
              <w:t>51 Basis Points-150 Basis</w:t>
            </w:r>
          </w:p>
        </w:tc>
        <w:tc>
          <w:tcPr>
            <w:tcW w:w="120" w:type="dxa"/>
            <w:vAlign w:val="bottom"/>
          </w:tcPr>
          <w:p>
            <w:pPr>
              <w:spacing w:after="0"/>
              <w:rPr>
                <w:sz w:val="12"/>
                <w:szCs w:val="12"/>
                <w:color w:val="auto"/>
              </w:rPr>
            </w:pPr>
          </w:p>
        </w:tc>
        <w:tc>
          <w:tcPr>
            <w:tcW w:w="1460" w:type="dxa"/>
            <w:vAlign w:val="bottom"/>
            <w:gridSpan w:val="2"/>
          </w:tcPr>
          <w:p>
            <w:pPr>
              <w:jc w:val="center"/>
              <w:ind w:right="180"/>
              <w:spacing w:after="0" w:line="139" w:lineRule="exact"/>
              <w:rPr>
                <w:sz w:val="20"/>
                <w:szCs w:val="20"/>
                <w:color w:val="auto"/>
              </w:rPr>
            </w:pPr>
            <w:r>
              <w:rPr>
                <w:rFonts w:ascii="Times New Roman" w:cs="Times New Roman" w:eastAsia="Times New Roman" w:hAnsi="Times New Roman"/>
                <w:sz w:val="14"/>
                <w:szCs w:val="14"/>
                <w:b w:val="1"/>
                <w:bCs w:val="1"/>
                <w:color w:val="auto"/>
              </w:rPr>
              <w:t>Greater Than 150</w:t>
            </w:r>
          </w:p>
        </w:tc>
        <w:tc>
          <w:tcPr>
            <w:tcW w:w="300" w:type="dxa"/>
            <w:vAlign w:val="bottom"/>
          </w:tcPr>
          <w:p>
            <w:pPr>
              <w:spacing w:after="0"/>
              <w:rPr>
                <w:sz w:val="12"/>
                <w:szCs w:val="12"/>
                <w:color w:val="auto"/>
              </w:rPr>
            </w:pPr>
          </w:p>
        </w:tc>
        <w:tc>
          <w:tcPr>
            <w:tcW w:w="980" w:type="dxa"/>
            <w:vAlign w:val="bottom"/>
            <w:vMerge w:val="restart"/>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7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1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Points Above</w:t>
            </w: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Points Above</w:t>
            </w: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Basis Points Above</w:t>
            </w: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Indexed annuities</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3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Up to 1.50%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659</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2,233</w:t>
            </w:r>
          </w:p>
        </w:tc>
        <w:tc>
          <w:tcPr>
            <w:tcW w:w="0" w:type="dxa"/>
            <w:vAlign w:val="bottom"/>
          </w:tcPr>
          <w:p>
            <w:pPr>
              <w:spacing w:after="0"/>
              <w:rPr>
                <w:sz w:val="1"/>
                <w:szCs w:val="1"/>
                <w:color w:val="auto"/>
              </w:rPr>
            </w:pPr>
          </w:p>
        </w:tc>
      </w:tr>
      <w:tr>
        <w:trPr>
          <w:trHeight w:val="188"/>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1.51%-2.50%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1,828</w:t>
            </w:r>
          </w:p>
        </w:tc>
        <w:tc>
          <w:tcPr>
            <w:tcW w:w="0" w:type="dxa"/>
            <w:vAlign w:val="bottom"/>
          </w:tcPr>
          <w:p>
            <w:pPr>
              <w:spacing w:after="0"/>
              <w:rPr>
                <w:sz w:val="1"/>
                <w:szCs w:val="1"/>
                <w:color w:val="auto"/>
              </w:rPr>
            </w:pPr>
          </w:p>
        </w:tc>
      </w:tr>
      <w:tr>
        <w:trPr>
          <w:trHeight w:val="24"/>
        </w:trPr>
        <w:tc>
          <w:tcPr>
            <w:tcW w:w="3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3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Greater than 2.50%</w:t>
            </w: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0" w:type="dxa"/>
            <w:vAlign w:val="bottom"/>
          </w:tcPr>
          <w:p>
            <w:pPr>
              <w:spacing w:after="0"/>
              <w:rPr>
                <w:sz w:val="1"/>
                <w:szCs w:val="1"/>
                <w:color w:val="auto"/>
              </w:rPr>
            </w:pPr>
          </w:p>
        </w:tc>
      </w:tr>
      <w:tr>
        <w:trPr>
          <w:trHeight w:val="205"/>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Subtotal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1,419</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482</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931</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1,443</w:t>
            </w:r>
          </w:p>
        </w:tc>
        <w:tc>
          <w:tcPr>
            <w:tcW w:w="100" w:type="dxa"/>
            <w:vAlign w:val="bottom"/>
          </w:tcPr>
          <w:p>
            <w:pPr>
              <w:spacing w:after="0"/>
              <w:rPr>
                <w:sz w:val="17"/>
                <w:szCs w:val="17"/>
                <w:color w:val="auto"/>
              </w:rPr>
            </w:pPr>
          </w:p>
        </w:tc>
        <w:tc>
          <w:tcPr>
            <w:tcW w:w="300" w:type="dxa"/>
            <w:vAlign w:val="bottom"/>
            <w:tcBorders>
              <w:top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4,275</w:t>
            </w:r>
          </w:p>
        </w:tc>
        <w:tc>
          <w:tcPr>
            <w:tcW w:w="0" w:type="dxa"/>
            <w:vAlign w:val="bottom"/>
          </w:tcPr>
          <w:p>
            <w:pPr>
              <w:spacing w:after="0"/>
              <w:rPr>
                <w:sz w:val="1"/>
                <w:szCs w:val="1"/>
                <w:color w:val="auto"/>
              </w:rPr>
            </w:pPr>
          </w:p>
        </w:tc>
      </w:tr>
      <w:tr>
        <w:trPr>
          <w:trHeight w:val="20"/>
        </w:trPr>
        <w:tc>
          <w:tcPr>
            <w:tcW w:w="3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3880" w:type="dxa"/>
            <w:vAlign w:val="bottom"/>
            <w:tcBorders>
              <w:bottom w:val="single" w:sz="8" w:color="CCEEFF"/>
            </w:tcBorders>
            <w:gridSpan w:val="2"/>
            <w:shd w:val="clear" w:color="auto" w:fill="CCEEFF"/>
          </w:tcPr>
          <w:p>
            <w:pPr>
              <w:ind w:left="20"/>
              <w:spacing w:after="0" w:line="154" w:lineRule="exact"/>
              <w:rPr>
                <w:sz w:val="20"/>
                <w:szCs w:val="20"/>
                <w:color w:val="auto"/>
              </w:rPr>
            </w:pPr>
            <w:r>
              <w:rPr>
                <w:rFonts w:ascii="Times New Roman" w:cs="Times New Roman" w:eastAsia="Times New Roman" w:hAnsi="Times New Roman"/>
                <w:sz w:val="14"/>
                <w:szCs w:val="14"/>
                <w:color w:val="auto"/>
              </w:rPr>
              <w:t>No guaranteed minimum crediting rate</w:t>
            </w:r>
          </w:p>
        </w:tc>
        <w:tc>
          <w:tcPr>
            <w:tcW w:w="1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28,951</w:t>
            </w:r>
          </w:p>
        </w:tc>
        <w:tc>
          <w:tcPr>
            <w:tcW w:w="0" w:type="dxa"/>
            <w:vAlign w:val="bottom"/>
          </w:tcPr>
          <w:p>
            <w:pPr>
              <w:spacing w:after="0"/>
              <w:rPr>
                <w:sz w:val="1"/>
                <w:szCs w:val="1"/>
                <w:color w:val="auto"/>
              </w:rPr>
            </w:pPr>
          </w:p>
        </w:tc>
      </w:tr>
      <w:tr>
        <w:trPr>
          <w:trHeight w:val="205"/>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33,226</w:t>
            </w:r>
          </w:p>
        </w:tc>
        <w:tc>
          <w:tcPr>
            <w:tcW w:w="0" w:type="dxa"/>
            <w:vAlign w:val="bottom"/>
          </w:tcPr>
          <w:p>
            <w:pPr>
              <w:spacing w:after="0"/>
              <w:rPr>
                <w:sz w:val="1"/>
                <w:szCs w:val="1"/>
                <w:color w:val="auto"/>
              </w:rPr>
            </w:pPr>
          </w:p>
        </w:tc>
      </w:tr>
      <w:tr>
        <w:trPr>
          <w:trHeight w:val="20"/>
        </w:trPr>
        <w:tc>
          <w:tcPr>
            <w:tcW w:w="3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Fixed rate annuities</w:t>
            </w: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0"/>
        </w:trPr>
        <w:tc>
          <w:tcPr>
            <w:tcW w:w="38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3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3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Up to 1.50%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792</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15,548</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16,509</w:t>
            </w:r>
          </w:p>
        </w:tc>
        <w:tc>
          <w:tcPr>
            <w:tcW w:w="0" w:type="dxa"/>
            <w:vAlign w:val="bottom"/>
          </w:tcPr>
          <w:p>
            <w:pPr>
              <w:spacing w:after="0"/>
              <w:rPr>
                <w:sz w:val="1"/>
                <w:szCs w:val="1"/>
                <w:color w:val="auto"/>
              </w:rPr>
            </w:pPr>
          </w:p>
        </w:tc>
      </w:tr>
      <w:tr>
        <w:trPr>
          <w:trHeight w:val="188"/>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1.51%-2.50%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492</w:t>
            </w:r>
          </w:p>
        </w:tc>
        <w:tc>
          <w:tcPr>
            <w:tcW w:w="0" w:type="dxa"/>
            <w:vAlign w:val="bottom"/>
          </w:tcPr>
          <w:p>
            <w:pPr>
              <w:spacing w:after="0"/>
              <w:rPr>
                <w:sz w:val="1"/>
                <w:szCs w:val="1"/>
                <w:color w:val="auto"/>
              </w:rPr>
            </w:pPr>
          </w:p>
        </w:tc>
      </w:tr>
      <w:tr>
        <w:trPr>
          <w:trHeight w:val="24"/>
        </w:trPr>
        <w:tc>
          <w:tcPr>
            <w:tcW w:w="3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3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Greater than 2.50%</w:t>
            </w: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727</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1,530</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2,264</w:t>
            </w:r>
          </w:p>
        </w:tc>
        <w:tc>
          <w:tcPr>
            <w:tcW w:w="0" w:type="dxa"/>
            <w:vAlign w:val="bottom"/>
          </w:tcPr>
          <w:p>
            <w:pPr>
              <w:spacing w:after="0"/>
              <w:rPr>
                <w:sz w:val="1"/>
                <w:szCs w:val="1"/>
                <w:color w:val="auto"/>
              </w:rPr>
            </w:pPr>
          </w:p>
        </w:tc>
      </w:tr>
      <w:tr>
        <w:trPr>
          <w:trHeight w:val="205"/>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825</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813</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17,544</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19,265</w:t>
            </w:r>
          </w:p>
        </w:tc>
        <w:tc>
          <w:tcPr>
            <w:tcW w:w="0" w:type="dxa"/>
            <w:vAlign w:val="bottom"/>
          </w:tcPr>
          <w:p>
            <w:pPr>
              <w:spacing w:after="0"/>
              <w:rPr>
                <w:sz w:val="1"/>
                <w:szCs w:val="1"/>
                <w:color w:val="auto"/>
              </w:rPr>
            </w:pPr>
          </w:p>
        </w:tc>
      </w:tr>
      <w:tr>
        <w:trPr>
          <w:trHeight w:val="20"/>
        </w:trPr>
        <w:tc>
          <w:tcPr>
            <w:tcW w:w="3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Universal life</w:t>
            </w: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0"/>
        </w:trPr>
        <w:tc>
          <w:tcPr>
            <w:tcW w:w="38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3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3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Up to 1.50%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2,898</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2,938</w:t>
            </w:r>
          </w:p>
        </w:tc>
        <w:tc>
          <w:tcPr>
            <w:tcW w:w="0" w:type="dxa"/>
            <w:vAlign w:val="bottom"/>
          </w:tcPr>
          <w:p>
            <w:pPr>
              <w:spacing w:after="0"/>
              <w:rPr>
                <w:sz w:val="1"/>
                <w:szCs w:val="1"/>
                <w:color w:val="auto"/>
              </w:rPr>
            </w:pPr>
          </w:p>
        </w:tc>
      </w:tr>
      <w:tr>
        <w:trPr>
          <w:trHeight w:val="188"/>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1.51%-2.50%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3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3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Greater than 2.50%</w:t>
            </w: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w:t>
            </w:r>
          </w:p>
        </w:tc>
        <w:tc>
          <w:tcPr>
            <w:tcW w:w="0" w:type="dxa"/>
            <w:vAlign w:val="bottom"/>
          </w:tcPr>
          <w:p>
            <w:pPr>
              <w:spacing w:after="0"/>
              <w:rPr>
                <w:sz w:val="1"/>
                <w:szCs w:val="1"/>
                <w:color w:val="auto"/>
              </w:rPr>
            </w:pPr>
          </w:p>
        </w:tc>
      </w:tr>
      <w:tr>
        <w:trPr>
          <w:trHeight w:val="205"/>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3,251</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3,292</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P — Future Policy Benefits</w:t>
      </w:r>
    </w:p>
    <w:p>
      <w:pPr>
        <w:spacing w:after="0" w:line="166" w:lineRule="exact"/>
        <w:rPr>
          <w:sz w:val="20"/>
          <w:szCs w:val="20"/>
          <w:color w:val="auto"/>
        </w:rPr>
      </w:pPr>
    </w:p>
    <w:p>
      <w:pPr>
        <w:ind w:firstLine="318"/>
        <w:spacing w:after="0" w:line="258" w:lineRule="auto"/>
        <w:rPr>
          <w:sz w:val="20"/>
          <w:szCs w:val="20"/>
          <w:color w:val="auto"/>
        </w:rPr>
      </w:pPr>
      <w:r>
        <w:rPr>
          <w:rFonts w:ascii="Times New Roman" w:cs="Times New Roman" w:eastAsia="Times New Roman" w:hAnsi="Times New Roman"/>
          <w:sz w:val="18"/>
          <w:szCs w:val="18"/>
          <w:color w:val="auto"/>
        </w:rPr>
        <w:t>The following table summarizes balances and changes in the present value of expected net premiums and the present value of the expected FPB for nonparticipating traditional contracts: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Traditional life</w:t>
            </w: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7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420" w:type="dxa"/>
            <w:vAlign w:val="bottom"/>
          </w:tcPr>
          <w:p>
            <w:pPr>
              <w:spacing w:after="0"/>
              <w:rPr>
                <w:sz w:val="15"/>
                <w:szCs w:val="15"/>
                <w:color w:val="auto"/>
              </w:rPr>
            </w:pPr>
          </w:p>
        </w:tc>
        <w:tc>
          <w:tcPr>
            <w:tcW w:w="156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w w:val="98"/>
              </w:rPr>
              <w:t>December 31, 2025</w:t>
            </w:r>
          </w:p>
        </w:tc>
        <w:tc>
          <w:tcPr>
            <w:tcW w:w="0" w:type="dxa"/>
            <w:vAlign w:val="bottom"/>
          </w:tcPr>
          <w:p>
            <w:pPr>
              <w:spacing w:after="0"/>
              <w:rPr>
                <w:sz w:val="1"/>
                <w:szCs w:val="1"/>
                <w:color w:val="auto"/>
              </w:rPr>
            </w:pPr>
          </w:p>
        </w:tc>
      </w:tr>
      <w:tr>
        <w:trPr>
          <w:trHeight w:val="24"/>
        </w:trPr>
        <w:tc>
          <w:tcPr>
            <w:tcW w:w="7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Expected net premiums</w:t>
            </w:r>
          </w:p>
        </w:tc>
        <w:tc>
          <w:tcPr>
            <w:tcW w:w="24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72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800" w:type="dxa"/>
            <w:vAlign w:val="bottom"/>
            <w:gridSpan w:val="4"/>
          </w:tcPr>
          <w:p>
            <w:pPr>
              <w:jc w:val="right"/>
              <w:ind w:right="1349"/>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0" w:type="dxa"/>
            <w:vAlign w:val="bottom"/>
          </w:tcPr>
          <w:p>
            <w:pPr>
              <w:spacing w:after="0"/>
              <w:rPr>
                <w:sz w:val="1"/>
                <w:szCs w:val="1"/>
                <w:color w:val="auto"/>
              </w:rPr>
            </w:pPr>
          </w:p>
        </w:tc>
      </w:tr>
      <w:tr>
        <w:trPr>
          <w:trHeight w:val="24"/>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beginning of year</w:t>
            </w:r>
          </w:p>
        </w:tc>
        <w:tc>
          <w:tcPr>
            <w:tcW w:w="24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w:t>
            </w:r>
          </w:p>
        </w:tc>
        <w:tc>
          <w:tcPr>
            <w:tcW w:w="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631</w:t>
            </w:r>
          </w:p>
        </w:tc>
        <w:tc>
          <w:tcPr>
            <w:tcW w:w="0" w:type="dxa"/>
            <w:vAlign w:val="bottom"/>
          </w:tcPr>
          <w:p>
            <w:pPr>
              <w:spacing w:after="0"/>
              <w:rPr>
                <w:sz w:val="1"/>
                <w:szCs w:val="1"/>
                <w:color w:val="auto"/>
              </w:rPr>
            </w:pPr>
          </w:p>
        </w:tc>
      </w:tr>
      <w:tr>
        <w:trPr>
          <w:trHeight w:val="188"/>
        </w:trPr>
        <w:tc>
          <w:tcPr>
            <w:tcW w:w="7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Beginning balance at original discount rate</w:t>
            </w:r>
          </w:p>
        </w:tc>
        <w:tc>
          <w:tcPr>
            <w:tcW w:w="24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780</w:t>
            </w:r>
          </w:p>
        </w:tc>
        <w:tc>
          <w:tcPr>
            <w:tcW w:w="0" w:type="dxa"/>
            <w:vAlign w:val="bottom"/>
          </w:tcPr>
          <w:p>
            <w:pPr>
              <w:spacing w:after="0"/>
              <w:rPr>
                <w:sz w:val="1"/>
                <w:szCs w:val="1"/>
                <w:color w:val="auto"/>
              </w:rPr>
            </w:pPr>
          </w:p>
        </w:tc>
      </w:tr>
      <w:tr>
        <w:trPr>
          <w:trHeight w:val="24"/>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72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Effect of changes in cash flow assumptions</w:t>
            </w:r>
          </w:p>
        </w:tc>
        <w:tc>
          <w:tcPr>
            <w:tcW w:w="240" w:type="dxa"/>
            <w:vAlign w:val="bottom"/>
            <w:tcBorders>
              <w:bottom w:val="single" w:sz="8" w:color="CCEEFF"/>
            </w:tcBorders>
            <w:shd w:val="clear" w:color="auto" w:fill="CCEEFF"/>
          </w:tcPr>
          <w:p>
            <w:pPr>
              <w:spacing w:after="0"/>
              <w:rPr>
                <w:sz w:val="16"/>
                <w:szCs w:val="16"/>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72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Effect of actual variances from expected experience</w:t>
            </w:r>
          </w:p>
        </w:tc>
        <w:tc>
          <w:tcPr>
            <w:tcW w:w="24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4"/>
        </w:trPr>
        <w:tc>
          <w:tcPr>
            <w:tcW w:w="7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adjusted for variances from expectation</w:t>
            </w:r>
          </w:p>
        </w:tc>
        <w:tc>
          <w:tcPr>
            <w:tcW w:w="240" w:type="dxa"/>
            <w:vAlign w:val="bottom"/>
            <w:tcBorders>
              <w:bottom w:val="single" w:sz="8" w:color="CCEEFF"/>
            </w:tcBorders>
            <w:shd w:val="clear" w:color="auto" w:fill="CCEEFF"/>
          </w:tcPr>
          <w:p>
            <w:pPr>
              <w:spacing w:after="0"/>
              <w:rPr>
                <w:sz w:val="16"/>
                <w:szCs w:val="16"/>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w:t>
            </w:r>
          </w:p>
        </w:tc>
        <w:tc>
          <w:tcPr>
            <w:tcW w:w="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781</w:t>
            </w:r>
          </w:p>
        </w:tc>
        <w:tc>
          <w:tcPr>
            <w:tcW w:w="0" w:type="dxa"/>
            <w:vAlign w:val="bottom"/>
          </w:tcPr>
          <w:p>
            <w:pPr>
              <w:spacing w:after="0"/>
              <w:rPr>
                <w:sz w:val="1"/>
                <w:szCs w:val="1"/>
                <w:color w:val="auto"/>
              </w:rPr>
            </w:pPr>
          </w:p>
        </w:tc>
      </w:tr>
      <w:tr>
        <w:trPr>
          <w:trHeight w:val="188"/>
        </w:trPr>
        <w:tc>
          <w:tcPr>
            <w:tcW w:w="72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Interest accrual</w:t>
            </w:r>
          </w:p>
        </w:tc>
        <w:tc>
          <w:tcPr>
            <w:tcW w:w="24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24"/>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72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Net premiums collected</w:t>
            </w:r>
          </w:p>
        </w:tc>
        <w:tc>
          <w:tcPr>
            <w:tcW w:w="24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0" w:type="dxa"/>
            <w:vAlign w:val="bottom"/>
          </w:tcPr>
          <w:p>
            <w:pPr>
              <w:spacing w:after="0"/>
              <w:rPr>
                <w:sz w:val="1"/>
                <w:szCs w:val="1"/>
                <w:color w:val="auto"/>
              </w:rPr>
            </w:pPr>
          </w:p>
        </w:tc>
      </w:tr>
      <w:tr>
        <w:trPr>
          <w:trHeight w:val="181"/>
        </w:trPr>
        <w:tc>
          <w:tcPr>
            <w:tcW w:w="7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Ending balance at original discount rate</w:t>
            </w:r>
          </w:p>
        </w:tc>
        <w:tc>
          <w:tcPr>
            <w:tcW w:w="240" w:type="dxa"/>
            <w:vAlign w:val="bottom"/>
            <w:tcBorders>
              <w:top w:val="single" w:sz="8" w:color="auto"/>
            </w:tcBorders>
          </w:tcPr>
          <w:p>
            <w:pPr>
              <w:spacing w:after="0"/>
              <w:rPr>
                <w:sz w:val="15"/>
                <w:szCs w:val="15"/>
                <w:color w:val="auto"/>
              </w:rPr>
            </w:pP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639</w:t>
            </w:r>
          </w:p>
        </w:tc>
        <w:tc>
          <w:tcPr>
            <w:tcW w:w="8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700</w:t>
            </w:r>
          </w:p>
        </w:tc>
        <w:tc>
          <w:tcPr>
            <w:tcW w:w="0" w:type="dxa"/>
            <w:vAlign w:val="bottom"/>
          </w:tcPr>
          <w:p>
            <w:pPr>
              <w:spacing w:after="0"/>
              <w:rPr>
                <w:sz w:val="1"/>
                <w:szCs w:val="1"/>
                <w:color w:val="auto"/>
              </w:rPr>
            </w:pPr>
          </w:p>
        </w:tc>
      </w:tr>
      <w:tr>
        <w:trPr>
          <w:trHeight w:val="24"/>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72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Effect of changes in discount rate assumptions</w:t>
            </w:r>
          </w:p>
        </w:tc>
        <w:tc>
          <w:tcPr>
            <w:tcW w:w="24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0" w:type="dxa"/>
            <w:vAlign w:val="bottom"/>
          </w:tcPr>
          <w:p>
            <w:pPr>
              <w:spacing w:after="0"/>
              <w:rPr>
                <w:sz w:val="1"/>
                <w:szCs w:val="1"/>
                <w:color w:val="auto"/>
              </w:rPr>
            </w:pPr>
          </w:p>
        </w:tc>
      </w:tr>
      <w:tr>
        <w:trPr>
          <w:trHeight w:val="205"/>
        </w:trPr>
        <w:tc>
          <w:tcPr>
            <w:tcW w:w="7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end of period</w:t>
            </w: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8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585</w:t>
            </w:r>
          </w:p>
        </w:tc>
        <w:tc>
          <w:tcPr>
            <w:tcW w:w="0" w:type="dxa"/>
            <w:vAlign w:val="bottom"/>
          </w:tcPr>
          <w:p>
            <w:pPr>
              <w:spacing w:after="0"/>
              <w:rPr>
                <w:sz w:val="1"/>
                <w:szCs w:val="1"/>
                <w:color w:val="auto"/>
              </w:rPr>
            </w:pPr>
          </w:p>
        </w:tc>
      </w:tr>
      <w:tr>
        <w:trPr>
          <w:trHeight w:val="20"/>
        </w:trPr>
        <w:tc>
          <w:tcPr>
            <w:tcW w:w="72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72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7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Expected FPB</w:t>
            </w:r>
          </w:p>
        </w:tc>
        <w:tc>
          <w:tcPr>
            <w:tcW w:w="2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beginning of year</w:t>
            </w:r>
          </w:p>
        </w:tc>
        <w:tc>
          <w:tcPr>
            <w:tcW w:w="24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1,855</w:t>
            </w:r>
          </w:p>
        </w:tc>
        <w:tc>
          <w:tcPr>
            <w:tcW w:w="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1,933</w:t>
            </w:r>
          </w:p>
        </w:tc>
        <w:tc>
          <w:tcPr>
            <w:tcW w:w="0" w:type="dxa"/>
            <w:vAlign w:val="bottom"/>
          </w:tcPr>
          <w:p>
            <w:pPr>
              <w:spacing w:after="0"/>
              <w:rPr>
                <w:sz w:val="1"/>
                <w:szCs w:val="1"/>
                <w:color w:val="auto"/>
              </w:rPr>
            </w:pPr>
          </w:p>
        </w:tc>
      </w:tr>
      <w:tr>
        <w:trPr>
          <w:trHeight w:val="188"/>
        </w:trPr>
        <w:tc>
          <w:tcPr>
            <w:tcW w:w="7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Beginning balance at original discount rate</w:t>
            </w:r>
          </w:p>
        </w:tc>
        <w:tc>
          <w:tcPr>
            <w:tcW w:w="24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2,167</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2,368</w:t>
            </w:r>
          </w:p>
        </w:tc>
        <w:tc>
          <w:tcPr>
            <w:tcW w:w="0" w:type="dxa"/>
            <w:vAlign w:val="bottom"/>
          </w:tcPr>
          <w:p>
            <w:pPr>
              <w:spacing w:after="0"/>
              <w:rPr>
                <w:sz w:val="1"/>
                <w:szCs w:val="1"/>
                <w:color w:val="auto"/>
              </w:rPr>
            </w:pPr>
          </w:p>
        </w:tc>
      </w:tr>
      <w:tr>
        <w:trPr>
          <w:trHeight w:val="24"/>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72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Effect of changes in cash flow assumptions</w:t>
            </w:r>
          </w:p>
        </w:tc>
        <w:tc>
          <w:tcPr>
            <w:tcW w:w="240" w:type="dxa"/>
            <w:vAlign w:val="bottom"/>
            <w:tcBorders>
              <w:bottom w:val="single" w:sz="8" w:color="CCEEFF"/>
            </w:tcBorders>
            <w:shd w:val="clear" w:color="auto" w:fill="CCEEFF"/>
          </w:tcPr>
          <w:p>
            <w:pPr>
              <w:spacing w:after="0"/>
              <w:rPr>
                <w:sz w:val="16"/>
                <w:szCs w:val="16"/>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72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Effect of actual variances from expected experience</w:t>
            </w:r>
          </w:p>
        </w:tc>
        <w:tc>
          <w:tcPr>
            <w:tcW w:w="24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24"/>
        </w:trPr>
        <w:tc>
          <w:tcPr>
            <w:tcW w:w="7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adjusted for variances from expectation</w:t>
            </w:r>
          </w:p>
        </w:tc>
        <w:tc>
          <w:tcPr>
            <w:tcW w:w="240" w:type="dxa"/>
            <w:vAlign w:val="bottom"/>
            <w:tcBorders>
              <w:bottom w:val="single" w:sz="8" w:color="CCEEFF"/>
            </w:tcBorders>
            <w:shd w:val="clear" w:color="auto" w:fill="CCEEFF"/>
          </w:tcPr>
          <w:p>
            <w:pPr>
              <w:spacing w:after="0"/>
              <w:rPr>
                <w:sz w:val="16"/>
                <w:szCs w:val="16"/>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2,150</w:t>
            </w:r>
          </w:p>
        </w:tc>
        <w:tc>
          <w:tcPr>
            <w:tcW w:w="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2,347</w:t>
            </w:r>
          </w:p>
        </w:tc>
        <w:tc>
          <w:tcPr>
            <w:tcW w:w="0" w:type="dxa"/>
            <w:vAlign w:val="bottom"/>
          </w:tcPr>
          <w:p>
            <w:pPr>
              <w:spacing w:after="0"/>
              <w:rPr>
                <w:sz w:val="1"/>
                <w:szCs w:val="1"/>
                <w:color w:val="auto"/>
              </w:rPr>
            </w:pPr>
          </w:p>
        </w:tc>
      </w:tr>
      <w:tr>
        <w:trPr>
          <w:trHeight w:val="188"/>
        </w:trPr>
        <w:tc>
          <w:tcPr>
            <w:tcW w:w="72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Interest accrual</w:t>
            </w:r>
          </w:p>
        </w:tc>
        <w:tc>
          <w:tcPr>
            <w:tcW w:w="24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24"/>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72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Benefits payments</w:t>
            </w:r>
          </w:p>
        </w:tc>
        <w:tc>
          <w:tcPr>
            <w:tcW w:w="24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0" w:type="dxa"/>
            <w:vAlign w:val="bottom"/>
          </w:tcPr>
          <w:p>
            <w:pPr>
              <w:spacing w:after="0"/>
              <w:rPr>
                <w:sz w:val="1"/>
                <w:szCs w:val="1"/>
                <w:color w:val="auto"/>
              </w:rPr>
            </w:pPr>
          </w:p>
        </w:tc>
      </w:tr>
      <w:tr>
        <w:trPr>
          <w:trHeight w:val="181"/>
        </w:trPr>
        <w:tc>
          <w:tcPr>
            <w:tcW w:w="7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Ending balance at original discount rate</w:t>
            </w:r>
          </w:p>
        </w:tc>
        <w:tc>
          <w:tcPr>
            <w:tcW w:w="240" w:type="dxa"/>
            <w:vAlign w:val="bottom"/>
            <w:tcBorders>
              <w:top w:val="single" w:sz="8" w:color="auto"/>
            </w:tcBorders>
          </w:tcPr>
          <w:p>
            <w:pPr>
              <w:spacing w:after="0"/>
              <w:rPr>
                <w:sz w:val="15"/>
                <w:szCs w:val="15"/>
                <w:color w:val="auto"/>
              </w:rPr>
            </w:pP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2,036</w:t>
            </w:r>
          </w:p>
        </w:tc>
        <w:tc>
          <w:tcPr>
            <w:tcW w:w="8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2,167</w:t>
            </w:r>
          </w:p>
        </w:tc>
        <w:tc>
          <w:tcPr>
            <w:tcW w:w="0" w:type="dxa"/>
            <w:vAlign w:val="bottom"/>
          </w:tcPr>
          <w:p>
            <w:pPr>
              <w:spacing w:after="0"/>
              <w:rPr>
                <w:sz w:val="1"/>
                <w:szCs w:val="1"/>
                <w:color w:val="auto"/>
              </w:rPr>
            </w:pPr>
          </w:p>
        </w:tc>
      </w:tr>
      <w:tr>
        <w:trPr>
          <w:trHeight w:val="24"/>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72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Effect of changes in discount rate assumptions</w:t>
            </w:r>
          </w:p>
        </w:tc>
        <w:tc>
          <w:tcPr>
            <w:tcW w:w="24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w:t>
            </w: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0" w:type="dxa"/>
            <w:vAlign w:val="bottom"/>
          </w:tcPr>
          <w:p>
            <w:pPr>
              <w:spacing w:after="0"/>
              <w:rPr>
                <w:sz w:val="1"/>
                <w:szCs w:val="1"/>
                <w:color w:val="auto"/>
              </w:rPr>
            </w:pPr>
          </w:p>
        </w:tc>
      </w:tr>
      <w:tr>
        <w:trPr>
          <w:trHeight w:val="205"/>
        </w:trPr>
        <w:tc>
          <w:tcPr>
            <w:tcW w:w="7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end of period</w:t>
            </w: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1,632</w:t>
            </w:r>
          </w:p>
        </w:tc>
        <w:tc>
          <w:tcPr>
            <w:tcW w:w="8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1,855</w:t>
            </w:r>
          </w:p>
        </w:tc>
        <w:tc>
          <w:tcPr>
            <w:tcW w:w="0" w:type="dxa"/>
            <w:vAlign w:val="bottom"/>
          </w:tcPr>
          <w:p>
            <w:pPr>
              <w:spacing w:after="0"/>
              <w:rPr>
                <w:sz w:val="1"/>
                <w:szCs w:val="1"/>
                <w:color w:val="auto"/>
              </w:rPr>
            </w:pPr>
          </w:p>
        </w:tc>
      </w:tr>
      <w:tr>
        <w:trPr>
          <w:trHeight w:val="20"/>
        </w:trPr>
        <w:tc>
          <w:tcPr>
            <w:tcW w:w="72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72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7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liability for future policy benefits</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1,131</w:t>
            </w:r>
          </w:p>
        </w:tc>
        <w:tc>
          <w:tcPr>
            <w:tcW w:w="80" w:type="dxa"/>
            <w:vAlign w:val="bottom"/>
          </w:tcPr>
          <w:p>
            <w:pPr>
              <w:spacing w:after="0"/>
              <w:rPr>
                <w:sz w:val="16"/>
                <w:szCs w:val="16"/>
                <w:color w:val="auto"/>
              </w:rPr>
            </w:pPr>
          </w:p>
        </w:tc>
        <w:tc>
          <w:tcPr>
            <w:tcW w:w="42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1,270</w:t>
            </w:r>
          </w:p>
        </w:tc>
        <w:tc>
          <w:tcPr>
            <w:tcW w:w="0" w:type="dxa"/>
            <w:vAlign w:val="bottom"/>
          </w:tcPr>
          <w:p>
            <w:pPr>
              <w:spacing w:after="0"/>
              <w:rPr>
                <w:sz w:val="1"/>
                <w:szCs w:val="1"/>
                <w:color w:val="auto"/>
              </w:rPr>
            </w:pPr>
          </w:p>
        </w:tc>
      </w:tr>
      <w:tr>
        <w:trPr>
          <w:trHeight w:val="24"/>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Reinsurance recoverable</w:t>
            </w:r>
          </w:p>
        </w:tc>
        <w:tc>
          <w:tcPr>
            <w:tcW w:w="24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w:t>
            </w: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w:t>
            </w:r>
          </w:p>
        </w:tc>
        <w:tc>
          <w:tcPr>
            <w:tcW w:w="0" w:type="dxa"/>
            <w:vAlign w:val="bottom"/>
          </w:tcPr>
          <w:p>
            <w:pPr>
              <w:spacing w:after="0"/>
              <w:rPr>
                <w:sz w:val="1"/>
                <w:szCs w:val="1"/>
                <w:color w:val="auto"/>
              </w:rPr>
            </w:pPr>
          </w:p>
        </w:tc>
      </w:tr>
      <w:tr>
        <w:trPr>
          <w:trHeight w:val="205"/>
        </w:trPr>
        <w:tc>
          <w:tcPr>
            <w:tcW w:w="7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liability for future policy benefits, after reinsurance recoverable</w:t>
            </w: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668</w:t>
            </w:r>
          </w:p>
        </w:tc>
        <w:tc>
          <w:tcPr>
            <w:tcW w:w="8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781</w:t>
            </w:r>
          </w:p>
        </w:tc>
        <w:tc>
          <w:tcPr>
            <w:tcW w:w="0" w:type="dxa"/>
            <w:vAlign w:val="bottom"/>
          </w:tcPr>
          <w:p>
            <w:pPr>
              <w:spacing w:after="0"/>
              <w:rPr>
                <w:sz w:val="1"/>
                <w:szCs w:val="1"/>
                <w:color w:val="auto"/>
              </w:rPr>
            </w:pPr>
          </w:p>
        </w:tc>
      </w:tr>
      <w:tr>
        <w:trPr>
          <w:trHeight w:val="20"/>
        </w:trPr>
        <w:tc>
          <w:tcPr>
            <w:tcW w:w="72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72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7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Weighted-average duration of liability for future policyholder benefits (years)</w:t>
            </w:r>
          </w:p>
        </w:tc>
        <w:tc>
          <w:tcPr>
            <w:tcW w:w="24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5.77</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tables summarize balances and changes in the present value of the expected FPB for limited-payment contracts: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060" w:type="dxa"/>
            <w:vAlign w:val="bottom"/>
            <w:gridSpan w:val="3"/>
          </w:tcPr>
          <w:p>
            <w:pPr>
              <w:jc w:val="right"/>
              <w:ind w:right="1409"/>
              <w:spacing w:after="0"/>
              <w:rPr>
                <w:sz w:val="20"/>
                <w:szCs w:val="20"/>
                <w:color w:val="auto"/>
              </w:rPr>
            </w:pPr>
            <w:r>
              <w:rPr>
                <w:rFonts w:ascii="Times New Roman" w:cs="Times New Roman" w:eastAsia="Times New Roman" w:hAnsi="Times New Roman"/>
                <w:sz w:val="14"/>
                <w:szCs w:val="14"/>
                <w:b w:val="1"/>
                <w:bCs w:val="1"/>
                <w:color w:val="auto"/>
              </w:rPr>
              <w:t>PRT</w:t>
            </w:r>
          </w:p>
        </w:tc>
        <w:tc>
          <w:tcPr>
            <w:tcW w:w="400" w:type="dxa"/>
            <w:vAlign w:val="bottom"/>
          </w:tcPr>
          <w:p>
            <w:pPr>
              <w:spacing w:after="0"/>
              <w:rPr>
                <w:sz w:val="16"/>
                <w:szCs w:val="16"/>
                <w:color w:val="auto"/>
              </w:rPr>
            </w:pPr>
          </w:p>
        </w:tc>
      </w:tr>
      <w:tr>
        <w:trPr>
          <w:trHeight w:val="24"/>
        </w:trPr>
        <w:tc>
          <w:tcPr>
            <w:tcW w:w="72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181"/>
        </w:trPr>
        <w:tc>
          <w:tcPr>
            <w:tcW w:w="720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400" w:type="dxa"/>
            <w:vAlign w:val="bottom"/>
          </w:tcPr>
          <w:p>
            <w:pPr>
              <w:spacing w:after="0"/>
              <w:rPr>
                <w:sz w:val="15"/>
                <w:szCs w:val="15"/>
                <w:color w:val="auto"/>
              </w:rPr>
            </w:pPr>
          </w:p>
        </w:tc>
      </w:tr>
      <w:tr>
        <w:trPr>
          <w:trHeight w:val="24"/>
        </w:trPr>
        <w:tc>
          <w:tcPr>
            <w:tcW w:w="7200" w:type="dxa"/>
            <w:vAlign w:val="bottom"/>
          </w:tcPr>
          <w:p>
            <w:pPr>
              <w:spacing w:after="0"/>
              <w:rPr>
                <w:sz w:val="2"/>
                <w:szCs w:val="2"/>
                <w:color w:val="auto"/>
              </w:rPr>
            </w:pPr>
          </w:p>
        </w:tc>
        <w:tc>
          <w:tcPr>
            <w:tcW w:w="3640" w:type="dxa"/>
            <w:vAlign w:val="bottom"/>
            <w:tcBorders>
              <w:bottom w:val="single" w:sz="8" w:color="auto"/>
            </w:tcBorders>
            <w:gridSpan w:val="4"/>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181"/>
        </w:trPr>
        <w:tc>
          <w:tcPr>
            <w:tcW w:w="7200" w:type="dxa"/>
            <w:vAlign w:val="bottom"/>
          </w:tcPr>
          <w:p>
            <w:pPr>
              <w:spacing w:after="0"/>
              <w:rPr>
                <w:sz w:val="15"/>
                <w:szCs w:val="15"/>
                <w:color w:val="auto"/>
              </w:rPr>
            </w:pPr>
          </w:p>
        </w:tc>
        <w:tc>
          <w:tcPr>
            <w:tcW w:w="3640" w:type="dxa"/>
            <w:vAlign w:val="bottom"/>
            <w:gridSpan w:val="4"/>
          </w:tcPr>
          <w:p>
            <w:pPr>
              <w:jc w:val="right"/>
              <w:ind w:right="949"/>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400" w:type="dxa"/>
            <w:vAlign w:val="bottom"/>
          </w:tcPr>
          <w:p>
            <w:pPr>
              <w:spacing w:after="0"/>
              <w:rPr>
                <w:sz w:val="15"/>
                <w:szCs w:val="15"/>
                <w:color w:val="auto"/>
              </w:rPr>
            </w:pPr>
          </w:p>
        </w:tc>
      </w:tr>
      <w:tr>
        <w:trPr>
          <w:trHeight w:val="24"/>
        </w:trPr>
        <w:tc>
          <w:tcPr>
            <w:tcW w:w="7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192"/>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beginning of year</w:t>
            </w:r>
          </w:p>
        </w:tc>
        <w:tc>
          <w:tcPr>
            <w:tcW w:w="1580" w:type="dxa"/>
            <w:vAlign w:val="bottom"/>
            <w:tcBorders>
              <w:bottom w:val="single" w:sz="8" w:color="CCEEFF"/>
            </w:tcBorders>
            <w:shd w:val="clear" w:color="auto" w:fill="CCEEFF"/>
          </w:tcPr>
          <w:p>
            <w:pPr>
              <w:jc w:val="right"/>
              <w:ind w:right="142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8,112</w:t>
            </w:r>
          </w:p>
        </w:tc>
        <w:tc>
          <w:tcPr>
            <w:tcW w:w="8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jc w:val="right"/>
              <w:ind w:right="140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6,054</w:t>
            </w:r>
          </w:p>
        </w:tc>
      </w:tr>
      <w:tr>
        <w:trPr>
          <w:trHeight w:val="188"/>
        </w:trPr>
        <w:tc>
          <w:tcPr>
            <w:tcW w:w="7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Beginning balance at original discount rate</w:t>
            </w:r>
          </w:p>
        </w:tc>
        <w:tc>
          <w:tcPr>
            <w:tcW w:w="15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8,268</w:t>
            </w: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6,417</w:t>
            </w:r>
          </w:p>
        </w:tc>
      </w:tr>
      <w:tr>
        <w:trPr>
          <w:trHeight w:val="24"/>
        </w:trPr>
        <w:tc>
          <w:tcPr>
            <w:tcW w:w="7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192"/>
        </w:trPr>
        <w:tc>
          <w:tcPr>
            <w:tcW w:w="72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Effect of changes in cash flow assumptions</w:t>
            </w:r>
          </w:p>
        </w:tc>
        <w:tc>
          <w:tcPr>
            <w:tcW w:w="15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188"/>
        </w:trPr>
        <w:tc>
          <w:tcPr>
            <w:tcW w:w="72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Effect of actual variances from expected experience</w:t>
            </w:r>
          </w:p>
        </w:tc>
        <w:tc>
          <w:tcPr>
            <w:tcW w:w="15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24"/>
        </w:trPr>
        <w:tc>
          <w:tcPr>
            <w:tcW w:w="72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185"/>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adjusted for variances from expectation</w:t>
            </w:r>
          </w:p>
        </w:tc>
        <w:tc>
          <w:tcPr>
            <w:tcW w:w="15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8,240</w:t>
            </w:r>
          </w:p>
        </w:tc>
        <w:tc>
          <w:tcPr>
            <w:tcW w:w="8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6,394</w:t>
            </w:r>
          </w:p>
        </w:tc>
      </w:tr>
      <w:tr>
        <w:trPr>
          <w:trHeight w:val="188"/>
        </w:trPr>
        <w:tc>
          <w:tcPr>
            <w:tcW w:w="72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Issuances</w:t>
            </w:r>
          </w:p>
        </w:tc>
        <w:tc>
          <w:tcPr>
            <w:tcW w:w="15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749</w:t>
            </w: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2,206</w:t>
            </w:r>
          </w:p>
        </w:tc>
      </w:tr>
      <w:tr>
        <w:trPr>
          <w:trHeight w:val="24"/>
        </w:trPr>
        <w:tc>
          <w:tcPr>
            <w:tcW w:w="7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192"/>
        </w:trPr>
        <w:tc>
          <w:tcPr>
            <w:tcW w:w="72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Interest accrual</w:t>
            </w:r>
          </w:p>
        </w:tc>
        <w:tc>
          <w:tcPr>
            <w:tcW w:w="15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8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w:t>
            </w:r>
          </w:p>
        </w:tc>
      </w:tr>
      <w:tr>
        <w:trPr>
          <w:trHeight w:val="188"/>
        </w:trPr>
        <w:tc>
          <w:tcPr>
            <w:tcW w:w="72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Benefits payments</w:t>
            </w:r>
          </w:p>
        </w:tc>
        <w:tc>
          <w:tcPr>
            <w:tcW w:w="15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(619)</w:t>
            </w: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(663)</w:t>
            </w:r>
          </w:p>
        </w:tc>
      </w:tr>
      <w:tr>
        <w:trPr>
          <w:trHeight w:val="24"/>
        </w:trPr>
        <w:tc>
          <w:tcPr>
            <w:tcW w:w="72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185"/>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Ending balance at original discount rate</w:t>
            </w:r>
          </w:p>
        </w:tc>
        <w:tc>
          <w:tcPr>
            <w:tcW w:w="15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8,675</w:t>
            </w:r>
          </w:p>
        </w:tc>
        <w:tc>
          <w:tcPr>
            <w:tcW w:w="8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8,268</w:t>
            </w:r>
          </w:p>
        </w:tc>
      </w:tr>
      <w:tr>
        <w:trPr>
          <w:trHeight w:val="188"/>
        </w:trPr>
        <w:tc>
          <w:tcPr>
            <w:tcW w:w="72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Effect of changes in discount rate assumptions</w:t>
            </w:r>
          </w:p>
        </w:tc>
        <w:tc>
          <w:tcPr>
            <w:tcW w:w="15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w:t>
            </w: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w:t>
            </w:r>
          </w:p>
        </w:tc>
      </w:tr>
      <w:tr>
        <w:trPr>
          <w:trHeight w:val="24"/>
        </w:trPr>
        <w:tc>
          <w:tcPr>
            <w:tcW w:w="72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30"/>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end of period</w:t>
            </w:r>
          </w:p>
        </w:tc>
        <w:tc>
          <w:tcPr>
            <w:tcW w:w="1580" w:type="dxa"/>
            <w:vAlign w:val="bottom"/>
            <w:tcBorders>
              <w:bottom w:val="single" w:sz="8" w:color="auto"/>
            </w:tcBorders>
            <w:shd w:val="clear" w:color="auto" w:fill="CCEEFF"/>
          </w:tcPr>
          <w:p>
            <w:pPr>
              <w:jc w:val="right"/>
              <w:ind w:right="142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7,875</w:t>
            </w:r>
          </w:p>
        </w:tc>
        <w:tc>
          <w:tcPr>
            <w:tcW w:w="8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140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8,112</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r>
      <w:tr>
        <w:trPr>
          <w:trHeight w:val="159"/>
        </w:trPr>
        <w:tc>
          <w:tcPr>
            <w:tcW w:w="7200" w:type="dxa"/>
            <w:vAlign w:val="bottom"/>
            <w:tcBorders>
              <w:bottom w:val="single" w:sz="8" w:color="CCEEFF"/>
            </w:tcBorders>
          </w:tcPr>
          <w:p>
            <w:pPr>
              <w:spacing w:after="0"/>
              <w:rPr>
                <w:sz w:val="13"/>
                <w:szCs w:val="13"/>
                <w:color w:val="auto"/>
              </w:rPr>
            </w:pPr>
          </w:p>
        </w:tc>
        <w:tc>
          <w:tcPr>
            <w:tcW w:w="15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5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r>
      <w:tr>
        <w:trPr>
          <w:trHeight w:val="230"/>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liability for future policy benefits, after reinsurance recoverable</w:t>
            </w:r>
          </w:p>
        </w:tc>
        <w:tc>
          <w:tcPr>
            <w:tcW w:w="1580" w:type="dxa"/>
            <w:vAlign w:val="bottom"/>
            <w:tcBorders>
              <w:bottom w:val="single" w:sz="8" w:color="auto"/>
            </w:tcBorders>
            <w:shd w:val="clear" w:color="auto" w:fill="CCEEFF"/>
          </w:tcPr>
          <w:p>
            <w:pPr>
              <w:jc w:val="right"/>
              <w:ind w:right="142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7,875</w:t>
            </w:r>
          </w:p>
        </w:tc>
        <w:tc>
          <w:tcPr>
            <w:tcW w:w="8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140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8,112</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r>
      <w:tr>
        <w:trPr>
          <w:trHeight w:val="159"/>
        </w:trPr>
        <w:tc>
          <w:tcPr>
            <w:tcW w:w="72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400" w:type="dxa"/>
            <w:vAlign w:val="bottom"/>
          </w:tcPr>
          <w:p>
            <w:pPr>
              <w:spacing w:after="0"/>
              <w:rPr>
                <w:sz w:val="13"/>
                <w:szCs w:val="13"/>
                <w:color w:val="auto"/>
              </w:rPr>
            </w:pPr>
          </w:p>
        </w:tc>
      </w:tr>
      <w:tr>
        <w:trPr>
          <w:trHeight w:val="188"/>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duration of liability for future policyholder benefits (years)</w:t>
            </w:r>
          </w:p>
        </w:tc>
        <w:tc>
          <w:tcPr>
            <w:tcW w:w="158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7.31</w:t>
            </w:r>
          </w:p>
        </w:tc>
        <w:tc>
          <w:tcPr>
            <w:tcW w:w="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7.80</w:t>
            </w:r>
          </w:p>
        </w:tc>
      </w:tr>
      <w:tr>
        <w:trPr>
          <w:trHeight w:val="24"/>
        </w:trPr>
        <w:tc>
          <w:tcPr>
            <w:tcW w:w="72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00" w:type="dxa"/>
            <w:vAlign w:val="bottom"/>
          </w:tcPr>
          <w:p>
            <w:pPr>
              <w:spacing w:after="0"/>
              <w:rPr>
                <w:sz w:val="16"/>
                <w:szCs w:val="16"/>
                <w:color w:val="auto"/>
              </w:rPr>
            </w:pPr>
          </w:p>
        </w:tc>
        <w:tc>
          <w:tcPr>
            <w:tcW w:w="3640" w:type="dxa"/>
            <w:vAlign w:val="bottom"/>
            <w:gridSpan w:val="4"/>
          </w:tcPr>
          <w:p>
            <w:pPr>
              <w:jc w:val="right"/>
              <w:ind w:right="929"/>
              <w:spacing w:after="0"/>
              <w:rPr>
                <w:sz w:val="20"/>
                <w:szCs w:val="20"/>
                <w:color w:val="auto"/>
              </w:rPr>
            </w:pPr>
            <w:r>
              <w:rPr>
                <w:rFonts w:ascii="Times New Roman" w:cs="Times New Roman" w:eastAsia="Times New Roman" w:hAnsi="Times New Roman"/>
                <w:sz w:val="14"/>
                <w:szCs w:val="14"/>
                <w:b w:val="1"/>
                <w:bCs w:val="1"/>
                <w:color w:val="auto"/>
              </w:rPr>
              <w:t>Immediate annuities</w:t>
            </w:r>
          </w:p>
        </w:tc>
        <w:tc>
          <w:tcPr>
            <w:tcW w:w="400" w:type="dxa"/>
            <w:vAlign w:val="bottom"/>
          </w:tcPr>
          <w:p>
            <w:pPr>
              <w:spacing w:after="0"/>
              <w:rPr>
                <w:sz w:val="16"/>
                <w:szCs w:val="16"/>
                <w:color w:val="auto"/>
              </w:rPr>
            </w:pPr>
          </w:p>
        </w:tc>
      </w:tr>
      <w:tr>
        <w:trPr>
          <w:trHeight w:val="24"/>
        </w:trPr>
        <w:tc>
          <w:tcPr>
            <w:tcW w:w="72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181"/>
        </w:trPr>
        <w:tc>
          <w:tcPr>
            <w:tcW w:w="720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400" w:type="dxa"/>
            <w:vAlign w:val="bottom"/>
          </w:tcPr>
          <w:p>
            <w:pPr>
              <w:spacing w:after="0"/>
              <w:rPr>
                <w:sz w:val="15"/>
                <w:szCs w:val="15"/>
                <w:color w:val="auto"/>
              </w:rPr>
            </w:pPr>
          </w:p>
        </w:tc>
      </w:tr>
      <w:tr>
        <w:trPr>
          <w:trHeight w:val="24"/>
        </w:trPr>
        <w:tc>
          <w:tcPr>
            <w:tcW w:w="7200" w:type="dxa"/>
            <w:vAlign w:val="bottom"/>
          </w:tcPr>
          <w:p>
            <w:pPr>
              <w:spacing w:after="0"/>
              <w:rPr>
                <w:sz w:val="2"/>
                <w:szCs w:val="2"/>
                <w:color w:val="auto"/>
              </w:rPr>
            </w:pPr>
          </w:p>
        </w:tc>
        <w:tc>
          <w:tcPr>
            <w:tcW w:w="3640" w:type="dxa"/>
            <w:vAlign w:val="bottom"/>
            <w:tcBorders>
              <w:bottom w:val="single" w:sz="8" w:color="auto"/>
            </w:tcBorders>
            <w:gridSpan w:val="4"/>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181"/>
        </w:trPr>
        <w:tc>
          <w:tcPr>
            <w:tcW w:w="7200" w:type="dxa"/>
            <w:vAlign w:val="bottom"/>
          </w:tcPr>
          <w:p>
            <w:pPr>
              <w:spacing w:after="0"/>
              <w:rPr>
                <w:sz w:val="15"/>
                <w:szCs w:val="15"/>
                <w:color w:val="auto"/>
              </w:rPr>
            </w:pPr>
          </w:p>
        </w:tc>
        <w:tc>
          <w:tcPr>
            <w:tcW w:w="3640" w:type="dxa"/>
            <w:vAlign w:val="bottom"/>
            <w:gridSpan w:val="4"/>
          </w:tcPr>
          <w:p>
            <w:pPr>
              <w:jc w:val="right"/>
              <w:ind w:right="949"/>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400" w:type="dxa"/>
            <w:vAlign w:val="bottom"/>
          </w:tcPr>
          <w:p>
            <w:pPr>
              <w:spacing w:after="0"/>
              <w:rPr>
                <w:sz w:val="15"/>
                <w:szCs w:val="15"/>
                <w:color w:val="auto"/>
              </w:rPr>
            </w:pPr>
          </w:p>
        </w:tc>
      </w:tr>
      <w:tr>
        <w:trPr>
          <w:trHeight w:val="24"/>
        </w:trPr>
        <w:tc>
          <w:tcPr>
            <w:tcW w:w="7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192"/>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beginning of year</w:t>
            </w:r>
          </w:p>
        </w:tc>
        <w:tc>
          <w:tcPr>
            <w:tcW w:w="1580" w:type="dxa"/>
            <w:vAlign w:val="bottom"/>
            <w:tcBorders>
              <w:bottom w:val="single" w:sz="8" w:color="CCEEFF"/>
            </w:tcBorders>
            <w:shd w:val="clear" w:color="auto" w:fill="CCEEFF"/>
          </w:tcPr>
          <w:p>
            <w:pPr>
              <w:jc w:val="right"/>
              <w:ind w:right="142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1,276</w:t>
            </w:r>
          </w:p>
        </w:tc>
        <w:tc>
          <w:tcPr>
            <w:tcW w:w="8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jc w:val="right"/>
              <w:ind w:right="140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1,297</w:t>
            </w:r>
          </w:p>
        </w:tc>
      </w:tr>
      <w:tr>
        <w:trPr>
          <w:trHeight w:val="188"/>
        </w:trPr>
        <w:tc>
          <w:tcPr>
            <w:tcW w:w="7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Beginning balance at original discount rate</w:t>
            </w:r>
          </w:p>
        </w:tc>
        <w:tc>
          <w:tcPr>
            <w:tcW w:w="15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1,679</w:t>
            </w: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1,732</w:t>
            </w:r>
          </w:p>
        </w:tc>
      </w:tr>
      <w:tr>
        <w:trPr>
          <w:trHeight w:val="24"/>
        </w:trPr>
        <w:tc>
          <w:tcPr>
            <w:tcW w:w="7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12"/>
        </w:trPr>
        <w:tc>
          <w:tcPr>
            <w:tcW w:w="72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Effect of actual variances from expected experience</w:t>
            </w:r>
          </w:p>
        </w:tc>
        <w:tc>
          <w:tcPr>
            <w:tcW w:w="15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81"/>
        </w:trPr>
        <w:tc>
          <w:tcPr>
            <w:tcW w:w="7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adjusted for variances from expectation</w:t>
            </w:r>
          </w:p>
        </w:tc>
        <w:tc>
          <w:tcPr>
            <w:tcW w:w="158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1,680</w:t>
            </w:r>
          </w:p>
        </w:tc>
        <w:tc>
          <w:tcPr>
            <w:tcW w:w="80" w:type="dxa"/>
            <w:vAlign w:val="bottom"/>
          </w:tcPr>
          <w:p>
            <w:pPr>
              <w:spacing w:after="0"/>
              <w:rPr>
                <w:sz w:val="15"/>
                <w:szCs w:val="15"/>
                <w:color w:val="auto"/>
              </w:rPr>
            </w:pPr>
          </w:p>
        </w:tc>
        <w:tc>
          <w:tcPr>
            <w:tcW w:w="158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1,721</w:t>
            </w:r>
          </w:p>
        </w:tc>
      </w:tr>
      <w:tr>
        <w:trPr>
          <w:trHeight w:val="24"/>
        </w:trPr>
        <w:tc>
          <w:tcPr>
            <w:tcW w:w="7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192"/>
        </w:trPr>
        <w:tc>
          <w:tcPr>
            <w:tcW w:w="72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Issuances</w:t>
            </w:r>
          </w:p>
        </w:tc>
        <w:tc>
          <w:tcPr>
            <w:tcW w:w="15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88"/>
        </w:trPr>
        <w:tc>
          <w:tcPr>
            <w:tcW w:w="72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Interest accrual</w:t>
            </w:r>
          </w:p>
        </w:tc>
        <w:tc>
          <w:tcPr>
            <w:tcW w:w="15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r>
      <w:tr>
        <w:trPr>
          <w:trHeight w:val="24"/>
        </w:trPr>
        <w:tc>
          <w:tcPr>
            <w:tcW w:w="7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12"/>
        </w:trPr>
        <w:tc>
          <w:tcPr>
            <w:tcW w:w="72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Benefits payments</w:t>
            </w:r>
          </w:p>
        </w:tc>
        <w:tc>
          <w:tcPr>
            <w:tcW w:w="15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8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r>
      <w:tr>
        <w:trPr>
          <w:trHeight w:val="181"/>
        </w:trPr>
        <w:tc>
          <w:tcPr>
            <w:tcW w:w="7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Ending balance at original discount rate</w:t>
            </w:r>
          </w:p>
        </w:tc>
        <w:tc>
          <w:tcPr>
            <w:tcW w:w="158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1,650</w:t>
            </w:r>
          </w:p>
        </w:tc>
        <w:tc>
          <w:tcPr>
            <w:tcW w:w="80" w:type="dxa"/>
            <w:vAlign w:val="bottom"/>
          </w:tcPr>
          <w:p>
            <w:pPr>
              <w:spacing w:after="0"/>
              <w:rPr>
                <w:sz w:val="15"/>
                <w:szCs w:val="15"/>
                <w:color w:val="auto"/>
              </w:rPr>
            </w:pPr>
          </w:p>
        </w:tc>
        <w:tc>
          <w:tcPr>
            <w:tcW w:w="158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1,679</w:t>
            </w:r>
          </w:p>
        </w:tc>
      </w:tr>
      <w:tr>
        <w:trPr>
          <w:trHeight w:val="24"/>
        </w:trPr>
        <w:tc>
          <w:tcPr>
            <w:tcW w:w="7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12"/>
        </w:trPr>
        <w:tc>
          <w:tcPr>
            <w:tcW w:w="72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Effect of changes in discount rate assumptions</w:t>
            </w:r>
          </w:p>
        </w:tc>
        <w:tc>
          <w:tcPr>
            <w:tcW w:w="15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w:t>
            </w:r>
          </w:p>
        </w:tc>
        <w:tc>
          <w:tcPr>
            <w:tcW w:w="8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w:t>
            </w:r>
          </w:p>
        </w:tc>
      </w:tr>
      <w:tr>
        <w:trPr>
          <w:trHeight w:val="205"/>
        </w:trPr>
        <w:tc>
          <w:tcPr>
            <w:tcW w:w="7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end of period</w:t>
            </w:r>
          </w:p>
        </w:tc>
        <w:tc>
          <w:tcPr>
            <w:tcW w:w="1580" w:type="dxa"/>
            <w:vAlign w:val="bottom"/>
            <w:tcBorders>
              <w:top w:val="single" w:sz="8" w:color="auto"/>
              <w:bottom w:val="single" w:sz="8" w:color="auto"/>
            </w:tcBorders>
          </w:tcPr>
          <w:p>
            <w:pPr>
              <w:jc w:val="right"/>
              <w:ind w:right="142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1,136</w:t>
            </w:r>
          </w:p>
        </w:tc>
        <w:tc>
          <w:tcPr>
            <w:tcW w:w="80" w:type="dxa"/>
            <w:vAlign w:val="bottom"/>
          </w:tcPr>
          <w:p>
            <w:pPr>
              <w:spacing w:after="0"/>
              <w:rPr>
                <w:sz w:val="17"/>
                <w:szCs w:val="17"/>
                <w:color w:val="auto"/>
              </w:rPr>
            </w:pPr>
          </w:p>
        </w:tc>
        <w:tc>
          <w:tcPr>
            <w:tcW w:w="1580" w:type="dxa"/>
            <w:vAlign w:val="bottom"/>
            <w:tcBorders>
              <w:top w:val="single" w:sz="8" w:color="auto"/>
              <w:bottom w:val="single" w:sz="8" w:color="auto"/>
            </w:tcBorders>
          </w:tcPr>
          <w:p>
            <w:pPr>
              <w:jc w:val="right"/>
              <w:ind w:right="140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1,276</w:t>
            </w:r>
          </w:p>
        </w:tc>
      </w:tr>
      <w:tr>
        <w:trPr>
          <w:trHeight w:val="20"/>
        </w:trPr>
        <w:tc>
          <w:tcPr>
            <w:tcW w:w="720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r>
        <w:trPr>
          <w:trHeight w:val="165"/>
        </w:trPr>
        <w:tc>
          <w:tcPr>
            <w:tcW w:w="720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r>
      <w:tr>
        <w:trPr>
          <w:trHeight w:val="188"/>
        </w:trPr>
        <w:tc>
          <w:tcPr>
            <w:tcW w:w="7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liability for future policy benefits</w:t>
            </w:r>
          </w:p>
        </w:tc>
        <w:tc>
          <w:tcPr>
            <w:tcW w:w="1580" w:type="dxa"/>
            <w:vAlign w:val="bottom"/>
          </w:tcPr>
          <w:p>
            <w:pPr>
              <w:jc w:val="right"/>
              <w:ind w:right="142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1,136</w:t>
            </w:r>
          </w:p>
        </w:tc>
        <w:tc>
          <w:tcPr>
            <w:tcW w:w="80" w:type="dxa"/>
            <w:vAlign w:val="bottom"/>
          </w:tcPr>
          <w:p>
            <w:pPr>
              <w:spacing w:after="0"/>
              <w:rPr>
                <w:sz w:val="16"/>
                <w:szCs w:val="16"/>
                <w:color w:val="auto"/>
              </w:rPr>
            </w:pPr>
          </w:p>
        </w:tc>
        <w:tc>
          <w:tcPr>
            <w:tcW w:w="1580" w:type="dxa"/>
            <w:vAlign w:val="bottom"/>
          </w:tcPr>
          <w:p>
            <w:pPr>
              <w:jc w:val="right"/>
              <w:ind w:right="140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1,276</w:t>
            </w:r>
          </w:p>
        </w:tc>
      </w:tr>
      <w:tr>
        <w:trPr>
          <w:trHeight w:val="24"/>
        </w:trPr>
        <w:tc>
          <w:tcPr>
            <w:tcW w:w="7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12"/>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Reinsurance recoverable</w:t>
            </w:r>
          </w:p>
        </w:tc>
        <w:tc>
          <w:tcPr>
            <w:tcW w:w="15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8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r>
      <w:tr>
        <w:trPr>
          <w:trHeight w:val="205"/>
        </w:trPr>
        <w:tc>
          <w:tcPr>
            <w:tcW w:w="7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liability for future policy benefits, after reinsurance recoverable</w:t>
            </w:r>
          </w:p>
        </w:tc>
        <w:tc>
          <w:tcPr>
            <w:tcW w:w="1580" w:type="dxa"/>
            <w:vAlign w:val="bottom"/>
            <w:tcBorders>
              <w:top w:val="single" w:sz="8" w:color="auto"/>
              <w:bottom w:val="single" w:sz="8" w:color="auto"/>
            </w:tcBorders>
          </w:tcPr>
          <w:p>
            <w:pPr>
              <w:jc w:val="right"/>
              <w:ind w:right="142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1,038</w:t>
            </w:r>
          </w:p>
        </w:tc>
        <w:tc>
          <w:tcPr>
            <w:tcW w:w="80" w:type="dxa"/>
            <w:vAlign w:val="bottom"/>
          </w:tcPr>
          <w:p>
            <w:pPr>
              <w:spacing w:after="0"/>
              <w:rPr>
                <w:sz w:val="17"/>
                <w:szCs w:val="17"/>
                <w:color w:val="auto"/>
              </w:rPr>
            </w:pPr>
          </w:p>
        </w:tc>
        <w:tc>
          <w:tcPr>
            <w:tcW w:w="1580" w:type="dxa"/>
            <w:vAlign w:val="bottom"/>
            <w:tcBorders>
              <w:top w:val="single" w:sz="8" w:color="auto"/>
              <w:bottom w:val="single" w:sz="8" w:color="auto"/>
            </w:tcBorders>
          </w:tcPr>
          <w:p>
            <w:pPr>
              <w:jc w:val="right"/>
              <w:ind w:right="140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1,170</w:t>
            </w:r>
          </w:p>
        </w:tc>
      </w:tr>
      <w:tr>
        <w:trPr>
          <w:trHeight w:val="20"/>
        </w:trPr>
        <w:tc>
          <w:tcPr>
            <w:tcW w:w="720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r>
        <w:trPr>
          <w:trHeight w:val="178"/>
        </w:trPr>
        <w:tc>
          <w:tcPr>
            <w:tcW w:w="72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r>
      <w:tr>
        <w:trPr>
          <w:trHeight w:val="188"/>
        </w:trPr>
        <w:tc>
          <w:tcPr>
            <w:tcW w:w="7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Weighted-average duration of liability for future policyholder benefits (years)</w:t>
            </w:r>
          </w:p>
        </w:tc>
        <w:tc>
          <w:tcPr>
            <w:tcW w:w="15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11.82</w:t>
            </w: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tables summarize balances and changes in the liability for deferred profit liability ("DPL") for limited-payment contracts: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60" w:type="dxa"/>
            <w:vAlign w:val="bottom"/>
          </w:tcPr>
          <w:p>
            <w:pPr>
              <w:spacing w:after="0"/>
              <w:rPr>
                <w:sz w:val="16"/>
                <w:szCs w:val="16"/>
                <w:color w:val="auto"/>
              </w:rPr>
            </w:pPr>
          </w:p>
        </w:tc>
        <w:tc>
          <w:tcPr>
            <w:tcW w:w="1920" w:type="dxa"/>
            <w:vAlign w:val="bottom"/>
            <w:gridSpan w:val="4"/>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40" w:type="dxa"/>
            <w:vAlign w:val="bottom"/>
            <w:gridSpan w:val="4"/>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4"/>
        </w:trPr>
        <w:tc>
          <w:tcPr>
            <w:tcW w:w="6560" w:type="dxa"/>
            <w:vAlign w:val="bottom"/>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6560" w:type="dxa"/>
            <w:vAlign w:val="bottom"/>
          </w:tcPr>
          <w:p>
            <w:pPr>
              <w:spacing w:after="0"/>
              <w:rPr>
                <w:sz w:val="12"/>
                <w:szCs w:val="12"/>
                <w:color w:val="auto"/>
              </w:rPr>
            </w:pPr>
          </w:p>
        </w:tc>
        <w:tc>
          <w:tcPr>
            <w:tcW w:w="1200" w:type="dxa"/>
            <w:vAlign w:val="bottom"/>
            <w:gridSpan w:val="3"/>
          </w:tcPr>
          <w:p>
            <w:pPr>
              <w:ind w:left="220"/>
              <w:spacing w:after="0" w:line="141" w:lineRule="exact"/>
              <w:rPr>
                <w:sz w:val="20"/>
                <w:szCs w:val="20"/>
                <w:color w:val="auto"/>
              </w:rPr>
            </w:pPr>
            <w:r>
              <w:rPr>
                <w:rFonts w:ascii="Times New Roman" w:cs="Times New Roman" w:eastAsia="Times New Roman" w:hAnsi="Times New Roman"/>
                <w:sz w:val="14"/>
                <w:szCs w:val="14"/>
                <w:b w:val="1"/>
                <w:bCs w:val="1"/>
                <w:color w:val="auto"/>
              </w:rPr>
              <w:t>Immediate</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PRT</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40"/>
              <w:spacing w:after="0" w:line="141" w:lineRule="exact"/>
              <w:rPr>
                <w:sz w:val="20"/>
                <w:szCs w:val="20"/>
                <w:color w:val="auto"/>
              </w:rPr>
            </w:pPr>
            <w:r>
              <w:rPr>
                <w:rFonts w:ascii="Times New Roman" w:cs="Times New Roman" w:eastAsia="Times New Roman" w:hAnsi="Times New Roman"/>
                <w:sz w:val="14"/>
                <w:szCs w:val="14"/>
                <w:b w:val="1"/>
                <w:bCs w:val="1"/>
                <w:color w:val="auto"/>
                <w:w w:val="99"/>
              </w:rPr>
              <w:t>Immediate</w:t>
            </w:r>
          </w:p>
        </w:tc>
        <w:tc>
          <w:tcPr>
            <w:tcW w:w="260" w:type="dxa"/>
            <w:vAlign w:val="bottom"/>
          </w:tcPr>
          <w:p>
            <w:pPr>
              <w:spacing w:after="0"/>
              <w:rPr>
                <w:sz w:val="12"/>
                <w:szCs w:val="12"/>
                <w:color w:val="auto"/>
              </w:rPr>
            </w:pPr>
          </w:p>
        </w:tc>
        <w:tc>
          <w:tcPr>
            <w:tcW w:w="840" w:type="dxa"/>
            <w:vAlign w:val="bottom"/>
            <w:vMerge w:val="restart"/>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PRT</w:t>
            </w:r>
          </w:p>
        </w:tc>
        <w:tc>
          <w:tcPr>
            <w:tcW w:w="0" w:type="dxa"/>
            <w:vAlign w:val="bottom"/>
          </w:tcPr>
          <w:p>
            <w:pPr>
              <w:spacing w:after="0"/>
              <w:rPr>
                <w:sz w:val="1"/>
                <w:szCs w:val="1"/>
                <w:color w:val="auto"/>
              </w:rPr>
            </w:pPr>
          </w:p>
        </w:tc>
      </w:tr>
      <w:tr>
        <w:trPr>
          <w:trHeight w:val="191"/>
        </w:trPr>
        <w:tc>
          <w:tcPr>
            <w:tcW w:w="656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6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beginning of year</w:t>
            </w:r>
          </w:p>
        </w:tc>
        <w:tc>
          <w:tcPr>
            <w:tcW w:w="840" w:type="dxa"/>
            <w:vAlign w:val="bottom"/>
            <w:tcBorders>
              <w:bottom w:val="single" w:sz="8" w:color="CCEEFF"/>
            </w:tcBorders>
            <w:shd w:val="clear" w:color="auto" w:fill="CCEEFF"/>
          </w:tcPr>
          <w:p>
            <w:pPr>
              <w:jc w:val="right"/>
              <w:ind w:right="66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569"/>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88"/>
        </w:trPr>
        <w:tc>
          <w:tcPr>
            <w:tcW w:w="65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Effect of actual variances from expected experience</w:t>
            </w:r>
          </w:p>
        </w:tc>
        <w:tc>
          <w:tcPr>
            <w:tcW w:w="84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4"/>
              </w:rPr>
              <w:t>(11)</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4"/>
        </w:trPr>
        <w:tc>
          <w:tcPr>
            <w:tcW w:w="65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adjusted for variances from expectation</w:t>
            </w:r>
          </w:p>
        </w:tc>
        <w:tc>
          <w:tcPr>
            <w:tcW w:w="8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88"/>
        </w:trPr>
        <w:tc>
          <w:tcPr>
            <w:tcW w:w="65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Issuances</w:t>
            </w:r>
          </w:p>
        </w:tc>
        <w:tc>
          <w:tcPr>
            <w:tcW w:w="84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4"/>
        </w:trPr>
        <w:tc>
          <w:tcPr>
            <w:tcW w:w="6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65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Interest accrual</w:t>
            </w:r>
          </w:p>
        </w:tc>
        <w:tc>
          <w:tcPr>
            <w:tcW w:w="8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65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Amortization</w:t>
            </w:r>
          </w:p>
        </w:tc>
        <w:tc>
          <w:tcPr>
            <w:tcW w:w="84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4"/>
        </w:trPr>
        <w:tc>
          <w:tcPr>
            <w:tcW w:w="65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end of period</w:t>
            </w:r>
          </w:p>
        </w:tc>
        <w:tc>
          <w:tcPr>
            <w:tcW w:w="840" w:type="dxa"/>
            <w:vAlign w:val="bottom"/>
            <w:tcBorders>
              <w:bottom w:val="single" w:sz="8" w:color="auto"/>
            </w:tcBorders>
            <w:shd w:val="clear" w:color="auto" w:fill="CCEEFF"/>
          </w:tcPr>
          <w:p>
            <w:pPr>
              <w:jc w:val="right"/>
              <w:ind w:right="66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569"/>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following table reconciles the net FPB to the FPB in the unaudited Condensed Consolidated Balance Sheets. The DPL for Immediate Annuities and PRT is presented together with the FPB in the unaudited Condensed Consolidated Balance Sheets and has been included as a reconciling item in the table below:</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60" w:type="dxa"/>
            <w:vAlign w:val="bottom"/>
          </w:tcPr>
          <w:p>
            <w:pPr>
              <w:spacing w:after="0"/>
              <w:rPr>
                <w:sz w:val="16"/>
                <w:szCs w:val="16"/>
                <w:color w:val="auto"/>
              </w:rPr>
            </w:pPr>
          </w:p>
        </w:tc>
        <w:tc>
          <w:tcPr>
            <w:tcW w:w="1460" w:type="dxa"/>
            <w:vAlign w:val="bottom"/>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4"/>
        </w:trPr>
        <w:tc>
          <w:tcPr>
            <w:tcW w:w="78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gridSpan w:val="4"/>
          </w:tcPr>
          <w:p>
            <w:pPr>
              <w:spacing w:after="0"/>
              <w:rPr>
                <w:sz w:val="2"/>
                <w:szCs w:val="2"/>
                <w:color w:val="auto"/>
              </w:rPr>
            </w:pPr>
          </w:p>
        </w:tc>
      </w:tr>
      <w:tr>
        <w:trPr>
          <w:trHeight w:val="181"/>
        </w:trPr>
        <w:tc>
          <w:tcPr>
            <w:tcW w:w="7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60" w:type="dxa"/>
            <w:vAlign w:val="bottom"/>
            <w:gridSpan w:val="4"/>
          </w:tcPr>
          <w:p>
            <w:pPr>
              <w:jc w:val="right"/>
              <w:ind w:right="1269"/>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4"/>
        </w:trPr>
        <w:tc>
          <w:tcPr>
            <w:tcW w:w="7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192"/>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Traditional life</w:t>
            </w:r>
          </w:p>
        </w:tc>
        <w:tc>
          <w:tcPr>
            <w:tcW w:w="1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1,131</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1,270</w:t>
            </w:r>
          </w:p>
        </w:tc>
      </w:tr>
      <w:tr>
        <w:trPr>
          <w:trHeight w:val="188"/>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Immediate annuities</w:t>
            </w:r>
          </w:p>
        </w:tc>
        <w:tc>
          <w:tcPr>
            <w:tcW w:w="16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1,276</w:t>
            </w:r>
          </w:p>
        </w:tc>
      </w:tr>
      <w:tr>
        <w:trPr>
          <w:trHeight w:val="24"/>
        </w:trPr>
        <w:tc>
          <w:tcPr>
            <w:tcW w:w="7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192"/>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PRT</w:t>
            </w:r>
          </w:p>
        </w:tc>
        <w:tc>
          <w:tcPr>
            <w:tcW w:w="16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7,875</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8,112</w:t>
            </w:r>
          </w:p>
        </w:tc>
      </w:tr>
      <w:tr>
        <w:trPr>
          <w:trHeight w:val="188"/>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Immediate annuities DPL</w:t>
            </w:r>
          </w:p>
        </w:tc>
        <w:tc>
          <w:tcPr>
            <w:tcW w:w="16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r>
      <w:tr>
        <w:trPr>
          <w:trHeight w:val="24"/>
        </w:trPr>
        <w:tc>
          <w:tcPr>
            <w:tcW w:w="7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12"/>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PRT DPL</w:t>
            </w:r>
          </w:p>
        </w:tc>
        <w:tc>
          <w:tcPr>
            <w:tcW w:w="16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205"/>
        </w:trPr>
        <w:tc>
          <w:tcPr>
            <w:tcW w:w="78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10,241</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10,755</w:t>
            </w:r>
          </w:p>
        </w:tc>
      </w:tr>
      <w:tr>
        <w:trPr>
          <w:trHeight w:val="20"/>
        </w:trPr>
        <w:tc>
          <w:tcPr>
            <w:tcW w:w="7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640" w:firstLine="318"/>
        <w:spacing w:after="0" w:line="258" w:lineRule="auto"/>
        <w:rPr>
          <w:sz w:val="20"/>
          <w:szCs w:val="20"/>
          <w:color w:val="auto"/>
        </w:rPr>
      </w:pPr>
      <w:r>
        <w:rPr>
          <w:rFonts w:ascii="Times New Roman" w:cs="Times New Roman" w:eastAsia="Times New Roman" w:hAnsi="Times New Roman"/>
          <w:sz w:val="18"/>
          <w:szCs w:val="18"/>
          <w:color w:val="auto"/>
        </w:rPr>
        <w:t>The following table provides the amount of undiscounted and discounted expected gross premiums and expected future benefits and expenses for nonparticipating traditional and limited-payment contracts: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6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Undiscounted</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60" w:type="dxa"/>
            <w:vAlign w:val="bottom"/>
            <w:gridSpan w:val="2"/>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Discounted</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5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60" w:type="dxa"/>
            <w:vAlign w:val="bottom"/>
            <w:gridSpan w:val="2"/>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6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5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Pr>
          <w:p>
            <w:pPr>
              <w:spacing w:after="0"/>
              <w:rPr>
                <w:sz w:val="15"/>
                <w:szCs w:val="15"/>
                <w:color w:val="auto"/>
              </w:rPr>
            </w:pPr>
          </w:p>
        </w:tc>
        <w:tc>
          <w:tcPr>
            <w:tcW w:w="960" w:type="dxa"/>
            <w:vAlign w:val="bottom"/>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Pr>
          <w:p>
            <w:pPr>
              <w:spacing w:after="0"/>
              <w:rPr>
                <w:sz w:val="15"/>
                <w:szCs w:val="15"/>
                <w:color w:val="auto"/>
              </w:rPr>
            </w:pPr>
          </w:p>
        </w:tc>
        <w:tc>
          <w:tcPr>
            <w:tcW w:w="940" w:type="dxa"/>
            <w:vAlign w:val="bottom"/>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4"/>
        </w:trPr>
        <w:tc>
          <w:tcPr>
            <w:tcW w:w="5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Traditional life</w:t>
            </w: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52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500" w:type="dxa"/>
            <w:vAlign w:val="bottom"/>
            <w:gridSpan w:val="3"/>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52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Expected future benefit payments</w:t>
            </w:r>
          </w:p>
        </w:tc>
        <w:tc>
          <w:tcPr>
            <w:tcW w:w="320" w:type="dxa"/>
            <w:vAlign w:val="bottom"/>
            <w:tcBorders>
              <w:bottom w:val="single" w:sz="8" w:color="CCEEFF"/>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2,345</w:t>
            </w:r>
          </w:p>
        </w:tc>
        <w:tc>
          <w:tcPr>
            <w:tcW w:w="540" w:type="dxa"/>
            <w:vAlign w:val="bottom"/>
            <w:tcBorders>
              <w:bottom w:val="single" w:sz="8" w:color="CCEEFF"/>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2,569</w:t>
            </w: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1,635</w:t>
            </w:r>
          </w:p>
        </w:tc>
        <w:tc>
          <w:tcPr>
            <w:tcW w:w="560" w:type="dxa"/>
            <w:vAlign w:val="bottom"/>
            <w:tcBorders>
              <w:bottom w:val="single" w:sz="8" w:color="CCEEFF"/>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1,892</w:t>
            </w:r>
          </w:p>
        </w:tc>
        <w:tc>
          <w:tcPr>
            <w:tcW w:w="0" w:type="dxa"/>
            <w:vAlign w:val="bottom"/>
          </w:tcPr>
          <w:p>
            <w:pPr>
              <w:spacing w:after="0"/>
              <w:rPr>
                <w:sz w:val="1"/>
                <w:szCs w:val="1"/>
                <w:color w:val="auto"/>
              </w:rPr>
            </w:pPr>
          </w:p>
        </w:tc>
      </w:tr>
      <w:tr>
        <w:trPr>
          <w:trHeight w:val="188"/>
        </w:trPr>
        <w:tc>
          <w:tcPr>
            <w:tcW w:w="5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Expected future gross premiums</w:t>
            </w:r>
          </w:p>
        </w:tc>
        <w:tc>
          <w:tcPr>
            <w:tcW w:w="320" w:type="dxa"/>
            <w:vAlign w:val="bottom"/>
          </w:tcPr>
          <w:p>
            <w:pPr>
              <w:spacing w:after="0"/>
              <w:rPr>
                <w:sz w:val="16"/>
                <w:szCs w:val="16"/>
                <w:color w:val="auto"/>
              </w:rPr>
            </w:pPr>
          </w:p>
        </w:tc>
        <w:tc>
          <w:tcPr>
            <w:tcW w:w="11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772</w:t>
            </w:r>
          </w:p>
        </w:tc>
        <w:tc>
          <w:tcPr>
            <w:tcW w:w="5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875</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541</w:t>
            </w:r>
          </w:p>
        </w:tc>
        <w:tc>
          <w:tcPr>
            <w:tcW w:w="5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w:t>
            </w:r>
          </w:p>
        </w:tc>
        <w:tc>
          <w:tcPr>
            <w:tcW w:w="0" w:type="dxa"/>
            <w:vAlign w:val="bottom"/>
          </w:tcPr>
          <w:p>
            <w:pPr>
              <w:spacing w:after="0"/>
              <w:rPr>
                <w:sz w:val="1"/>
                <w:szCs w:val="1"/>
                <w:color w:val="auto"/>
              </w:rPr>
            </w:pPr>
          </w:p>
        </w:tc>
      </w:tr>
      <w:tr>
        <w:trPr>
          <w:trHeight w:val="24"/>
        </w:trPr>
        <w:tc>
          <w:tcPr>
            <w:tcW w:w="5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Immediate annuities</w:t>
            </w:r>
          </w:p>
        </w:tc>
        <w:tc>
          <w:tcPr>
            <w:tcW w:w="3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Expected future benefit payments</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3,036</w:t>
            </w:r>
          </w:p>
        </w:tc>
        <w:tc>
          <w:tcPr>
            <w:tcW w:w="54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3,125</w:t>
            </w:r>
          </w:p>
        </w:tc>
        <w:tc>
          <w:tcPr>
            <w:tcW w:w="80" w:type="dxa"/>
            <w:vAlign w:val="bottom"/>
          </w:tcPr>
          <w:p>
            <w:pPr>
              <w:spacing w:after="0"/>
              <w:rPr>
                <w:sz w:val="16"/>
                <w:szCs w:val="16"/>
                <w:color w:val="auto"/>
              </w:rPr>
            </w:pPr>
          </w:p>
        </w:tc>
        <w:tc>
          <w:tcPr>
            <w:tcW w:w="46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1,136</w:t>
            </w:r>
          </w:p>
        </w:tc>
        <w:tc>
          <w:tcPr>
            <w:tcW w:w="56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1,304</w:t>
            </w:r>
          </w:p>
        </w:tc>
        <w:tc>
          <w:tcPr>
            <w:tcW w:w="0" w:type="dxa"/>
            <w:vAlign w:val="bottom"/>
          </w:tcPr>
          <w:p>
            <w:pPr>
              <w:spacing w:after="0"/>
              <w:rPr>
                <w:sz w:val="1"/>
                <w:szCs w:val="1"/>
                <w:color w:val="auto"/>
              </w:rPr>
            </w:pPr>
          </w:p>
        </w:tc>
      </w:tr>
      <w:tr>
        <w:trPr>
          <w:trHeight w:val="24"/>
        </w:trPr>
        <w:tc>
          <w:tcPr>
            <w:tcW w:w="5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52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Expected future gross premiums</w:t>
            </w:r>
          </w:p>
        </w:tc>
        <w:tc>
          <w:tcPr>
            <w:tcW w:w="3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PRT</w:t>
            </w: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52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Expected future benefit payments</w:t>
            </w:r>
          </w:p>
        </w:tc>
        <w:tc>
          <w:tcPr>
            <w:tcW w:w="320" w:type="dxa"/>
            <w:vAlign w:val="bottom"/>
            <w:tcBorders>
              <w:bottom w:val="single" w:sz="8" w:color="CCEEFF"/>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13,682</w:t>
            </w:r>
          </w:p>
        </w:tc>
        <w:tc>
          <w:tcPr>
            <w:tcW w:w="540" w:type="dxa"/>
            <w:vAlign w:val="bottom"/>
            <w:tcBorders>
              <w:bottom w:val="single" w:sz="8" w:color="CCEEFF"/>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11,809</w:t>
            </w: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7,875</w:t>
            </w:r>
          </w:p>
        </w:tc>
        <w:tc>
          <w:tcPr>
            <w:tcW w:w="560" w:type="dxa"/>
            <w:vAlign w:val="bottom"/>
            <w:tcBorders>
              <w:bottom w:val="single" w:sz="8" w:color="CCEEFF"/>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7,363</w:t>
            </w:r>
          </w:p>
        </w:tc>
        <w:tc>
          <w:tcPr>
            <w:tcW w:w="0" w:type="dxa"/>
            <w:vAlign w:val="bottom"/>
          </w:tcPr>
          <w:p>
            <w:pPr>
              <w:spacing w:after="0"/>
              <w:rPr>
                <w:sz w:val="1"/>
                <w:szCs w:val="1"/>
                <w:color w:val="auto"/>
              </w:rPr>
            </w:pPr>
          </w:p>
        </w:tc>
      </w:tr>
      <w:tr>
        <w:trPr>
          <w:trHeight w:val="188"/>
        </w:trPr>
        <w:tc>
          <w:tcPr>
            <w:tcW w:w="5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Expected future gross premiums</w:t>
            </w:r>
          </w:p>
        </w:tc>
        <w:tc>
          <w:tcPr>
            <w:tcW w:w="320" w:type="dxa"/>
            <w:vAlign w:val="bottom"/>
          </w:tcPr>
          <w:p>
            <w:pPr>
              <w:spacing w:after="0"/>
              <w:rPr>
                <w:sz w:val="16"/>
                <w:szCs w:val="16"/>
                <w:color w:val="auto"/>
              </w:rPr>
            </w:pPr>
          </w:p>
        </w:tc>
        <w:tc>
          <w:tcPr>
            <w:tcW w:w="11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6"/>
                <w:szCs w:val="16"/>
                <w:color w:val="auto"/>
              </w:rPr>
            </w:pPr>
          </w:p>
        </w:tc>
        <w:tc>
          <w:tcPr>
            <w:tcW w:w="10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191" w:lineRule="exact"/>
        <w:rPr>
          <w:sz w:val="20"/>
          <w:szCs w:val="20"/>
          <w:color w:val="auto"/>
        </w:rPr>
      </w:pPr>
    </w:p>
    <w:p>
      <w:pPr>
        <w:jc w:val="both"/>
        <w:ind w:right="20" w:firstLine="318"/>
        <w:spacing w:after="0" w:line="258" w:lineRule="auto"/>
        <w:rPr>
          <w:sz w:val="20"/>
          <w:szCs w:val="20"/>
          <w:color w:val="auto"/>
        </w:rPr>
      </w:pPr>
      <w:r>
        <w:rPr>
          <w:rFonts w:ascii="Times New Roman" w:cs="Times New Roman" w:eastAsia="Times New Roman" w:hAnsi="Times New Roman"/>
          <w:sz w:val="18"/>
          <w:szCs w:val="18"/>
          <w:color w:val="auto"/>
        </w:rPr>
        <w:t>The following table summarizes the amount of revenue and interest related to nonparticipating traditional and limited-payment contracts recognized in the unaudited Condensed Consolidated Statements of Earnings: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Gross Premiums (a)</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Interest Expense (b)</w:t>
            </w:r>
          </w:p>
        </w:tc>
        <w:tc>
          <w:tcPr>
            <w:tcW w:w="860" w:type="dxa"/>
            <w:vAlign w:val="bottom"/>
          </w:tcPr>
          <w:p>
            <w:pPr>
              <w:spacing w:after="0"/>
              <w:rPr>
                <w:sz w:val="16"/>
                <w:szCs w:val="16"/>
                <w:color w:val="auto"/>
              </w:rPr>
            </w:pPr>
          </w:p>
        </w:tc>
      </w:tr>
      <w:tr>
        <w:trPr>
          <w:trHeight w:val="24"/>
        </w:trPr>
        <w:tc>
          <w:tcPr>
            <w:tcW w:w="52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1"/>
        </w:trPr>
        <w:tc>
          <w:tcPr>
            <w:tcW w:w="5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20" w:type="dxa"/>
            <w:vAlign w:val="bottom"/>
            <w:gridSpan w:val="3"/>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40" w:type="dxa"/>
            <w:vAlign w:val="bottom"/>
            <w:gridSpan w:val="3"/>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5"/>
                <w:szCs w:val="15"/>
                <w:color w:val="auto"/>
              </w:rPr>
            </w:pPr>
          </w:p>
        </w:tc>
      </w:tr>
      <w:tr>
        <w:trPr>
          <w:trHeight w:val="24"/>
        </w:trPr>
        <w:tc>
          <w:tcPr>
            <w:tcW w:w="52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1"/>
        </w:trPr>
        <w:tc>
          <w:tcPr>
            <w:tcW w:w="5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w w:val="92"/>
              </w:rPr>
              <w:t>2025</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60" w:type="dxa"/>
            <w:vAlign w:val="bottom"/>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w w:val="92"/>
              </w:rPr>
              <w:t>2025</w:t>
            </w:r>
          </w:p>
        </w:tc>
      </w:tr>
      <w:tr>
        <w:trPr>
          <w:trHeight w:val="24"/>
        </w:trPr>
        <w:tc>
          <w:tcPr>
            <w:tcW w:w="52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1"/>
        </w:trPr>
        <w:tc>
          <w:tcPr>
            <w:tcW w:w="5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0" w:type="dxa"/>
            <w:vAlign w:val="bottom"/>
            <w:gridSpan w:val="3"/>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4"/>
        </w:trPr>
        <w:tc>
          <w:tcPr>
            <w:tcW w:w="5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92"/>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Traditional life</w:t>
            </w:r>
          </w:p>
        </w:tc>
        <w:tc>
          <w:tcPr>
            <w:tcW w:w="860" w:type="dxa"/>
            <w:vAlign w:val="bottom"/>
            <w:tcBorders>
              <w:bottom w:val="single" w:sz="8" w:color="CCEEFF"/>
            </w:tcBorders>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67</w:t>
            </w: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88"/>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Immediate annuities</w:t>
            </w:r>
          </w:p>
        </w:tc>
        <w:tc>
          <w:tcPr>
            <w:tcW w:w="860" w:type="dxa"/>
            <w:vAlign w:val="bottom"/>
          </w:tcPr>
          <w:p>
            <w:pPr>
              <w:spacing w:after="0"/>
              <w:rPr>
                <w:sz w:val="16"/>
                <w:szCs w:val="16"/>
                <w:color w:val="auto"/>
              </w:rPr>
            </w:pPr>
          </w:p>
        </w:tc>
        <w:tc>
          <w:tcPr>
            <w:tcW w:w="5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24"/>
        </w:trPr>
        <w:tc>
          <w:tcPr>
            <w:tcW w:w="5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12"/>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PRT</w:t>
            </w:r>
          </w:p>
        </w:tc>
        <w:tc>
          <w:tcPr>
            <w:tcW w:w="86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718</w:t>
            </w:r>
          </w:p>
        </w:tc>
        <w:tc>
          <w:tcPr>
            <w:tcW w:w="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1,279</w:t>
            </w: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w:t>
            </w:r>
          </w:p>
        </w:tc>
      </w:tr>
      <w:tr>
        <w:trPr>
          <w:trHeight w:val="205"/>
        </w:trPr>
        <w:tc>
          <w:tcPr>
            <w:tcW w:w="52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60" w:type="dxa"/>
            <w:vAlign w:val="bottom"/>
            <w:tcBorders>
              <w:top w:val="single" w:sz="8" w:color="auto"/>
              <w:bottom w:val="single" w:sz="8" w:color="auto"/>
            </w:tcBorders>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799</w:t>
            </w:r>
          </w:p>
        </w:tc>
        <w:tc>
          <w:tcPr>
            <w:tcW w:w="80" w:type="dxa"/>
            <w:vAlign w:val="bottom"/>
          </w:tcPr>
          <w:p>
            <w:pPr>
              <w:spacing w:after="0"/>
              <w:rPr>
                <w:sz w:val="17"/>
                <w:szCs w:val="17"/>
                <w:color w:val="auto"/>
              </w:rPr>
            </w:pPr>
          </w:p>
        </w:tc>
        <w:tc>
          <w:tcPr>
            <w:tcW w:w="580" w:type="dxa"/>
            <w:vAlign w:val="bottom"/>
            <w:tcBorders>
              <w:top w:val="single" w:sz="8" w:color="auto"/>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1,370</w:t>
            </w:r>
          </w:p>
        </w:tc>
        <w:tc>
          <w:tcPr>
            <w:tcW w:w="80" w:type="dxa"/>
            <w:vAlign w:val="bottom"/>
          </w:tcPr>
          <w:p>
            <w:pPr>
              <w:spacing w:after="0"/>
              <w:rPr>
                <w:sz w:val="17"/>
                <w:szCs w:val="17"/>
                <w:color w:val="auto"/>
              </w:rPr>
            </w:pPr>
          </w:p>
        </w:tc>
        <w:tc>
          <w:tcPr>
            <w:tcW w:w="460" w:type="dxa"/>
            <w:vAlign w:val="bottom"/>
            <w:tcBorders>
              <w:top w:val="single" w:sz="8" w:color="auto"/>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370</w:t>
            </w:r>
          </w:p>
        </w:tc>
        <w:tc>
          <w:tcPr>
            <w:tcW w:w="100" w:type="dxa"/>
            <w:vAlign w:val="bottom"/>
          </w:tcPr>
          <w:p>
            <w:pPr>
              <w:spacing w:after="0"/>
              <w:rPr>
                <w:sz w:val="17"/>
                <w:szCs w:val="17"/>
                <w:color w:val="auto"/>
              </w:rPr>
            </w:pPr>
          </w:p>
        </w:tc>
        <w:tc>
          <w:tcPr>
            <w:tcW w:w="560" w:type="dxa"/>
            <w:vAlign w:val="bottom"/>
            <w:tcBorders>
              <w:top w:val="single" w:sz="8" w:color="auto"/>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305</w:t>
            </w:r>
          </w:p>
        </w:tc>
      </w:tr>
      <w:tr>
        <w:trPr>
          <w:trHeight w:val="20"/>
        </w:trPr>
        <w:tc>
          <w:tcPr>
            <w:tcW w:w="5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ind w:left="200" w:hanging="194"/>
        <w:spacing w:after="0"/>
        <w:tabs>
          <w:tab w:leader="none" w:pos="2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Life insurance premiums and other fees on the unaudited Condensed Consolidated Statements of Earnings.</w:t>
      </w:r>
    </w:p>
    <w:p>
      <w:pPr>
        <w:spacing w:after="0" w:line="14" w:lineRule="exact"/>
        <w:rPr>
          <w:rFonts w:ascii="Times New Roman" w:cs="Times New Roman" w:eastAsia="Times New Roman" w:hAnsi="Times New Roman"/>
          <w:sz w:val="14"/>
          <w:szCs w:val="14"/>
          <w:color w:val="auto"/>
        </w:rPr>
      </w:pPr>
    </w:p>
    <w:p>
      <w:pPr>
        <w:ind w:left="200" w:hanging="194"/>
        <w:spacing w:after="0"/>
        <w:tabs>
          <w:tab w:leader="none" w:pos="2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Benefits and other changes in policy reserves on the unaudited Condensed Consolidated Statements of Earnings.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the weighted-average interest rate:</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20" w:type="dxa"/>
            <w:vAlign w:val="bottom"/>
          </w:tcPr>
          <w:p>
            <w:pPr>
              <w:spacing w:after="0"/>
              <w:rPr>
                <w:sz w:val="16"/>
                <w:szCs w:val="16"/>
                <w:color w:val="auto"/>
              </w:rPr>
            </w:pPr>
          </w:p>
        </w:tc>
        <w:tc>
          <w:tcPr>
            <w:tcW w:w="156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Traditional life</w:t>
            </w:r>
          </w:p>
        </w:tc>
        <w:tc>
          <w:tcPr>
            <w:tcW w:w="15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7720" w:type="dxa"/>
            <w:vAlign w:val="bottom"/>
            <w:vMerge w:val="continue"/>
          </w:tcPr>
          <w:p>
            <w:pPr>
              <w:spacing w:after="0"/>
              <w:rPr>
                <w:sz w:val="14"/>
                <w:szCs w:val="14"/>
                <w:color w:val="auto"/>
              </w:rPr>
            </w:pPr>
          </w:p>
        </w:tc>
        <w:tc>
          <w:tcPr>
            <w:tcW w:w="1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77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77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Interest accretion rate</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77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Current discount rate</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6.10 %</w:t>
            </w:r>
          </w:p>
        </w:tc>
        <w:tc>
          <w:tcPr>
            <w:tcW w:w="100" w:type="dxa"/>
            <w:vAlign w:val="bottom"/>
          </w:tcPr>
          <w:p>
            <w:pPr>
              <w:spacing w:after="0"/>
              <w:rPr>
                <w:sz w:val="16"/>
                <w:szCs w:val="16"/>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4.77 %</w:t>
            </w:r>
          </w:p>
        </w:tc>
        <w:tc>
          <w:tcPr>
            <w:tcW w:w="0" w:type="dxa"/>
            <w:vAlign w:val="bottom"/>
          </w:tcPr>
          <w:p>
            <w:pPr>
              <w:spacing w:after="0"/>
              <w:rPr>
                <w:sz w:val="1"/>
                <w:szCs w:val="1"/>
                <w:color w:val="auto"/>
              </w:rPr>
            </w:pPr>
          </w:p>
        </w:tc>
      </w:tr>
      <w:tr>
        <w:trPr>
          <w:trHeight w:val="24"/>
        </w:trPr>
        <w:tc>
          <w:tcPr>
            <w:tcW w:w="77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Immediate annuities</w:t>
            </w:r>
          </w:p>
        </w:tc>
        <w:tc>
          <w:tcPr>
            <w:tcW w:w="15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7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Interest accretion rate</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7720" w:type="dxa"/>
            <w:vAlign w:val="bottom"/>
          </w:tcPr>
          <w:p>
            <w:pPr>
              <w:spacing w:after="0"/>
              <w:rPr>
                <w:sz w:val="2"/>
                <w:szCs w:val="2"/>
                <w:color w:val="auto"/>
              </w:rPr>
            </w:pPr>
          </w:p>
        </w:tc>
        <w:tc>
          <w:tcPr>
            <w:tcW w:w="17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77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Current discount rate</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6.24 %</w:t>
            </w:r>
          </w:p>
        </w:tc>
        <w:tc>
          <w:tcPr>
            <w:tcW w:w="100" w:type="dxa"/>
            <w:vAlign w:val="bottom"/>
            <w:tcBorders>
              <w:bottom w:val="single" w:sz="8" w:color="CCEEFF"/>
            </w:tcBorders>
            <w:shd w:val="clear" w:color="auto" w:fill="CCEEFF"/>
          </w:tcPr>
          <w:p>
            <w:pPr>
              <w:spacing w:after="0"/>
              <w:rPr>
                <w:sz w:val="16"/>
                <w:szCs w:val="16"/>
                <w:color w:val="auto"/>
              </w:rPr>
            </w:pP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5.29 %</w:t>
            </w:r>
          </w:p>
        </w:tc>
        <w:tc>
          <w:tcPr>
            <w:tcW w:w="0" w:type="dxa"/>
            <w:vAlign w:val="bottom"/>
          </w:tcPr>
          <w:p>
            <w:pPr>
              <w:spacing w:after="0"/>
              <w:rPr>
                <w:sz w:val="1"/>
                <w:szCs w:val="1"/>
                <w:color w:val="auto"/>
              </w:rPr>
            </w:pPr>
          </w:p>
        </w:tc>
      </w:tr>
      <w:tr>
        <w:trPr>
          <w:trHeight w:val="188"/>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PRT</w:t>
            </w:r>
          </w:p>
        </w:tc>
        <w:tc>
          <w:tcPr>
            <w:tcW w:w="1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7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77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Interest accretion rate</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77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Current discount rate</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6.32 %</w:t>
            </w:r>
          </w:p>
        </w:tc>
        <w:tc>
          <w:tcPr>
            <w:tcW w:w="100" w:type="dxa"/>
            <w:vAlign w:val="bottom"/>
          </w:tcPr>
          <w:p>
            <w:pPr>
              <w:spacing w:after="0"/>
              <w:rPr>
                <w:sz w:val="16"/>
                <w:szCs w:val="16"/>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4.98 %</w:t>
            </w:r>
          </w:p>
        </w:tc>
        <w:tc>
          <w:tcPr>
            <w:tcW w:w="0" w:type="dxa"/>
            <w:vAlign w:val="bottom"/>
          </w:tcPr>
          <w:p>
            <w:pPr>
              <w:spacing w:after="0"/>
              <w:rPr>
                <w:sz w:val="1"/>
                <w:szCs w:val="1"/>
                <w:color w:val="auto"/>
              </w:rPr>
            </w:pPr>
          </w:p>
        </w:tc>
      </w:tr>
    </w:tbl>
    <w:p>
      <w:pPr>
        <w:spacing w:after="0" w:line="2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tables summarize the actual experience and expected experience for mortality and lapses of the FPB:</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780" w:type="dxa"/>
            <w:vAlign w:val="bottom"/>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2780" w:type="dxa"/>
            <w:vAlign w:val="bottom"/>
          </w:tcPr>
          <w:p>
            <w:pPr>
              <w:spacing w:after="0"/>
              <w:rPr>
                <w:sz w:val="15"/>
                <w:szCs w:val="15"/>
                <w:color w:val="auto"/>
              </w:rPr>
            </w:pPr>
          </w:p>
        </w:tc>
        <w:tc>
          <w:tcPr>
            <w:tcW w:w="14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Traditional life</w:t>
            </w: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Immediate annuities</w:t>
            </w:r>
          </w:p>
        </w:tc>
        <w:tc>
          <w:tcPr>
            <w:tcW w:w="1400" w:type="dxa"/>
            <w:vAlign w:val="bottom"/>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PRT</w:t>
            </w:r>
          </w:p>
        </w:tc>
        <w:tc>
          <w:tcPr>
            <w:tcW w:w="14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Traditional life</w:t>
            </w: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Immediate annuities</w:t>
            </w:r>
          </w:p>
        </w:tc>
        <w:tc>
          <w:tcPr>
            <w:tcW w:w="1300" w:type="dxa"/>
            <w:vAlign w:val="bottom"/>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PRT</w:t>
            </w:r>
          </w:p>
        </w:tc>
        <w:tc>
          <w:tcPr>
            <w:tcW w:w="0" w:type="dxa"/>
            <w:vAlign w:val="bottom"/>
          </w:tcPr>
          <w:p>
            <w:pPr>
              <w:spacing w:after="0"/>
              <w:rPr>
                <w:sz w:val="1"/>
                <w:szCs w:val="1"/>
                <w:color w:val="auto"/>
              </w:rPr>
            </w:pPr>
          </w:p>
        </w:tc>
      </w:tr>
      <w:tr>
        <w:trPr>
          <w:trHeight w:val="24"/>
        </w:trPr>
        <w:tc>
          <w:tcPr>
            <w:tcW w:w="2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Mortality</w:t>
            </w: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780" w:type="dxa"/>
            <w:vAlign w:val="bottom"/>
            <w:vMerge w:val="continue"/>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27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7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Actual experience</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10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8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2.9 %</w:t>
            </w:r>
          </w:p>
        </w:tc>
        <w:tc>
          <w:tcPr>
            <w:tcW w:w="10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10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8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2.6 %</w:t>
            </w:r>
          </w:p>
        </w:tc>
        <w:tc>
          <w:tcPr>
            <w:tcW w:w="0" w:type="dxa"/>
            <w:vAlign w:val="bottom"/>
          </w:tcPr>
          <w:p>
            <w:pPr>
              <w:spacing w:after="0"/>
              <w:rPr>
                <w:sz w:val="1"/>
                <w:szCs w:val="1"/>
                <w:color w:val="auto"/>
              </w:rPr>
            </w:pPr>
          </w:p>
        </w:tc>
      </w:tr>
      <w:tr>
        <w:trPr>
          <w:trHeight w:val="188"/>
        </w:trPr>
        <w:tc>
          <w:tcPr>
            <w:tcW w:w="2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Expected experience</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1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2.5 %</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1.6 %</w:t>
            </w:r>
          </w:p>
        </w:tc>
        <w:tc>
          <w:tcPr>
            <w:tcW w:w="1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2.5 %</w:t>
            </w:r>
          </w:p>
        </w:tc>
        <w:tc>
          <w:tcPr>
            <w:tcW w:w="0" w:type="dxa"/>
            <w:vAlign w:val="bottom"/>
          </w:tcPr>
          <w:p>
            <w:pPr>
              <w:spacing w:after="0"/>
              <w:rPr>
                <w:sz w:val="1"/>
                <w:szCs w:val="1"/>
                <w:color w:val="auto"/>
              </w:rPr>
            </w:pPr>
          </w:p>
        </w:tc>
      </w:tr>
      <w:tr>
        <w:trPr>
          <w:trHeight w:val="24"/>
        </w:trPr>
        <w:tc>
          <w:tcPr>
            <w:tcW w:w="27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Lapses</w:t>
            </w:r>
          </w:p>
        </w:tc>
        <w:tc>
          <w:tcPr>
            <w:tcW w:w="13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Actual experience</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0.1 %</w:t>
            </w:r>
          </w:p>
        </w:tc>
        <w:tc>
          <w:tcPr>
            <w:tcW w:w="100" w:type="dxa"/>
            <w:vAlign w:val="bottom"/>
          </w:tcPr>
          <w:p>
            <w:pPr>
              <w:spacing w:after="0"/>
              <w:rPr>
                <w:sz w:val="16"/>
                <w:szCs w:val="16"/>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4"/>
        </w:trPr>
        <w:tc>
          <w:tcPr>
            <w:tcW w:w="27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Expected experience</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0.6 %</w:t>
            </w:r>
          </w:p>
        </w:tc>
        <w:tc>
          <w:tcPr>
            <w:tcW w:w="1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0.6 %</w:t>
            </w:r>
          </w:p>
        </w:tc>
        <w:tc>
          <w:tcPr>
            <w:tcW w:w="1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4"/>
        </w:trPr>
        <w:tc>
          <w:tcPr>
            <w:tcW w:w="27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provides additional information for periods in which a cohort has a net premium ratio ("NPR") greater than 100% (and therefore capped at 100%) (dollars in millions):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4"/>
        </w:trPr>
        <w:tc>
          <w:tcPr>
            <w:tcW w:w="36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3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Cohort X</w:t>
            </w:r>
          </w:p>
        </w:tc>
        <w:tc>
          <w:tcPr>
            <w:tcW w:w="2660" w:type="dxa"/>
            <w:vAlign w:val="bottom"/>
            <w:gridSpan w:val="2"/>
          </w:tcPr>
          <w:p>
            <w:pPr>
              <w:ind w:left="9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60" w:type="dxa"/>
            <w:vAlign w:val="bottom"/>
          </w:tcPr>
          <w:p>
            <w:pPr>
              <w:spacing w:after="0"/>
              <w:rPr>
                <w:sz w:val="15"/>
                <w:szCs w:val="15"/>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Cohort X</w:t>
            </w:r>
          </w:p>
        </w:tc>
        <w:tc>
          <w:tcPr>
            <w:tcW w:w="2560" w:type="dxa"/>
            <w:vAlign w:val="bottom"/>
          </w:tcPr>
          <w:p>
            <w:pPr>
              <w:ind w:left="9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24"/>
        </w:trPr>
        <w:tc>
          <w:tcPr>
            <w:tcW w:w="36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3"/>
        </w:trPr>
        <w:tc>
          <w:tcPr>
            <w:tcW w:w="36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NPR before capping</w:t>
            </w:r>
          </w:p>
        </w:tc>
        <w:tc>
          <w:tcPr>
            <w:tcW w:w="18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102 %</w:t>
            </w:r>
          </w:p>
        </w:tc>
        <w:tc>
          <w:tcPr>
            <w:tcW w:w="100" w:type="dxa"/>
            <w:vAlign w:val="bottom"/>
            <w:shd w:val="clear" w:color="auto" w:fill="CCEEFF"/>
          </w:tcPr>
          <w:p>
            <w:pPr>
              <w:spacing w:after="0"/>
              <w:rPr>
                <w:sz w:val="12"/>
                <w:szCs w:val="12"/>
                <w:color w:val="auto"/>
              </w:rPr>
            </w:pPr>
          </w:p>
        </w:tc>
        <w:tc>
          <w:tcPr>
            <w:tcW w:w="2660" w:type="dxa"/>
            <w:vAlign w:val="bottom"/>
            <w:gridSpan w:val="2"/>
            <w:shd w:val="clear" w:color="auto" w:fill="CCEEFF"/>
          </w:tcPr>
          <w:p>
            <w:pPr>
              <w:ind w:left="20"/>
              <w:spacing w:after="0" w:line="143" w:lineRule="exact"/>
              <w:rPr>
                <w:sz w:val="20"/>
                <w:szCs w:val="20"/>
                <w:color w:val="auto"/>
              </w:rPr>
            </w:pPr>
            <w:r>
              <w:rPr>
                <w:rFonts w:ascii="Times New Roman" w:cs="Times New Roman" w:eastAsia="Times New Roman" w:hAnsi="Times New Roman"/>
                <w:sz w:val="14"/>
                <w:szCs w:val="14"/>
                <w:color w:val="auto"/>
              </w:rPr>
              <w:t>Term with return of premium Non-NY</w:t>
            </w:r>
          </w:p>
        </w:tc>
        <w:tc>
          <w:tcPr>
            <w:tcW w:w="16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104 %</w:t>
            </w:r>
          </w:p>
        </w:tc>
        <w:tc>
          <w:tcPr>
            <w:tcW w:w="80" w:type="dxa"/>
            <w:vAlign w:val="bottom"/>
            <w:shd w:val="clear" w:color="auto" w:fill="CCEEFF"/>
          </w:tcPr>
          <w:p>
            <w:pPr>
              <w:spacing w:after="0"/>
              <w:rPr>
                <w:sz w:val="12"/>
                <w:szCs w:val="12"/>
                <w:color w:val="auto"/>
              </w:rPr>
            </w:pPr>
          </w:p>
        </w:tc>
        <w:tc>
          <w:tcPr>
            <w:tcW w:w="256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4"/>
                <w:szCs w:val="14"/>
                <w:color w:val="auto"/>
              </w:rPr>
              <w:t>Term with return of premium Non-NY</w:t>
            </w:r>
          </w:p>
        </w:tc>
        <w:tc>
          <w:tcPr>
            <w:tcW w:w="0" w:type="dxa"/>
            <w:vAlign w:val="bottom"/>
          </w:tcPr>
          <w:p>
            <w:pPr>
              <w:spacing w:after="0"/>
              <w:rPr>
                <w:sz w:val="1"/>
                <w:szCs w:val="1"/>
                <w:color w:val="auto"/>
              </w:rPr>
            </w:pPr>
          </w:p>
        </w:tc>
      </w:tr>
      <w:tr>
        <w:trPr>
          <w:trHeight w:val="195"/>
        </w:trPr>
        <w:tc>
          <w:tcPr>
            <w:tcW w:w="364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Cohort</w:t>
            </w:r>
          </w:p>
        </w:tc>
        <w:tc>
          <w:tcPr>
            <w:tcW w:w="16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Cohort</w:t>
            </w:r>
          </w:p>
        </w:tc>
        <w:tc>
          <w:tcPr>
            <w:tcW w:w="0" w:type="dxa"/>
            <w:vAlign w:val="bottom"/>
          </w:tcPr>
          <w:p>
            <w:pPr>
              <w:spacing w:after="0"/>
              <w:rPr>
                <w:sz w:val="1"/>
                <w:szCs w:val="1"/>
                <w:color w:val="auto"/>
              </w:rPr>
            </w:pPr>
          </w:p>
        </w:tc>
      </w:tr>
      <w:tr>
        <w:trPr>
          <w:trHeight w:val="150"/>
        </w:trPr>
        <w:tc>
          <w:tcPr>
            <w:tcW w:w="3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Reserves before NPR capping</w:t>
            </w:r>
          </w:p>
        </w:tc>
        <w:tc>
          <w:tcPr>
            <w:tcW w:w="18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1,027</w:t>
            </w:r>
          </w:p>
        </w:tc>
        <w:tc>
          <w:tcPr>
            <w:tcW w:w="100" w:type="dxa"/>
            <w:vAlign w:val="bottom"/>
          </w:tcPr>
          <w:p>
            <w:pPr>
              <w:spacing w:after="0"/>
              <w:rPr>
                <w:sz w:val="13"/>
                <w:szCs w:val="13"/>
                <w:color w:val="auto"/>
              </w:rPr>
            </w:pPr>
          </w:p>
        </w:tc>
        <w:tc>
          <w:tcPr>
            <w:tcW w:w="2660" w:type="dxa"/>
            <w:vAlign w:val="bottom"/>
            <w:gridSpan w:val="2"/>
          </w:tcPr>
          <w:p>
            <w:pPr>
              <w:ind w:left="20"/>
              <w:spacing w:after="0" w:line="150" w:lineRule="exact"/>
              <w:rPr>
                <w:sz w:val="20"/>
                <w:szCs w:val="20"/>
                <w:color w:val="auto"/>
              </w:rPr>
            </w:pPr>
            <w:r>
              <w:rPr>
                <w:rFonts w:ascii="Times New Roman" w:cs="Times New Roman" w:eastAsia="Times New Roman" w:hAnsi="Times New Roman"/>
                <w:sz w:val="14"/>
                <w:szCs w:val="14"/>
                <w:color w:val="auto"/>
              </w:rPr>
              <w:t>Term with return of premium Non-NY</w:t>
            </w:r>
          </w:p>
        </w:tc>
        <w:tc>
          <w:tcPr>
            <w:tcW w:w="16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1,145</w:t>
            </w:r>
          </w:p>
        </w:tc>
        <w:tc>
          <w:tcPr>
            <w:tcW w:w="80" w:type="dxa"/>
            <w:vAlign w:val="bottom"/>
          </w:tcPr>
          <w:p>
            <w:pPr>
              <w:spacing w:after="0"/>
              <w:rPr>
                <w:sz w:val="13"/>
                <w:szCs w:val="13"/>
                <w:color w:val="auto"/>
              </w:rPr>
            </w:pPr>
          </w:p>
        </w:tc>
        <w:tc>
          <w:tcPr>
            <w:tcW w:w="2560" w:type="dxa"/>
            <w:vAlign w:val="bottom"/>
          </w:tcPr>
          <w:p>
            <w:pPr>
              <w:ind w:left="20"/>
              <w:spacing w:after="0" w:line="150" w:lineRule="exact"/>
              <w:rPr>
                <w:sz w:val="20"/>
                <w:szCs w:val="20"/>
                <w:color w:val="auto"/>
              </w:rPr>
            </w:pPr>
            <w:r>
              <w:rPr>
                <w:rFonts w:ascii="Times New Roman" w:cs="Times New Roman" w:eastAsia="Times New Roman" w:hAnsi="Times New Roman"/>
                <w:sz w:val="14"/>
                <w:szCs w:val="14"/>
                <w:color w:val="auto"/>
              </w:rPr>
              <w:t>Term with return of premium Non-NY</w:t>
            </w:r>
          </w:p>
        </w:tc>
        <w:tc>
          <w:tcPr>
            <w:tcW w:w="0" w:type="dxa"/>
            <w:vAlign w:val="bottom"/>
          </w:tcPr>
          <w:p>
            <w:pPr>
              <w:spacing w:after="0"/>
              <w:rPr>
                <w:sz w:val="1"/>
                <w:szCs w:val="1"/>
                <w:color w:val="auto"/>
              </w:rPr>
            </w:pPr>
          </w:p>
        </w:tc>
      </w:tr>
      <w:tr>
        <w:trPr>
          <w:trHeight w:val="189"/>
        </w:trPr>
        <w:tc>
          <w:tcPr>
            <w:tcW w:w="3640" w:type="dxa"/>
            <w:vAlign w:val="bottom"/>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Cohort</w:t>
            </w:r>
          </w:p>
        </w:tc>
        <w:tc>
          <w:tcPr>
            <w:tcW w:w="16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Cohort</w:t>
            </w:r>
          </w:p>
        </w:tc>
        <w:tc>
          <w:tcPr>
            <w:tcW w:w="0" w:type="dxa"/>
            <w:vAlign w:val="bottom"/>
          </w:tcPr>
          <w:p>
            <w:pPr>
              <w:spacing w:after="0"/>
              <w:rPr>
                <w:sz w:val="1"/>
                <w:szCs w:val="1"/>
                <w:color w:val="auto"/>
              </w:rPr>
            </w:pPr>
          </w:p>
        </w:tc>
      </w:tr>
      <w:tr>
        <w:trPr>
          <w:trHeight w:val="155"/>
        </w:trPr>
        <w:tc>
          <w:tcPr>
            <w:tcW w:w="36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Reserves after NPR capping</w:t>
            </w:r>
          </w:p>
        </w:tc>
        <w:tc>
          <w:tcPr>
            <w:tcW w:w="18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1,032</w:t>
            </w:r>
          </w:p>
        </w:tc>
        <w:tc>
          <w:tcPr>
            <w:tcW w:w="100" w:type="dxa"/>
            <w:vAlign w:val="bottom"/>
            <w:shd w:val="clear" w:color="auto" w:fill="CCEEFF"/>
          </w:tcPr>
          <w:p>
            <w:pPr>
              <w:spacing w:after="0"/>
              <w:rPr>
                <w:sz w:val="13"/>
                <w:szCs w:val="13"/>
                <w:color w:val="auto"/>
              </w:rPr>
            </w:pPr>
          </w:p>
        </w:tc>
        <w:tc>
          <w:tcPr>
            <w:tcW w:w="2660" w:type="dxa"/>
            <w:vAlign w:val="bottom"/>
            <w:gridSpan w:val="2"/>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Term with return of premium Non-NY</w:t>
            </w:r>
          </w:p>
        </w:tc>
        <w:tc>
          <w:tcPr>
            <w:tcW w:w="16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1,156</w:t>
            </w:r>
          </w:p>
        </w:tc>
        <w:tc>
          <w:tcPr>
            <w:tcW w:w="80" w:type="dxa"/>
            <w:vAlign w:val="bottom"/>
            <w:shd w:val="clear" w:color="auto" w:fill="CCEEFF"/>
          </w:tcPr>
          <w:p>
            <w:pPr>
              <w:spacing w:after="0"/>
              <w:rPr>
                <w:sz w:val="13"/>
                <w:szCs w:val="13"/>
                <w:color w:val="auto"/>
              </w:rPr>
            </w:pPr>
          </w:p>
        </w:tc>
        <w:tc>
          <w:tcPr>
            <w:tcW w:w="2560" w:type="dxa"/>
            <w:vAlign w:val="bottom"/>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Term with return of premium Non-NY</w:t>
            </w:r>
          </w:p>
        </w:tc>
        <w:tc>
          <w:tcPr>
            <w:tcW w:w="0" w:type="dxa"/>
            <w:vAlign w:val="bottom"/>
          </w:tcPr>
          <w:p>
            <w:pPr>
              <w:spacing w:after="0"/>
              <w:rPr>
                <w:sz w:val="1"/>
                <w:szCs w:val="1"/>
                <w:color w:val="auto"/>
              </w:rPr>
            </w:pPr>
          </w:p>
        </w:tc>
      </w:tr>
      <w:tr>
        <w:trPr>
          <w:trHeight w:val="195"/>
        </w:trPr>
        <w:tc>
          <w:tcPr>
            <w:tcW w:w="364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Cohort</w:t>
            </w:r>
          </w:p>
        </w:tc>
        <w:tc>
          <w:tcPr>
            <w:tcW w:w="16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Cohort</w:t>
            </w:r>
          </w:p>
        </w:tc>
        <w:tc>
          <w:tcPr>
            <w:tcW w:w="0" w:type="dxa"/>
            <w:vAlign w:val="bottom"/>
          </w:tcPr>
          <w:p>
            <w:pPr>
              <w:spacing w:after="0"/>
              <w:rPr>
                <w:sz w:val="1"/>
                <w:szCs w:val="1"/>
                <w:color w:val="auto"/>
              </w:rPr>
            </w:pPr>
          </w:p>
        </w:tc>
      </w:tr>
      <w:tr>
        <w:trPr>
          <w:trHeight w:val="150"/>
        </w:trPr>
        <w:tc>
          <w:tcPr>
            <w:tcW w:w="3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Loss Expense</w:t>
            </w:r>
          </w:p>
        </w:tc>
        <w:tc>
          <w:tcPr>
            <w:tcW w:w="180" w:type="dxa"/>
            <w:vAlign w:val="bottom"/>
          </w:tcPr>
          <w:p>
            <w:pPr>
              <w:spacing w:after="0"/>
              <w:rPr>
                <w:sz w:val="13"/>
                <w:szCs w:val="13"/>
                <w:color w:val="auto"/>
              </w:rPr>
            </w:pPr>
          </w:p>
        </w:tc>
        <w:tc>
          <w:tcPr>
            <w:tcW w:w="92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3"/>
                <w:szCs w:val="13"/>
                <w:color w:val="auto"/>
              </w:rPr>
            </w:pPr>
          </w:p>
        </w:tc>
        <w:tc>
          <w:tcPr>
            <w:tcW w:w="2660" w:type="dxa"/>
            <w:vAlign w:val="bottom"/>
            <w:gridSpan w:val="2"/>
          </w:tcPr>
          <w:p>
            <w:pPr>
              <w:ind w:left="20"/>
              <w:spacing w:after="0" w:line="150" w:lineRule="exact"/>
              <w:rPr>
                <w:sz w:val="20"/>
                <w:szCs w:val="20"/>
                <w:color w:val="auto"/>
              </w:rPr>
            </w:pPr>
            <w:r>
              <w:rPr>
                <w:rFonts w:ascii="Times New Roman" w:cs="Times New Roman" w:eastAsia="Times New Roman" w:hAnsi="Times New Roman"/>
                <w:sz w:val="14"/>
                <w:szCs w:val="14"/>
                <w:color w:val="auto"/>
              </w:rPr>
              <w:t>Term with return of premium Non-NY</w:t>
            </w:r>
          </w:p>
        </w:tc>
        <w:tc>
          <w:tcPr>
            <w:tcW w:w="160" w:type="dxa"/>
            <w:vAlign w:val="bottom"/>
          </w:tcPr>
          <w:p>
            <w:pPr>
              <w:spacing w:after="0"/>
              <w:rPr>
                <w:sz w:val="13"/>
                <w:szCs w:val="13"/>
                <w:color w:val="auto"/>
              </w:rPr>
            </w:pPr>
          </w:p>
        </w:tc>
        <w:tc>
          <w:tcPr>
            <w:tcW w:w="94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3"/>
                <w:szCs w:val="13"/>
                <w:color w:val="auto"/>
              </w:rPr>
            </w:pPr>
          </w:p>
        </w:tc>
        <w:tc>
          <w:tcPr>
            <w:tcW w:w="2560" w:type="dxa"/>
            <w:vAlign w:val="bottom"/>
          </w:tcPr>
          <w:p>
            <w:pPr>
              <w:ind w:left="20"/>
              <w:spacing w:after="0" w:line="150" w:lineRule="exact"/>
              <w:rPr>
                <w:sz w:val="20"/>
                <w:szCs w:val="20"/>
                <w:color w:val="auto"/>
              </w:rPr>
            </w:pPr>
            <w:r>
              <w:rPr>
                <w:rFonts w:ascii="Times New Roman" w:cs="Times New Roman" w:eastAsia="Times New Roman" w:hAnsi="Times New Roman"/>
                <w:sz w:val="14"/>
                <w:szCs w:val="14"/>
                <w:color w:val="auto"/>
              </w:rPr>
              <w:t>Term with return of premium Non-NY</w:t>
            </w:r>
          </w:p>
        </w:tc>
        <w:tc>
          <w:tcPr>
            <w:tcW w:w="0" w:type="dxa"/>
            <w:vAlign w:val="bottom"/>
          </w:tcPr>
          <w:p>
            <w:pPr>
              <w:spacing w:after="0"/>
              <w:rPr>
                <w:sz w:val="1"/>
                <w:szCs w:val="1"/>
                <w:color w:val="auto"/>
              </w:rPr>
            </w:pPr>
          </w:p>
        </w:tc>
      </w:tr>
      <w:tr>
        <w:trPr>
          <w:trHeight w:val="184"/>
        </w:trPr>
        <w:tc>
          <w:tcPr>
            <w:tcW w:w="36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Cohort</w:t>
            </w:r>
          </w:p>
        </w:tc>
        <w:tc>
          <w:tcPr>
            <w:tcW w:w="16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Cohort</w:t>
            </w:r>
          </w:p>
        </w:tc>
        <w:tc>
          <w:tcPr>
            <w:tcW w:w="0" w:type="dxa"/>
            <w:vAlign w:val="bottom"/>
          </w:tcPr>
          <w:p>
            <w:pPr>
              <w:spacing w:after="0"/>
              <w:rPr>
                <w:sz w:val="1"/>
                <w:szCs w:val="1"/>
                <w:color w:val="auto"/>
              </w:rPr>
            </w:pPr>
          </w:p>
        </w:tc>
      </w:tr>
    </w:tbl>
    <w:p>
      <w:pPr>
        <w:spacing w:after="0" w:line="191"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8"/>
          <w:szCs w:val="18"/>
          <w:color w:val="auto"/>
        </w:rPr>
        <w:t>F&amp;G made changes to assumptions during the nine months ended September 30, 2026 and the year ended December 31, 2025. Significant assumption inputs used in the calculation of their FPB are described below. Refer to the tables above for further details on changes to their FPB.</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Traditional life</w:t>
      </w:r>
    </w:p>
    <w:p>
      <w:pPr>
        <w:spacing w:after="0" w:line="100" w:lineRule="exact"/>
        <w:rPr>
          <w:sz w:val="20"/>
          <w:szCs w:val="20"/>
          <w:color w:val="auto"/>
        </w:rPr>
      </w:pPr>
    </w:p>
    <w:p>
      <w:pPr>
        <w:jc w:val="both"/>
        <w:ind w:firstLine="318"/>
        <w:spacing w:after="0" w:line="243" w:lineRule="auto"/>
        <w:rPr>
          <w:sz w:val="20"/>
          <w:szCs w:val="20"/>
          <w:color w:val="auto"/>
        </w:rPr>
      </w:pPr>
      <w:r>
        <w:rPr>
          <w:rFonts w:ascii="Times New Roman" w:cs="Times New Roman" w:eastAsia="Times New Roman" w:hAnsi="Times New Roman"/>
          <w:sz w:val="18"/>
          <w:szCs w:val="18"/>
          <w:color w:val="auto"/>
        </w:rPr>
        <w:t>The traditional life line of business primarily consists of policies that were sold prior to 2010. As this line of business continues to age, benefit payments made from these contracts will be the primary driver of the emergence of reserves, decreasing the reserve balance.</w:t>
      </w:r>
    </w:p>
    <w:p>
      <w:pPr>
        <w:spacing w:after="0" w:line="8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Significant assumption inputs to the calculation of the FPB for traditional life include mortality, lapses (including lapses due to nonpayment of premium and surrenders for cash surrender value), and discount rates (both accretion and current). F&amp;G reviews the cash flow assumptions annually, typically in the third quarter. In 2026, F&amp;G updated the assumption for mortality. The update resulted in a decrease to the FPB liability and the associated reinsurance recoverable. In 2025, F&amp;G updated the assumptions for surrenders and lapses. These assumption updates resulted in a decrease to the FPB liability for the year ended December 31, 2025. Updates to these assumptions for both periods brought F&amp;G more in line with internal and overall industry experience since the prior assumption updates.</w:t>
      </w:r>
    </w:p>
    <w:p>
      <w:pPr>
        <w:spacing w:after="0" w:line="7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Market data that underlies current discount rates was updated in 2026 from that utilized in 2025 resulting in increased discount rates that drove a decrease to the FPB.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Immediate annuities (life contingent)</w:t>
      </w:r>
    </w:p>
    <w:p>
      <w:pPr>
        <w:spacing w:after="0" w:line="100" w:lineRule="exact"/>
        <w:rPr>
          <w:sz w:val="20"/>
          <w:szCs w:val="20"/>
          <w:color w:val="auto"/>
        </w:rPr>
      </w:pPr>
    </w:p>
    <w:p>
      <w:pPr>
        <w:jc w:val="both"/>
        <w:ind w:firstLine="318"/>
        <w:spacing w:after="0" w:line="239" w:lineRule="auto"/>
        <w:rPr>
          <w:sz w:val="20"/>
          <w:szCs w:val="20"/>
          <w:color w:val="auto"/>
        </w:rPr>
      </w:pPr>
      <w:r>
        <w:rPr>
          <w:rFonts w:ascii="Times New Roman" w:cs="Times New Roman" w:eastAsia="Times New Roman" w:hAnsi="Times New Roman"/>
          <w:sz w:val="18"/>
          <w:szCs w:val="18"/>
          <w:color w:val="auto"/>
        </w:rPr>
        <w:t>Significant assumption inputs to the calculation of the FPB for immediate annuities (life contingent) include mortality and discount rates (both accretion and current). F&amp;G reviews the cash flow assumptions annually, typically in the third quarter. In 2025 and 2026, F&amp;G undertook a review of the significant cash flow assumptions and did not make any changes to mortality. Market data that underlies current discount rates was updated in 2026 from that utilized in 2025 resulting in increased discount rates that drove a decrease to the FPB.</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PRT (life contingent)</w:t>
      </w:r>
    </w:p>
    <w:p>
      <w:pPr>
        <w:spacing w:after="0" w:line="113"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8"/>
          <w:szCs w:val="18"/>
          <w:color w:val="auto"/>
        </w:rPr>
        <w:t>The PRT line of business has issued a significant volume of contracts for 2026 and 2025, which is the primary impact in increasing the reserve balance in each of those periods.</w:t>
      </w:r>
    </w:p>
    <w:p>
      <w:pPr>
        <w:spacing w:after="0" w:line="5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Significant assumption inputs to the calculation of the FPB for PRT (life contingent) include mortality and discount rates (both accretion and current). Additionally, for PRT contracts with deferred payment streams, retirement age and elected payment form are significant assumptions. F&amp;G reviews the cash flow assumptions annually, typically in the third quarter. In 2025 and 2026, F&amp;G undertook a review of the significant cash flow assumptions and did not make any changes to any significant assumptions. Market data that underlies current discount rates was updated in 2026 from that utilized in 2025 resulting in increased discount rates that drove a decrease to the FPB.</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Premium deficiency testing</w:t>
      </w:r>
    </w:p>
    <w:p>
      <w:pPr>
        <w:spacing w:after="0" w:line="113"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F&amp;G conducts annual premium deficiency testing for its long-duration contracts except for the FPB for nonparticipating traditional and limited-payment contracts. F&amp;G also conducts annual premium deficiency testing for the VOBA of all long-duration contracts. Premium deficiency testing is performed by reviewing assumptions used to calculate the insurance liabilities and determining whether the sum of the existing contract liabilities and the present value of future gross premiums is sufficient to cover the present value of future benefits to be paid to or on behalf of policyholders and settlement costs and recover unamortized present value of future profits. Anticipated investment income, based on F&amp;G’s experience, is considered when performing premium deficiency testing for long-duration contracts. F&amp;G began accruing a liability in the fourth quarter of 2024 that increases the amortization of traditional life VOBA. The liability balance was immaterial at both September 30, 2026 and December 31, 2025.</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3"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The statements contained in this Quarterly Report on Form 10-Q that are not purely historical are forward-looking statements within the meaning of Section 27A of the Securities Act of 1933, as amended, and Section 21E of the Securities Exchange Act of 1934, as amended, including statements regarding our expectations, hopes, intentions or strategies regarding the future. All forward-looking statements included in this document are based on information available to us on the date hereof, and we assume no obligation to update any such forward-looking statements. It is important to note that our actual results could vary materially from those forward-looking statements contained herein due to many factors, including, but not limited to: the potential impact of the F&amp;G Distribution on relationships, including employees, suppliers, customers and competitors; changes in general economic, business, and political conditions, including changes in the financial markets and geopolitical uncertainties associated with international conflicts; consumer spending; government spending; government shutdowns; the volatility and strength of the capital markets; investor and consumer confidence; foreign currency exchange rates; commodity prices; inflation levels; changes in trade policy; tariffs and trade sanctions on goods; trade wars; supply chain disruptions; weakness or adverse changes in the level of real estate activity, which may be caused by, among other things, high or increasing interest rates, a limited supply of mortgage funding, or a weak U.S. economy; our potential inability to find suitable acquisition candidates, acquisitions in lines of business that will not necessarily be limited to our traditional areas of focus, or difficulties in consummating and integrating acquisitions; our dependence on distributions from our title insurance underwriters as our main source of cash flow; significant competition that our operating subsidiaries face; compliance with extensive government regulation of our operating subsidiaries; and other risks detailed in the “Statement Regarding Forward-Looking Information,” “Risk Factors” and other sections of our Annual Report on Form 10-K (our "Annual Report") for the year ended December 31, 2025 and other filings with the Securities and Exchange Commission ("SEC").</w:t>
      </w:r>
    </w:p>
    <w:p>
      <w:pPr>
        <w:spacing w:after="0" w:line="76"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8"/>
          <w:szCs w:val="18"/>
          <w:color w:val="auto"/>
        </w:rPr>
        <w:t>Unless the context indicates otherwise, as used herein, the terms “we,” “us,” “our,” the “Company” or “FNF” refer collectively to Fidelity National Financial, Inc., and its subsidiaries.</w:t>
      </w:r>
    </w:p>
    <w:p>
      <w:pPr>
        <w:spacing w:after="0" w:line="72" w:lineRule="exact"/>
        <w:rPr>
          <w:sz w:val="20"/>
          <w:szCs w:val="20"/>
          <w:color w:val="auto"/>
        </w:rPr>
      </w:pPr>
    </w:p>
    <w:p>
      <w:pPr>
        <w:ind w:right="1420" w:firstLine="318"/>
        <w:spacing w:after="0" w:line="367" w:lineRule="auto"/>
        <w:rPr>
          <w:sz w:val="20"/>
          <w:szCs w:val="20"/>
          <w:color w:val="auto"/>
        </w:rPr>
      </w:pPr>
      <w:r>
        <w:rPr>
          <w:rFonts w:ascii="Times New Roman" w:cs="Times New Roman" w:eastAsia="Times New Roman" w:hAnsi="Times New Roman"/>
          <w:sz w:val="18"/>
          <w:szCs w:val="18"/>
          <w:color w:val="auto"/>
        </w:rPr>
        <w:t xml:space="preserve">The following discussion should be read in conjunction with our Annual Report on Form 10-K for the year ended December 31, 2025. </w:t>
      </w:r>
      <w:r>
        <w:rPr>
          <w:rFonts w:ascii="Times New Roman" w:cs="Times New Roman" w:eastAsia="Times New Roman" w:hAnsi="Times New Roman"/>
          <w:sz w:val="18"/>
          <w:szCs w:val="18"/>
          <w:b w:val="1"/>
          <w:bCs w:val="1"/>
          <w:color w:val="auto"/>
        </w:rPr>
        <w:t>Overview</w:t>
      </w:r>
    </w:p>
    <w:p>
      <w:pPr>
        <w:spacing w:after="0" w:line="1"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color w:val="auto"/>
        </w:rPr>
        <w:t xml:space="preserve">For a description of our business, including descriptions of recent business developments, see the discussion in Note A </w:t>
      </w:r>
      <w:r>
        <w:rPr>
          <w:rFonts w:ascii="Times New Roman" w:cs="Times New Roman" w:eastAsia="Times New Roman" w:hAnsi="Times New Roman"/>
          <w:sz w:val="18"/>
          <w:szCs w:val="18"/>
          <w:i w:val="1"/>
          <w:iCs w:val="1"/>
          <w:color w:val="auto"/>
        </w:rPr>
        <w:t>Basis of Financial Statements</w:t>
      </w:r>
      <w:r>
        <w:rPr>
          <w:rFonts w:ascii="Times New Roman" w:cs="Times New Roman" w:eastAsia="Times New Roman" w:hAnsi="Times New Roman"/>
          <w:sz w:val="18"/>
          <w:szCs w:val="18"/>
          <w:color w:val="auto"/>
        </w:rPr>
        <w:t xml:space="preserve"> in the unaudited Condensed Consolidated Financial Statements included in Item 1 of Part I of this Report, which is incorporated by reference into this Part I, Item 2.</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Trends and Conditions</w:t>
      </w:r>
    </w:p>
    <w:p>
      <w:pPr>
        <w:spacing w:after="0" w:line="1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Title</w:t>
      </w:r>
    </w:p>
    <w:p>
      <w:pPr>
        <w:spacing w:after="0" w:line="113"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Our Title segment revenue is closely related to the level of real estate activity that includes sales, mortgage financing, and mortgage refinancing. Declines in the level of real estate activity or the average price of real estate sales will adversely affect our title insurance revenues.</w:t>
      </w:r>
    </w:p>
    <w:p>
      <w:pPr>
        <w:spacing w:after="0" w:line="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have found that residential real estate activity is generally dependent on the following factors:</w:t>
      </w:r>
    </w:p>
    <w:p>
      <w:pPr>
        <w:spacing w:after="0" w:line="98" w:lineRule="exact"/>
        <w:rPr>
          <w:sz w:val="20"/>
          <w:szCs w:val="20"/>
          <w:color w:val="auto"/>
        </w:rPr>
      </w:pPr>
    </w:p>
    <w:p>
      <w:pPr>
        <w:ind w:left="640" w:hanging="316"/>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 interest rates;</w:t>
      </w:r>
    </w:p>
    <w:p>
      <w:pPr>
        <w:spacing w:after="0" w:line="2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 funding supply;</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housing inventory and home prices;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and demand for commercial real estate; and</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the United States economy, including employment levels.</w:t>
      </w:r>
    </w:p>
    <w:p>
      <w:pPr>
        <w:spacing w:after="0" w:line="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most recent forecast of the Mortgage Bankers Association ("MBA"), as of October 11, 2026, estimates (actual for fiscal year 2025) the size of the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residential mortgage originations market as shown in the following table for 2025 - 2028 in its "Mortgage Finance Forecast" (in trillions):</w:t>
      </w:r>
    </w:p>
    <w:p>
      <w:pPr>
        <w:spacing w:after="0" w:line="32" w:lineRule="exact"/>
        <w:rPr>
          <w:sz w:val="20"/>
          <w:szCs w:val="20"/>
          <w:color w:val="auto"/>
        </w:rPr>
      </w:pPr>
    </w:p>
    <w:tbl>
      <w:tblPr>
        <w:tblLayout w:type="fixed"/>
        <w:tblInd w:w="200" w:type="dxa"/>
        <w:tblCellMar>
          <w:top w:w="0" w:type="dxa"/>
          <w:left w:w="0" w:type="dxa"/>
          <w:bottom w:w="0" w:type="dxa"/>
          <w:right w:w="0" w:type="dxa"/>
        </w:tblCellMar>
      </w:tblPr>
      <w:tr>
        <w:trPr>
          <w:trHeight w:val="186"/>
        </w:trPr>
        <w:tc>
          <w:tcPr>
            <w:tcW w:w="7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4"/>
        </w:trPr>
        <w:tc>
          <w:tcPr>
            <w:tcW w:w="7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originations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9"/>
        </w:trPr>
        <w:tc>
          <w:tcPr>
            <w:tcW w:w="7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Refinance originations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57"/>
        </w:trPr>
        <w:tc>
          <w:tcPr>
            <w:tcW w:w="7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U.S. mortgage originations forecast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As of October 11, 2026, the MBA's most recent forecast projects total U.S. residential mortgage originations of $2.1 trillion in 2026, reflecting the impact of the September 2026 federal funds rate increase and the associated rise in long-term mortgage rates. Within that total, purchase originations are projected at $1.4 trillion and refinance originations at $700 billion. Purchase originations are projected to remain relatively flat year-over-year, consistent with the continued inventory constraints and</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affordability challenges described below. The MBA projects originations of $2.1 trillion in 2027 and $2.2 trillion in 2028 as rates are expected to gradually ease from current levels.</w:t>
      </w:r>
    </w:p>
    <w:p>
      <w:pPr>
        <w:spacing w:after="0" w:line="5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Following a decline in inflation in 2024, the Federal Reserve reduced the target range for the federal funds rate to 4.25%-4.50%, where it remained as of June 30, 2025. After additional rate cuts during 2025, the Federal Reserve increased the federal funds rate to a target range of 3.75%–4.00% as of September 30, 2026. Average interest rates for a 30-year fixed rate mortgage were 6.4% and 6.7% for the three and nine months ended September 30, 2026, respectively, as compared to 6.6% and 6.7% for the corresponding periods in 2025.</w:t>
      </w:r>
    </w:p>
    <w:p>
      <w:pPr>
        <w:spacing w:after="0" w:line="7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A shortage in the supply of homes for sale, increasing home prices, high mortgage interest rates, disrupted labor markets including the potential for rising unemployment, government shutdowns, changes in U.S. trade policies, including tariffs and geopolitical uncertainties associated with international conflicts created some volatility in the residential real estate market in 2025, which has continued into 2026. Existing-home sales decreased 2% in September 2026 as compared to the corresponding period in 2025, while median existing-home sales prices increased to $417,500, or approximately 1%, from the corresponding period in 2025.</w:t>
      </w:r>
    </w:p>
    <w:p>
      <w:pPr>
        <w:spacing w:after="0" w:line="7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Other economic indicators used to measure the health of the U.S. economy, including the unemployment rate, have remained strong. The unemployment rate was 4.2% and 4.3% in September 2026 and 2025, respectively.</w:t>
      </w:r>
    </w:p>
    <w:p>
      <w:pPr>
        <w:spacing w:after="0" w:line="57"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issue commercial title insurance policies in sectors including office, industrial, energy, hospitality, retail, and multi-family, among others. The demand for commercial title insurance varies based on a variety of factors such as investor appetite, financing availability, and supply and demand in a particular area. Because commercial real estate transactions tend to be generally driven by supply and demand for commercial space in a particular area rather than by interest rate fluctuations, we believe that our commercial real estate title insurance business is less dependent on the industry cycles discussed above than our residential real estate title business. Factors including U.S. tax reform and a shift in U.S. monetary policy have had, or are expected to have, varying effects on availability of financing in the U.S. Lower corporate and individual tax rates and corporate tax-deductibility of capital expenditures have provided increased capacity and incentive for investments in commercial real estate. In recent years, we experienced fluctuating demand in commercial real estate markets. Commercial volumes and commercial fee-per-file increased in the three and nine months ended September 30, 2026 as compared to the corresponding periods in 2025.</w:t>
      </w:r>
    </w:p>
    <w:p>
      <w:pPr>
        <w:spacing w:after="0" w:line="8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continually monitor mortgage origination trends and believe that, based on our ability to produce industry leading operating margins through all economic cycles, we are well positioned to adjust our operations for adverse changes in real estate activity and to take advantage of increased volume when demand increases.</w:t>
      </w:r>
    </w:p>
    <w:p>
      <w:pPr>
        <w:spacing w:after="0" w:line="70"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Seasonality. </w:t>
      </w:r>
      <w:r>
        <w:rPr>
          <w:rFonts w:ascii="Times New Roman" w:cs="Times New Roman" w:eastAsia="Times New Roman" w:hAnsi="Times New Roman"/>
          <w:sz w:val="18"/>
          <w:szCs w:val="18"/>
          <w:color w:val="auto"/>
        </w:rPr>
        <w:t>Historically, real estate transactions have produced seasonal revenue fluctuations in the real estate industry. The first calendar quarter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typically the weakest quarter in terms of revenue due to the generally low volume of home sales during January and February. The second and third calendar quarters are typically the strongest quarters in terms of revenue, primarily due to a higher volume of residential transactions in the spring and summer months. The fourth quarter is typically strong due to the desire of commercial entities to complete transactions by year-end. We have noted short-term fluctuations through recent years in resale and refinance transactions as a result of changes in interest rates.</w:t>
      </w:r>
    </w:p>
    <w:p>
      <w:pPr>
        <w:spacing w:after="0" w:line="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F&amp;G</w:t>
      </w:r>
    </w:p>
    <w:p>
      <w:pPr>
        <w:spacing w:after="0" w:line="11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following factors represent some of the key trends and uncertainties that have influenced the development of our F&amp;G segment and its historical financial performance, and we believe these key trends and uncertainties will continue to influence the business and financial performance of our F&amp;G segment in the future.</w:t>
      </w:r>
    </w:p>
    <w:p>
      <w:pPr>
        <w:spacing w:after="0" w:line="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Market Conditions</w:t>
      </w:r>
    </w:p>
    <w:p>
      <w:pPr>
        <w:spacing w:after="0" w:line="11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Market conditions can change rapidly with significant positive or negative impacts on our results. Volatility can pressure sales and reduce demand as consumers hesitate to make financial decisions. We anticipate various macroeconomic factors will continue to drive uncertainty and instability, which could have a significant impact on the Company during fiscal year 2026. These factors include, among others, consumer spending, business investment, government spending, government shutdown, the volatility and strength of the capital markets, investor and consumer confidence, foreign currency exchange rates, commodity prices, inflation levels, changes in trade policy, tariffs and trade sanctions on goods, trade wars, United States-China relations, and supply chain disruptions.</w:t>
      </w:r>
    </w:p>
    <w:p>
      <w:pPr>
        <w:spacing w:after="0" w:line="7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light of increasing uncertainty in the markets we serve, we are unable to predict how long the current environment will last or the significance of the financial and operational impacts to us. To enhance the attractiveness and profitability of our products and services, we continually monitor the behavior of our customers, as evidenced by annuitization rates and lapse rates, which vary in response to changes in market conditions. See “Part I. Item 1A. Risk Factors” in our Annual Report on</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Form 10-K for the year ended December 31, 2025, which was filed with the SEC on February 26, 2026, for further discussion of risk factors that could affect market conditions.</w:t>
      </w:r>
    </w:p>
    <w:p>
      <w:pPr>
        <w:spacing w:after="0" w:line="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Interest Rate Environment</w:t>
      </w:r>
    </w:p>
    <w:p>
      <w:pPr>
        <w:spacing w:after="0" w:line="115"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As of September 30, 2026 and December 31, 2025, our reserves, net of reinsurance, and weighted average crediting rate on our fixed rate annuities were $5.8 billion and 4.85% and $6.4 billion and 4.84%, respectively. Some of our F&amp;G products, most notably our fixed rate annuities, include guaranteed minimum crediting rates. We are required to pay the guaranteed minimum crediting rates even if earnings on our investment portfolio decline, which would negatively impact earnings. In addition, we expect more policyholders to hold policies with comparatively high guaranteed rates for a longer period in a low interest rate environment. Conversely, a rise in average yield on our investment portfolio would increase earnings if the average interest rate we pay on our products does not rise correspondingly. Similarly, we expect that policyholders would be less likely to hold policies with existing guarantees as interest rates rise and the relative value of other new business offerings are increased, which would negatively impact our earnings and cash flows.</w:t>
      </w:r>
    </w:p>
    <w:p>
      <w:pPr>
        <w:spacing w:after="0" w:line="81" w:lineRule="exact"/>
        <w:rPr>
          <w:sz w:val="20"/>
          <w:szCs w:val="20"/>
          <w:color w:val="auto"/>
        </w:rPr>
      </w:pPr>
    </w:p>
    <w:p>
      <w:pPr>
        <w:ind w:left="320" w:right="400"/>
        <w:spacing w:after="0" w:line="345" w:lineRule="auto"/>
        <w:rPr>
          <w:sz w:val="20"/>
          <w:szCs w:val="20"/>
          <w:color w:val="auto"/>
        </w:rPr>
      </w:pPr>
      <w:r>
        <w:rPr>
          <w:rFonts w:ascii="Times New Roman" w:cs="Times New Roman" w:eastAsia="Times New Roman" w:hAnsi="Times New Roman"/>
          <w:sz w:val="18"/>
          <w:szCs w:val="18"/>
          <w:color w:val="auto"/>
        </w:rPr>
        <w:t xml:space="preserve">See Item 7A of Part II of our Annual Report on Form 10-K for the year ended December 31, 2025 for a more detailed discussion of interest rate risk. </w:t>
      </w:r>
      <w:r>
        <w:rPr>
          <w:rFonts w:ascii="Times New Roman" w:cs="Times New Roman" w:eastAsia="Times New Roman" w:hAnsi="Times New Roman"/>
          <w:sz w:val="18"/>
          <w:szCs w:val="18"/>
          <w:b w:val="1"/>
          <w:bCs w:val="1"/>
          <w:i w:val="1"/>
          <w:iCs w:val="1"/>
          <w:color w:val="auto"/>
        </w:rPr>
        <w:t>Aging of the U.S. Population</w:t>
      </w:r>
    </w:p>
    <w:p>
      <w:pPr>
        <w:spacing w:after="0" w:line="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We believe that the aging of the U.S. population will continue to increase demand for retirement savings, growth, and income solutions, including demand for our indexed annuity and indexed universal life (“IUL”) products. We serve a growing retirement population, with more than 11,000 Americans turning 65 every day and a projected 30% increase in people age 65-100 over the next 25 years according to the U.S. Census Bureau. The impact of this growth may be offset to some extent by asset outflows as an increasing percentage of the population begins withdrawing assets to convert their savings into income.</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Industry Factors and Trends Affecting Our Results of Operations</w:t>
      </w:r>
    </w:p>
    <w:p>
      <w:pPr>
        <w:spacing w:after="0" w:line="7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operate in the sector of the insurance industry that focuses on the needs of middle-income Americans. The underserved middle-income market represents a major growth opportunity for us. As a tool for addressing the unmet need for retirement planning, we believe that many middle-income Americans have grown to appreciate the financial certainty that annuities such as our indexed annuity products afford. For example, the fixed index annuity market grew from nearly $12 billion of sales in 2002 to $127 billion of sales in 2025 and the registered index-linked annuities ("RILA") market grew from $17 billion of sales in 2019 to $76 billion of sales in 2025. Additionally, this market demand has positively impacted the IUL market as it has expanded from $100 million of annual sales in 2002 to $3 billion of annual sales in 2025.</w:t>
      </w:r>
    </w:p>
    <w:p>
      <w:pPr>
        <w:spacing w:after="0" w:line="6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See Item 7 of Part II of our Annual Report on Form 10-K for the year ended December 31, 2025 for a more detailed discussion of industry factors and trends affecting our Results of Operations.</w:t>
      </w:r>
    </w:p>
    <w:p>
      <w:pPr>
        <w:spacing w:after="0" w:line="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115"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The accounting estimates described in Item 7 of Part II of our Annual Report on Form 10-K for the year ended December 31, 2025 are those we consider critical in preparing our unaudited Condensed Consolidated Financial Statements. There were no changes to the Company’s critical accounting policies or estimates during the three and nine months ended September 30, 2026. Management is required to make estimates and assumptions that can affect the reported amounts of assets and liabilities and disclosures with respect to contingent assets and liabilities at the date of the unaudited Condensed Consolidated Financial Statements and the reported amounts of revenues and expenses during the reporting period. Actual amounts could differ from those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Results of Operations</w:t>
      </w:r>
    </w:p>
    <w:p>
      <w:pPr>
        <w:spacing w:after="0" w:line="7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 xml:space="preserve">Net Earnings. </w:t>
      </w:r>
      <w:r>
        <w:rPr>
          <w:rFonts w:ascii="Times New Roman" w:cs="Times New Roman" w:eastAsia="Times New Roman" w:hAnsi="Times New Roman"/>
          <w:sz w:val="18"/>
          <w:szCs w:val="18"/>
          <w:color w:val="auto"/>
        </w:rPr>
        <w:t>The following table presents certain financial data for the periods indicated: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00" w:type="dxa"/>
            <w:vAlign w:val="bottom"/>
          </w:tcPr>
          <w:p>
            <w:pPr>
              <w:spacing w:after="0"/>
              <w:rPr>
                <w:sz w:val="16"/>
                <w:szCs w:val="16"/>
                <w:color w:val="auto"/>
              </w:rPr>
            </w:pPr>
          </w:p>
        </w:tc>
        <w:tc>
          <w:tcPr>
            <w:tcW w:w="2620" w:type="dxa"/>
            <w:vAlign w:val="bottom"/>
            <w:gridSpan w:val="6"/>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6"/>
                <w:szCs w:val="16"/>
                <w:color w:val="auto"/>
              </w:rPr>
            </w:pPr>
          </w:p>
        </w:tc>
        <w:tc>
          <w:tcPr>
            <w:tcW w:w="2280" w:type="dxa"/>
            <w:vAlign w:val="bottom"/>
            <w:gridSpan w:val="4"/>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4"/>
        </w:trPr>
        <w:tc>
          <w:tcPr>
            <w:tcW w:w="62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1"/>
        </w:trPr>
        <w:tc>
          <w:tcPr>
            <w:tcW w:w="6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4"/>
        </w:trPr>
        <w:tc>
          <w:tcPr>
            <w:tcW w:w="62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gridSpan w:val="5"/>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1"/>
        </w:trPr>
        <w:tc>
          <w:tcPr>
            <w:tcW w:w="6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2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4"/>
        </w:trPr>
        <w:tc>
          <w:tcPr>
            <w:tcW w:w="6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92"/>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8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r>
      <w:tr>
        <w:trPr>
          <w:trHeight w:val="188"/>
        </w:trPr>
        <w:tc>
          <w:tcPr>
            <w:tcW w:w="6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Direct title insurance premiums</w:t>
            </w:r>
          </w:p>
        </w:tc>
        <w:tc>
          <w:tcPr>
            <w:tcW w:w="800" w:type="dxa"/>
            <w:vAlign w:val="bottom"/>
          </w:tcPr>
          <w:p>
            <w:pPr>
              <w:jc w:val="right"/>
              <w:ind w:right="629"/>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755</w:t>
            </w:r>
          </w:p>
        </w:tc>
        <w:tc>
          <w:tcPr>
            <w:tcW w:w="100" w:type="dxa"/>
            <w:vAlign w:val="bottom"/>
          </w:tcPr>
          <w:p>
            <w:pPr>
              <w:spacing w:after="0"/>
              <w:rPr>
                <w:sz w:val="16"/>
                <w:szCs w:val="16"/>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678</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2,105</w:t>
            </w:r>
          </w:p>
        </w:tc>
        <w:tc>
          <w:tcPr>
            <w:tcW w:w="100" w:type="dxa"/>
            <w:vAlign w:val="bottom"/>
          </w:tcPr>
          <w:p>
            <w:pPr>
              <w:spacing w:after="0"/>
              <w:rPr>
                <w:sz w:val="16"/>
                <w:szCs w:val="16"/>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1,820</w:t>
            </w:r>
          </w:p>
        </w:tc>
      </w:tr>
      <w:tr>
        <w:trPr>
          <w:trHeight w:val="24"/>
        </w:trPr>
        <w:tc>
          <w:tcPr>
            <w:tcW w:w="6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92"/>
        </w:trPr>
        <w:tc>
          <w:tcPr>
            <w:tcW w:w="62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Agency title insurance premiums</w:t>
            </w:r>
          </w:p>
        </w:tc>
        <w:tc>
          <w:tcPr>
            <w:tcW w:w="8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915</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890</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2,670</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2,410</w:t>
            </w:r>
          </w:p>
        </w:tc>
      </w:tr>
      <w:tr>
        <w:trPr>
          <w:trHeight w:val="188"/>
        </w:trPr>
        <w:tc>
          <w:tcPr>
            <w:tcW w:w="6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Escrow, title-related and other fees</w:t>
            </w:r>
          </w:p>
        </w:tc>
        <w:tc>
          <w:tcPr>
            <w:tcW w:w="8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3,783</w:t>
            </w:r>
          </w:p>
        </w:tc>
      </w:tr>
      <w:tr>
        <w:trPr>
          <w:trHeight w:val="24"/>
        </w:trPr>
        <w:tc>
          <w:tcPr>
            <w:tcW w:w="6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92"/>
        </w:trPr>
        <w:tc>
          <w:tcPr>
            <w:tcW w:w="62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Interest and investment income</w:t>
            </w:r>
          </w:p>
        </w:tc>
        <w:tc>
          <w:tcPr>
            <w:tcW w:w="8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796</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857</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2,429</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2,394</w:t>
            </w:r>
          </w:p>
        </w:tc>
      </w:tr>
      <w:tr>
        <w:trPr>
          <w:trHeight w:val="188"/>
        </w:trPr>
        <w:tc>
          <w:tcPr>
            <w:tcW w:w="6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Recognized gains and losses, net</w:t>
            </w:r>
          </w:p>
        </w:tc>
        <w:tc>
          <w:tcPr>
            <w:tcW w:w="8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24"/>
        </w:trPr>
        <w:tc>
          <w:tcPr>
            <w:tcW w:w="62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5"/>
        </w:trPr>
        <w:tc>
          <w:tcPr>
            <w:tcW w:w="62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Total revenues</w:t>
            </w:r>
          </w:p>
        </w:tc>
        <w:tc>
          <w:tcPr>
            <w:tcW w:w="8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3,578</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4,030</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10,855</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10,394</w:t>
            </w:r>
          </w:p>
        </w:tc>
      </w:tr>
      <w:tr>
        <w:trPr>
          <w:trHeight w:val="168"/>
        </w:trPr>
        <w:tc>
          <w:tcPr>
            <w:tcW w:w="6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Expenses:</w:t>
            </w:r>
          </w:p>
        </w:tc>
        <w:tc>
          <w:tcPr>
            <w:tcW w:w="80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r>
      <w:tr>
        <w:trPr>
          <w:trHeight w:val="24"/>
        </w:trPr>
        <w:tc>
          <w:tcPr>
            <w:tcW w:w="6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92"/>
        </w:trPr>
        <w:tc>
          <w:tcPr>
            <w:tcW w:w="62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Benefits and other changes in policy reserves</w:t>
            </w:r>
          </w:p>
        </w:tc>
        <w:tc>
          <w:tcPr>
            <w:tcW w:w="8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1,181</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1,659</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2,698</w:t>
            </w:r>
          </w:p>
        </w:tc>
      </w:tr>
      <w:tr>
        <w:trPr>
          <w:trHeight w:val="188"/>
        </w:trPr>
        <w:tc>
          <w:tcPr>
            <w:tcW w:w="6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Personnel costs</w:t>
            </w:r>
          </w:p>
        </w:tc>
        <w:tc>
          <w:tcPr>
            <w:tcW w:w="8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2,536</w:t>
            </w:r>
          </w:p>
        </w:tc>
      </w:tr>
      <w:tr>
        <w:trPr>
          <w:trHeight w:val="24"/>
        </w:trPr>
        <w:tc>
          <w:tcPr>
            <w:tcW w:w="6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92"/>
        </w:trPr>
        <w:tc>
          <w:tcPr>
            <w:tcW w:w="62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Agent commissions</w:t>
            </w:r>
          </w:p>
        </w:tc>
        <w:tc>
          <w:tcPr>
            <w:tcW w:w="8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2,068</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1,872</w:t>
            </w:r>
          </w:p>
        </w:tc>
      </w:tr>
      <w:tr>
        <w:trPr>
          <w:trHeight w:val="188"/>
        </w:trPr>
        <w:tc>
          <w:tcPr>
            <w:tcW w:w="6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 operating expenses</w:t>
            </w:r>
          </w:p>
        </w:tc>
        <w:tc>
          <w:tcPr>
            <w:tcW w:w="8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w:t>
            </w:r>
          </w:p>
        </w:tc>
      </w:tr>
      <w:tr>
        <w:trPr>
          <w:trHeight w:val="24"/>
        </w:trPr>
        <w:tc>
          <w:tcPr>
            <w:tcW w:w="6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92"/>
        </w:trPr>
        <w:tc>
          <w:tcPr>
            <w:tcW w:w="62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Market risk benefit losses (gains)</w:t>
            </w:r>
          </w:p>
        </w:tc>
        <w:tc>
          <w:tcPr>
            <w:tcW w:w="8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w:t>
            </w:r>
          </w:p>
        </w:tc>
      </w:tr>
      <w:tr>
        <w:trPr>
          <w:trHeight w:val="188"/>
        </w:trPr>
        <w:tc>
          <w:tcPr>
            <w:tcW w:w="6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623</w:t>
            </w:r>
          </w:p>
        </w:tc>
      </w:tr>
      <w:tr>
        <w:trPr>
          <w:trHeight w:val="24"/>
        </w:trPr>
        <w:tc>
          <w:tcPr>
            <w:tcW w:w="6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92"/>
        </w:trPr>
        <w:tc>
          <w:tcPr>
            <w:tcW w:w="62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Provision for title claim losses</w:t>
            </w:r>
          </w:p>
        </w:tc>
        <w:tc>
          <w:tcPr>
            <w:tcW w:w="8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w:t>
            </w:r>
          </w:p>
        </w:tc>
      </w:tr>
      <w:tr>
        <w:trPr>
          <w:trHeight w:val="188"/>
        </w:trPr>
        <w:tc>
          <w:tcPr>
            <w:tcW w:w="6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Interest expense</w:t>
            </w:r>
          </w:p>
        </w:tc>
        <w:tc>
          <w:tcPr>
            <w:tcW w:w="8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w:t>
            </w:r>
          </w:p>
        </w:tc>
      </w:tr>
      <w:tr>
        <w:trPr>
          <w:trHeight w:val="24"/>
        </w:trPr>
        <w:tc>
          <w:tcPr>
            <w:tcW w:w="62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5"/>
        </w:trPr>
        <w:tc>
          <w:tcPr>
            <w:tcW w:w="62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Total expenses</w:t>
            </w:r>
          </w:p>
        </w:tc>
        <w:tc>
          <w:tcPr>
            <w:tcW w:w="8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2,333</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3,577</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8,774</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9,448</w:t>
            </w:r>
          </w:p>
        </w:tc>
      </w:tr>
      <w:tr>
        <w:trPr>
          <w:trHeight w:val="181"/>
        </w:trPr>
        <w:tc>
          <w:tcPr>
            <w:tcW w:w="6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Earnings before income taxes and equity in earnings of unconsolidated affiliates</w:t>
            </w:r>
          </w:p>
        </w:tc>
        <w:tc>
          <w:tcPr>
            <w:tcW w:w="80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1,245</w:t>
            </w: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453</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2,081</w:t>
            </w: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946</w:t>
            </w:r>
          </w:p>
        </w:tc>
      </w:tr>
      <w:tr>
        <w:trPr>
          <w:trHeight w:val="24"/>
        </w:trPr>
        <w:tc>
          <w:tcPr>
            <w:tcW w:w="6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92"/>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8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635</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w:t>
            </w:r>
          </w:p>
        </w:tc>
      </w:tr>
      <w:tr>
        <w:trPr>
          <w:trHeight w:val="188"/>
        </w:trPr>
        <w:tc>
          <w:tcPr>
            <w:tcW w:w="6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in earnings of unconsolidated affiliates</w:t>
            </w:r>
          </w:p>
        </w:tc>
        <w:tc>
          <w:tcPr>
            <w:tcW w:w="800" w:type="dxa"/>
            <w:vAlign w:val="bottom"/>
          </w:tcPr>
          <w:p>
            <w:pPr>
              <w:spacing w:after="0"/>
              <w:rPr>
                <w:sz w:val="16"/>
                <w:szCs w:val="16"/>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24"/>
        </w:trPr>
        <w:tc>
          <w:tcPr>
            <w:tcW w:w="62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0"/>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earnings</w:t>
            </w:r>
          </w:p>
        </w:tc>
        <w:tc>
          <w:tcPr>
            <w:tcW w:w="800" w:type="dxa"/>
            <w:vAlign w:val="bottom"/>
            <w:tcBorders>
              <w:bottom w:val="single" w:sz="8" w:color="auto"/>
            </w:tcBorders>
            <w:shd w:val="clear" w:color="auto" w:fill="CCEEFF"/>
          </w:tcPr>
          <w:p>
            <w:pPr>
              <w:jc w:val="right"/>
              <w:ind w:right="629"/>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848</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1,445</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765</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8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Total revenues decreased by $452 million in the three months ended September 30, 2026 and increased by $461 million in the nine months ended September 30, 2026 as compared to the corresponding periods in 2025.</w:t>
      </w:r>
    </w:p>
    <w:p>
      <w:pPr>
        <w:spacing w:after="0" w:line="1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Net earnings increased by $459 million in the three months ended September 30, 2026 and increased by $680 million in the nine months ended September 30, 2026 as compared to the corresponding periods in 2025.</w:t>
      </w:r>
    </w:p>
    <w:p>
      <w:pPr>
        <w:spacing w:after="0" w:line="18" w:lineRule="exact"/>
        <w:rPr>
          <w:sz w:val="20"/>
          <w:szCs w:val="20"/>
          <w:color w:val="auto"/>
        </w:rPr>
      </w:pPr>
    </w:p>
    <w:p>
      <w:pPr>
        <w:ind w:right="2000" w:firstLine="318"/>
        <w:spacing w:after="0" w:line="353" w:lineRule="auto"/>
        <w:rPr>
          <w:sz w:val="20"/>
          <w:szCs w:val="20"/>
          <w:color w:val="auto"/>
        </w:rPr>
      </w:pPr>
      <w:r>
        <w:rPr>
          <w:rFonts w:ascii="Times New Roman" w:cs="Times New Roman" w:eastAsia="Times New Roman" w:hAnsi="Times New Roman"/>
          <w:sz w:val="18"/>
          <w:szCs w:val="18"/>
          <w:color w:val="auto"/>
        </w:rPr>
        <w:t xml:space="preserve">The change in revenue and net earnings from our reportable segments is discussed in further detail at the segment level below. </w:t>
      </w:r>
      <w:r>
        <w:rPr>
          <w:rFonts w:ascii="Times New Roman" w:cs="Times New Roman" w:eastAsia="Times New Roman" w:hAnsi="Times New Roman"/>
          <w:sz w:val="18"/>
          <w:szCs w:val="18"/>
          <w:i w:val="1"/>
          <w:iCs w:val="1"/>
          <w:color w:val="auto"/>
        </w:rPr>
        <w:t>Expenses</w:t>
      </w:r>
    </w:p>
    <w:p>
      <w:pPr>
        <w:spacing w:after="0" w:line="1"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Our operating expenses consist primarily of Personnel costs; Other operating expenses, which in our title business are incurred as orders are received and processed; Agent commissions, which are incurred as title agency revenue is recognized; and Benefits and other changes in policy reserves, which in our F&amp;G segment are charged to earnings in the period they are earned by the policyholder based on their selected strategy. For traditional life and immediate annuities, policy benefit claims are charged to expense in the period that the claims are incurred, net of reinsurance recoveries. Title insurance premiums, escrow, and title-related fees are generally recognized as income at the time the underlying transaction closes or other service is provided. Direct title operations revenue often lags approximately 45-60 days behind expenses and therefore gross margins may fluctuate. The changes in the market environment, mix of business between direct and agency operations, and the contributions from our various business units have historically impacted margins and net earnings. We have implemented programs and have taken necessary actions to maintain expense levels consistent with revenue streams. However, a short-term lag exists in reducing controllable fixed costs and certain fixed costs are incurred regardless of revenue levels.</w:t>
      </w:r>
    </w:p>
    <w:p>
      <w:pPr>
        <w:spacing w:after="0" w:line="5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Personnel costs include base salaries, commissions, benefits, stock-based compensation and bonuses paid to employees, and are one of our most significant operating expenses.</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Agent commissions represent the portion of premiums retained by our third-party agents pursuant to the terms of their respective agency contracts.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Benefit expenses for deferred annuity, indexed annuity, and IUL policies include index credits and interest credited to Contractholder account balances and benefit claims in excess of contract account balances, net of reinsurance recoveries. Other changes in policy reserves include the change in the fair value of the indexed annuity embedded derivative and the change in the reserve for secondary guarantee benefit payments. Other changes in policy reserves also include the change in reserves for life insurance products.</w:t>
      </w:r>
    </w:p>
    <w:p>
      <w:pPr>
        <w:spacing w:after="0" w:line="6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Other operating expenses consist primarily of facilities expenses, title plant maintenance, premium taxes (which insurance underwriters are required to pay on title premiums in lieu of franchise and other state taxes), appraisal fees and other cost of sales on ServiceLink product offerings and other title-related products, postage and courier services, computer services, professional services, travel expenses, general insurance, and bad debt expense on our trade and notes receivable.</w:t>
      </w:r>
    </w:p>
    <w:p>
      <w:pPr>
        <w:spacing w:after="0" w:line="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provision for title claim losses includes an estimate of anticipated title and title-related claims and escrow losses.</w:t>
      </w:r>
    </w:p>
    <w:p>
      <w:pPr>
        <w:spacing w:after="0" w:line="1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change in expenses attributable to our reportable segments is discussed in further detail at the segment level below.</w:t>
      </w:r>
    </w:p>
    <w:p>
      <w:pPr>
        <w:spacing w:after="0" w:line="111" w:lineRule="exact"/>
        <w:rPr>
          <w:sz w:val="20"/>
          <w:szCs w:val="20"/>
          <w:color w:val="auto"/>
        </w:rPr>
      </w:pPr>
    </w:p>
    <w:p>
      <w:pPr>
        <w:jc w:val="both"/>
        <w:ind w:firstLine="318"/>
        <w:spacing w:after="0" w:line="239" w:lineRule="auto"/>
        <w:rPr>
          <w:sz w:val="20"/>
          <w:szCs w:val="20"/>
          <w:color w:val="auto"/>
        </w:rPr>
      </w:pPr>
      <w:r>
        <w:rPr>
          <w:rFonts w:ascii="Times New Roman" w:cs="Times New Roman" w:eastAsia="Times New Roman" w:hAnsi="Times New Roman"/>
          <w:sz w:val="18"/>
          <w:szCs w:val="18"/>
          <w:color w:val="auto"/>
        </w:rPr>
        <w:t>Income tax expense was $397 million and $90 million for the three months ended September 30, 2026 and 2025, respectively, and $635 million and $217 million in the nine months ended September 30, 2026 and 2025, respectively. Income tax expense as a percentage of earnings before income taxes was 32% and 20% for the three months ended September 30, 2026 and 2025, respectively, and 31% and 23% in the nine months ended September 30, 2026 and 2025, respectively. The increase in income tax expense as a percentage of earnings before taxes in the three and nine months ended September 30, 2026 as compared to the corresponding periods in 2025 is primarily attributable to the adjustment to the deferred tax liability for the outside basis difference in our investment in F&amp;G, as well as F&amp;G's outside basis difference in F&amp;G Life Re.</w:t>
      </w:r>
    </w:p>
    <w:p>
      <w:pPr>
        <w:spacing w:after="0" w:line="8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Organization for Economic Cooperation and Development has developed guidance known as the Global Anti-Base Erosion Pillar Two minimum tax rules, or Pillar Two, which generally provide for a minimum effective tax rate of 15% and are intended to apply to tax years beginning in 2024. As of September 30, 2026, based on the countries in which we do business that have enacted legislation, the Company does not expect these rules to have a material impact on our income tax provision.</w:t>
      </w:r>
    </w:p>
    <w:p>
      <w:pPr>
        <w:spacing w:after="0" w:line="7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On July 4, 2025, Public Law 119-21, popularly known as the One Big Beautiful Bill Act ("OBBBA") was signed into law. The OBBBA includes a broad range of tax reform provisions that may affect the Company’s financial results. The application of the OBBBA tax provisions did not result in material changes to the Company's total income tax expense or effective tax rate for the three and nine months ended September 30, 2026.</w:t>
      </w:r>
    </w:p>
    <w:p>
      <w:pPr>
        <w:spacing w:after="0" w:line="7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Company considers its non-U.S. earnings to be indefinitely reinvested outside of the U.S. to the extent these earnings are not subject to the U.S. income tax under an anti-deferral tax regime. Given our intent to reinvest these earnings for an indefinite period of time, the Company has not accrued a deferred tax liability on these earnings. A determination of an unrecognized deferred tax liability related to these earnings is not practicable.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Title</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the results from operations of our Title segment: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20" w:type="dxa"/>
            <w:vAlign w:val="bottom"/>
          </w:tcPr>
          <w:p>
            <w:pPr>
              <w:spacing w:after="0"/>
              <w:rPr>
                <w:sz w:val="16"/>
                <w:szCs w:val="16"/>
                <w:color w:val="auto"/>
              </w:rPr>
            </w:pPr>
          </w:p>
        </w:tc>
        <w:tc>
          <w:tcPr>
            <w:tcW w:w="2820" w:type="dxa"/>
            <w:vAlign w:val="bottom"/>
            <w:gridSpan w:val="6"/>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 w:type="dxa"/>
            <w:vAlign w:val="bottom"/>
          </w:tcPr>
          <w:p>
            <w:pPr>
              <w:spacing w:after="0"/>
              <w:rPr>
                <w:sz w:val="16"/>
                <w:szCs w:val="16"/>
                <w:color w:val="auto"/>
              </w:rPr>
            </w:pPr>
          </w:p>
        </w:tc>
        <w:tc>
          <w:tcPr>
            <w:tcW w:w="2280" w:type="dxa"/>
            <w:vAlign w:val="bottom"/>
            <w:gridSpan w:val="4"/>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24"/>
        </w:trPr>
        <w:tc>
          <w:tcPr>
            <w:tcW w:w="59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59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4"/>
        </w:trPr>
        <w:tc>
          <w:tcPr>
            <w:tcW w:w="5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5920" w:type="dxa"/>
            <w:vAlign w:val="bottom"/>
            <w:vMerge w:val="continue"/>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9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59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Direct title insurance premiums</w:t>
            </w:r>
          </w:p>
        </w:tc>
        <w:tc>
          <w:tcPr>
            <w:tcW w:w="860" w:type="dxa"/>
            <w:vAlign w:val="bottom"/>
            <w:tcBorders>
              <w:bottom w:val="single" w:sz="8" w:color="CCEEFF"/>
            </w:tcBorders>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755</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2,105</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1,820</w:t>
            </w:r>
          </w:p>
        </w:tc>
        <w:tc>
          <w:tcPr>
            <w:tcW w:w="0" w:type="dxa"/>
            <w:vAlign w:val="bottom"/>
          </w:tcPr>
          <w:p>
            <w:pPr>
              <w:spacing w:after="0"/>
              <w:rPr>
                <w:sz w:val="1"/>
                <w:szCs w:val="1"/>
                <w:color w:val="auto"/>
              </w:rPr>
            </w:pPr>
          </w:p>
        </w:tc>
      </w:tr>
      <w:tr>
        <w:trPr>
          <w:trHeight w:val="188"/>
        </w:trPr>
        <w:tc>
          <w:tcPr>
            <w:tcW w:w="59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Agency title insurance premiums</w:t>
            </w:r>
          </w:p>
        </w:tc>
        <w:tc>
          <w:tcPr>
            <w:tcW w:w="8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2,410</w:t>
            </w:r>
          </w:p>
        </w:tc>
        <w:tc>
          <w:tcPr>
            <w:tcW w:w="0" w:type="dxa"/>
            <w:vAlign w:val="bottom"/>
          </w:tcPr>
          <w:p>
            <w:pPr>
              <w:spacing w:after="0"/>
              <w:rPr>
                <w:sz w:val="1"/>
                <w:szCs w:val="1"/>
                <w:color w:val="auto"/>
              </w:rPr>
            </w:pPr>
          </w:p>
        </w:tc>
      </w:tr>
      <w:tr>
        <w:trPr>
          <w:trHeight w:val="24"/>
        </w:trPr>
        <w:tc>
          <w:tcPr>
            <w:tcW w:w="59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59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Escrow, title-related and other fees</w:t>
            </w:r>
          </w:p>
        </w:tc>
        <w:tc>
          <w:tcPr>
            <w:tcW w:w="8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1,982</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1,772</w:t>
            </w:r>
          </w:p>
        </w:tc>
        <w:tc>
          <w:tcPr>
            <w:tcW w:w="0" w:type="dxa"/>
            <w:vAlign w:val="bottom"/>
          </w:tcPr>
          <w:p>
            <w:pPr>
              <w:spacing w:after="0"/>
              <w:rPr>
                <w:sz w:val="1"/>
                <w:szCs w:val="1"/>
                <w:color w:val="auto"/>
              </w:rPr>
            </w:pPr>
          </w:p>
        </w:tc>
      </w:tr>
      <w:tr>
        <w:trPr>
          <w:trHeight w:val="188"/>
        </w:trPr>
        <w:tc>
          <w:tcPr>
            <w:tcW w:w="59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Interest and investment income</w:t>
            </w:r>
          </w:p>
        </w:tc>
        <w:tc>
          <w:tcPr>
            <w:tcW w:w="8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0" w:type="dxa"/>
            <w:vAlign w:val="bottom"/>
          </w:tcPr>
          <w:p>
            <w:pPr>
              <w:spacing w:after="0"/>
              <w:rPr>
                <w:sz w:val="1"/>
                <w:szCs w:val="1"/>
                <w:color w:val="auto"/>
              </w:rPr>
            </w:pPr>
          </w:p>
        </w:tc>
      </w:tr>
      <w:tr>
        <w:trPr>
          <w:trHeight w:val="24"/>
        </w:trPr>
        <w:tc>
          <w:tcPr>
            <w:tcW w:w="59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59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Recognized gains and losses, net</w:t>
            </w:r>
          </w:p>
        </w:tc>
        <w:tc>
          <w:tcPr>
            <w:tcW w:w="86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81"/>
        </w:trPr>
        <w:tc>
          <w:tcPr>
            <w:tcW w:w="59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Total revenues</w:t>
            </w:r>
          </w:p>
        </w:tc>
        <w:tc>
          <w:tcPr>
            <w:tcW w:w="86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2,444</w:t>
            </w:r>
          </w:p>
        </w:tc>
        <w:tc>
          <w:tcPr>
            <w:tcW w:w="1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2,265</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6,976</w:t>
            </w: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6,252</w:t>
            </w:r>
          </w:p>
        </w:tc>
        <w:tc>
          <w:tcPr>
            <w:tcW w:w="0" w:type="dxa"/>
            <w:vAlign w:val="bottom"/>
          </w:tcPr>
          <w:p>
            <w:pPr>
              <w:spacing w:after="0"/>
              <w:rPr>
                <w:sz w:val="1"/>
                <w:szCs w:val="1"/>
                <w:color w:val="auto"/>
              </w:rPr>
            </w:pPr>
          </w:p>
        </w:tc>
      </w:tr>
      <w:tr>
        <w:trPr>
          <w:trHeight w:val="24"/>
        </w:trPr>
        <w:tc>
          <w:tcPr>
            <w:tcW w:w="59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Expenses:</w:t>
            </w:r>
          </w:p>
        </w:tc>
        <w:tc>
          <w:tcPr>
            <w:tcW w:w="8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9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Personnel costs</w:t>
            </w:r>
          </w:p>
        </w:tc>
        <w:tc>
          <w:tcPr>
            <w:tcW w:w="8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2,187</w:t>
            </w:r>
          </w:p>
        </w:tc>
        <w:tc>
          <w:tcPr>
            <w:tcW w:w="0" w:type="dxa"/>
            <w:vAlign w:val="bottom"/>
          </w:tcPr>
          <w:p>
            <w:pPr>
              <w:spacing w:after="0"/>
              <w:rPr>
                <w:sz w:val="1"/>
                <w:szCs w:val="1"/>
                <w:color w:val="auto"/>
              </w:rPr>
            </w:pPr>
          </w:p>
        </w:tc>
      </w:tr>
      <w:tr>
        <w:trPr>
          <w:trHeight w:val="24"/>
        </w:trPr>
        <w:tc>
          <w:tcPr>
            <w:tcW w:w="59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59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Agent commissions</w:t>
            </w:r>
          </w:p>
        </w:tc>
        <w:tc>
          <w:tcPr>
            <w:tcW w:w="8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2,068</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1,872</w:t>
            </w:r>
          </w:p>
        </w:tc>
        <w:tc>
          <w:tcPr>
            <w:tcW w:w="0" w:type="dxa"/>
            <w:vAlign w:val="bottom"/>
          </w:tcPr>
          <w:p>
            <w:pPr>
              <w:spacing w:after="0"/>
              <w:rPr>
                <w:sz w:val="1"/>
                <w:szCs w:val="1"/>
                <w:color w:val="auto"/>
              </w:rPr>
            </w:pPr>
          </w:p>
        </w:tc>
      </w:tr>
      <w:tr>
        <w:trPr>
          <w:trHeight w:val="188"/>
        </w:trPr>
        <w:tc>
          <w:tcPr>
            <w:tcW w:w="59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 operating expenses</w:t>
            </w:r>
          </w:p>
        </w:tc>
        <w:tc>
          <w:tcPr>
            <w:tcW w:w="8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996</w:t>
            </w:r>
          </w:p>
        </w:tc>
        <w:tc>
          <w:tcPr>
            <w:tcW w:w="0" w:type="dxa"/>
            <w:vAlign w:val="bottom"/>
          </w:tcPr>
          <w:p>
            <w:pPr>
              <w:spacing w:after="0"/>
              <w:rPr>
                <w:sz w:val="1"/>
                <w:szCs w:val="1"/>
                <w:color w:val="auto"/>
              </w:rPr>
            </w:pPr>
          </w:p>
        </w:tc>
      </w:tr>
      <w:tr>
        <w:trPr>
          <w:trHeight w:val="24"/>
        </w:trPr>
        <w:tc>
          <w:tcPr>
            <w:tcW w:w="59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59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0" w:type="dxa"/>
            <w:vAlign w:val="bottom"/>
          </w:tcPr>
          <w:p>
            <w:pPr>
              <w:spacing w:after="0"/>
              <w:rPr>
                <w:sz w:val="1"/>
                <w:szCs w:val="1"/>
                <w:color w:val="auto"/>
              </w:rPr>
            </w:pPr>
          </w:p>
        </w:tc>
      </w:tr>
      <w:tr>
        <w:trPr>
          <w:trHeight w:val="188"/>
        </w:trPr>
        <w:tc>
          <w:tcPr>
            <w:tcW w:w="59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Provision for title claim losses</w:t>
            </w:r>
          </w:p>
        </w:tc>
        <w:tc>
          <w:tcPr>
            <w:tcW w:w="8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0" w:type="dxa"/>
            <w:vAlign w:val="bottom"/>
          </w:tcPr>
          <w:p>
            <w:pPr>
              <w:spacing w:after="0"/>
              <w:rPr>
                <w:sz w:val="1"/>
                <w:szCs w:val="1"/>
                <w:color w:val="auto"/>
              </w:rPr>
            </w:pPr>
          </w:p>
        </w:tc>
      </w:tr>
      <w:tr>
        <w:trPr>
          <w:trHeight w:val="24"/>
        </w:trPr>
        <w:tc>
          <w:tcPr>
            <w:tcW w:w="59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59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Total expenses</w:t>
            </w:r>
          </w:p>
        </w:tc>
        <w:tc>
          <w:tcPr>
            <w:tcW w:w="86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2,053</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1,906</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5,923</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5,355</w:t>
            </w:r>
          </w:p>
        </w:tc>
        <w:tc>
          <w:tcPr>
            <w:tcW w:w="0" w:type="dxa"/>
            <w:vAlign w:val="bottom"/>
          </w:tcPr>
          <w:p>
            <w:pPr>
              <w:spacing w:after="0"/>
              <w:rPr>
                <w:sz w:val="1"/>
                <w:szCs w:val="1"/>
                <w:color w:val="auto"/>
              </w:rPr>
            </w:pPr>
          </w:p>
        </w:tc>
      </w:tr>
      <w:tr>
        <w:trPr>
          <w:trHeight w:val="205"/>
        </w:trPr>
        <w:tc>
          <w:tcPr>
            <w:tcW w:w="5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Earnings before income taxes and equity in earnings of unconsolidated affiliates</w:t>
            </w:r>
          </w:p>
        </w:tc>
        <w:tc>
          <w:tcPr>
            <w:tcW w:w="860" w:type="dxa"/>
            <w:vAlign w:val="bottom"/>
            <w:tcBorders>
              <w:top w:val="single" w:sz="8" w:color="auto"/>
              <w:bottom w:val="single" w:sz="8" w:color="auto"/>
            </w:tcBorders>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391</w:t>
            </w:r>
          </w:p>
        </w:tc>
        <w:tc>
          <w:tcPr>
            <w:tcW w:w="12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359</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1,053</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897</w:t>
            </w:r>
          </w:p>
        </w:tc>
        <w:tc>
          <w:tcPr>
            <w:tcW w:w="0" w:type="dxa"/>
            <w:vAlign w:val="bottom"/>
          </w:tcPr>
          <w:p>
            <w:pPr>
              <w:spacing w:after="0"/>
              <w:rPr>
                <w:sz w:val="1"/>
                <w:szCs w:val="1"/>
                <w:color w:val="auto"/>
              </w:rPr>
            </w:pPr>
          </w:p>
        </w:tc>
      </w:tr>
      <w:tr>
        <w:trPr>
          <w:trHeight w:val="20"/>
        </w:trPr>
        <w:tc>
          <w:tcPr>
            <w:tcW w:w="59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
        </w:trPr>
        <w:tc>
          <w:tcPr>
            <w:tcW w:w="592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5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Orders opened by direct title operations (in thousands)</w:t>
            </w:r>
          </w:p>
        </w:tc>
        <w:tc>
          <w:tcPr>
            <w:tcW w:w="8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1,079</w:t>
            </w:r>
          </w:p>
        </w:tc>
        <w:tc>
          <w:tcPr>
            <w:tcW w:w="0" w:type="dxa"/>
            <w:vAlign w:val="bottom"/>
          </w:tcPr>
          <w:p>
            <w:pPr>
              <w:spacing w:after="0"/>
              <w:rPr>
                <w:sz w:val="1"/>
                <w:szCs w:val="1"/>
                <w:color w:val="auto"/>
              </w:rPr>
            </w:pPr>
          </w:p>
        </w:tc>
      </w:tr>
      <w:tr>
        <w:trPr>
          <w:trHeight w:val="24"/>
        </w:trPr>
        <w:tc>
          <w:tcPr>
            <w:tcW w:w="59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Orders closed by direct title operations (in thousands)</w:t>
            </w:r>
          </w:p>
        </w:tc>
        <w:tc>
          <w:tcPr>
            <w:tcW w:w="8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697</w:t>
            </w:r>
          </w:p>
        </w:tc>
        <w:tc>
          <w:tcPr>
            <w:tcW w:w="0" w:type="dxa"/>
            <w:vAlign w:val="bottom"/>
          </w:tcPr>
          <w:p>
            <w:pPr>
              <w:spacing w:after="0"/>
              <w:rPr>
                <w:sz w:val="1"/>
                <w:szCs w:val="1"/>
                <w:color w:val="auto"/>
              </w:rPr>
            </w:pPr>
          </w:p>
        </w:tc>
      </w:tr>
      <w:tr>
        <w:trPr>
          <w:trHeight w:val="188"/>
        </w:trPr>
        <w:tc>
          <w:tcPr>
            <w:tcW w:w="5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Fee per file (in dollars)</w:t>
            </w:r>
          </w:p>
        </w:tc>
        <w:tc>
          <w:tcPr>
            <w:tcW w:w="860" w:type="dxa"/>
            <w:vAlign w:val="bottom"/>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4,229</w:t>
            </w:r>
          </w:p>
        </w:tc>
        <w:tc>
          <w:tcPr>
            <w:tcW w:w="120" w:type="dxa"/>
            <w:vAlign w:val="bottom"/>
          </w:tcPr>
          <w:p>
            <w:pPr>
              <w:spacing w:after="0"/>
              <w:rPr>
                <w:sz w:val="16"/>
                <w:szCs w:val="16"/>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3,994</w:t>
            </w:r>
          </w:p>
        </w:tc>
        <w:tc>
          <w:tcPr>
            <w:tcW w:w="100" w:type="dxa"/>
            <w:vAlign w:val="bottom"/>
          </w:tcPr>
          <w:p>
            <w:pPr>
              <w:spacing w:after="0"/>
              <w:rPr>
                <w:sz w:val="16"/>
                <w:szCs w:val="16"/>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4,011</w:t>
            </w:r>
          </w:p>
        </w:tc>
        <w:tc>
          <w:tcPr>
            <w:tcW w:w="100" w:type="dxa"/>
            <w:vAlign w:val="bottom"/>
          </w:tcPr>
          <w:p>
            <w:pPr>
              <w:spacing w:after="0"/>
              <w:rPr>
                <w:sz w:val="16"/>
                <w:szCs w:val="16"/>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3,892</w:t>
            </w:r>
          </w:p>
        </w:tc>
        <w:tc>
          <w:tcPr>
            <w:tcW w:w="0" w:type="dxa"/>
            <w:vAlign w:val="bottom"/>
          </w:tcPr>
          <w:p>
            <w:pPr>
              <w:spacing w:after="0"/>
              <w:rPr>
                <w:sz w:val="1"/>
                <w:szCs w:val="1"/>
                <w:color w:val="auto"/>
              </w:rPr>
            </w:pPr>
          </w:p>
        </w:tc>
      </w:tr>
    </w:tbl>
    <w:p>
      <w:pPr>
        <w:spacing w:after="0" w:line="20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Total revenues for the Title segment increased by $179 million, or 8%, in the three months ended September 30, 2026 and increased $724 million, or 12% in the nine months ended September 30, 2026 from the corresponding periods in 2025.</w:t>
      </w:r>
    </w:p>
    <w:p>
      <w:pPr>
        <w:spacing w:after="0" w:line="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the percentages of title insurance premiums generated by our direct and agency operations: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8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40" w:type="dxa"/>
            <w:vAlign w:val="bottom"/>
            <w:gridSpan w:val="7"/>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720" w:type="dxa"/>
            <w:vAlign w:val="bottom"/>
          </w:tcPr>
          <w:p>
            <w:pPr>
              <w:spacing w:after="0"/>
              <w:rPr>
                <w:sz w:val="16"/>
                <w:szCs w:val="16"/>
                <w:color w:val="auto"/>
              </w:rPr>
            </w:pPr>
          </w:p>
        </w:tc>
      </w:tr>
      <w:tr>
        <w:trPr>
          <w:trHeight w:val="24"/>
        </w:trPr>
        <w:tc>
          <w:tcPr>
            <w:tcW w:w="2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81"/>
        </w:trPr>
        <w:tc>
          <w:tcPr>
            <w:tcW w:w="2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 of</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 of</w:t>
            </w: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 of</w:t>
            </w: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 of</w:t>
            </w:r>
          </w:p>
        </w:tc>
      </w:tr>
      <w:tr>
        <w:trPr>
          <w:trHeight w:val="212"/>
        </w:trPr>
        <w:tc>
          <w:tcPr>
            <w:tcW w:w="2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8"/>
                <w:szCs w:val="18"/>
                <w:color w:val="auto"/>
              </w:rPr>
            </w:pPr>
          </w:p>
        </w:tc>
        <w:tc>
          <w:tcPr>
            <w:tcW w:w="102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8"/>
                <w:szCs w:val="18"/>
                <w:color w:val="auto"/>
              </w:rPr>
            </w:pPr>
          </w:p>
        </w:tc>
        <w:tc>
          <w:tcPr>
            <w:tcW w:w="820" w:type="dxa"/>
            <w:vAlign w:val="bottom"/>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8"/>
                <w:szCs w:val="18"/>
                <w:color w:val="auto"/>
              </w:rPr>
            </w:pPr>
          </w:p>
        </w:tc>
        <w:tc>
          <w:tcPr>
            <w:tcW w:w="126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8"/>
                <w:szCs w:val="18"/>
                <w:color w:val="auto"/>
              </w:rPr>
            </w:pPr>
          </w:p>
        </w:tc>
        <w:tc>
          <w:tcPr>
            <w:tcW w:w="580" w:type="dxa"/>
            <w:vAlign w:val="bottom"/>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8"/>
                <w:szCs w:val="18"/>
                <w:color w:val="auto"/>
              </w:rPr>
            </w:pPr>
          </w:p>
        </w:tc>
        <w:tc>
          <w:tcPr>
            <w:tcW w:w="10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8"/>
                <w:szCs w:val="18"/>
                <w:color w:val="auto"/>
              </w:rPr>
            </w:pPr>
          </w:p>
        </w:tc>
        <w:tc>
          <w:tcPr>
            <w:tcW w:w="640" w:type="dxa"/>
            <w:vAlign w:val="bottom"/>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
        </w:trPr>
        <w:tc>
          <w:tcPr>
            <w:tcW w:w="2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81"/>
        </w:trPr>
        <w:tc>
          <w:tcPr>
            <w:tcW w:w="2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4"/>
        </w:trPr>
        <w:tc>
          <w:tcPr>
            <w:tcW w:w="2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92"/>
        </w:trPr>
        <w:tc>
          <w:tcPr>
            <w:tcW w:w="2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Title premiums from direct operations</w:t>
            </w:r>
          </w:p>
        </w:tc>
        <w:tc>
          <w:tcPr>
            <w:tcW w:w="24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755</w:t>
            </w: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45 %</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w:t>
            </w:r>
          </w:p>
        </w:tc>
        <w:tc>
          <w:tcPr>
            <w:tcW w:w="1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43 %</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2,105</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44 %</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1,820</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43 %</w:t>
            </w:r>
          </w:p>
        </w:tc>
      </w:tr>
      <w:tr>
        <w:trPr>
          <w:trHeight w:val="188"/>
        </w:trPr>
        <w:tc>
          <w:tcPr>
            <w:tcW w:w="2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Title premiums from agency operations</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915</w:t>
            </w:r>
          </w:p>
        </w:tc>
        <w:tc>
          <w:tcPr>
            <w:tcW w:w="100" w:type="dxa"/>
            <w:vAlign w:val="bottom"/>
          </w:tcPr>
          <w:p>
            <w:pPr>
              <w:spacing w:after="0"/>
              <w:rPr>
                <w:sz w:val="16"/>
                <w:szCs w:val="16"/>
                <w:color w:val="auto"/>
              </w:rPr>
            </w:pPr>
          </w:p>
        </w:tc>
        <w:tc>
          <w:tcPr>
            <w:tcW w:w="9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890</w:t>
            </w:r>
          </w:p>
        </w:tc>
        <w:tc>
          <w:tcPr>
            <w:tcW w:w="100" w:type="dxa"/>
            <w:vAlign w:val="bottom"/>
          </w:tcPr>
          <w:p>
            <w:pPr>
              <w:spacing w:after="0"/>
              <w:rPr>
                <w:sz w:val="16"/>
                <w:szCs w:val="16"/>
                <w:color w:val="auto"/>
              </w:rPr>
            </w:pPr>
          </w:p>
        </w:tc>
        <w:tc>
          <w:tcPr>
            <w:tcW w:w="11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2,670</w:t>
            </w:r>
          </w:p>
        </w:tc>
        <w:tc>
          <w:tcPr>
            <w:tcW w:w="102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color w:val="auto"/>
              </w:rPr>
              <w:t>56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57</w:t>
            </w:r>
          </w:p>
        </w:tc>
      </w:tr>
      <w:tr>
        <w:trPr>
          <w:trHeight w:val="24"/>
        </w:trPr>
        <w:tc>
          <w:tcPr>
            <w:tcW w:w="2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25"/>
        </w:trPr>
        <w:tc>
          <w:tcPr>
            <w:tcW w:w="2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title premiums</w:t>
            </w: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1,670</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1,568</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4,775</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Title premiums increased by $102 million, or 7%, in the three months ended September 30, 2026 from the corresponding period in 2025. The increase was comprised of an increase in Title premiums from direct operations of $77 million, or 11%, and an increase in Title premiums from agency operations of $25 million, or 3%.</w:t>
      </w:r>
    </w:p>
    <w:p>
      <w:pPr>
        <w:spacing w:after="0" w:line="7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Title premiums increased by $545 million or 13% in the nine months ended September 30, 2026 from the corresponding period in 2025. The increase was comprised of an increase in Title premiums from direct operations of $285 million, or 16%, and an increase in Title premiums from agency operations of $260 million, or 11%.</w:t>
      </w:r>
    </w:p>
    <w:p>
      <w:pPr>
        <w:spacing w:after="0" w:line="7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presents the percentages of opened and closed title insurance orders generated by purchase and refinance transactions by our direct operations: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00" w:type="dxa"/>
            <w:vAlign w:val="bottom"/>
          </w:tcPr>
          <w:p>
            <w:pPr>
              <w:spacing w:after="0"/>
              <w:rPr>
                <w:sz w:val="16"/>
                <w:szCs w:val="16"/>
                <w:color w:val="auto"/>
              </w:rPr>
            </w:pPr>
          </w:p>
        </w:tc>
        <w:tc>
          <w:tcPr>
            <w:tcW w:w="25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0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420" w:type="dxa"/>
            <w:vAlign w:val="bottom"/>
          </w:tcPr>
          <w:p>
            <w:pPr>
              <w:spacing w:after="0"/>
              <w:rPr>
                <w:sz w:val="16"/>
                <w:szCs w:val="16"/>
                <w:color w:val="auto"/>
              </w:rPr>
            </w:pPr>
          </w:p>
        </w:tc>
      </w:tr>
      <w:tr>
        <w:trPr>
          <w:trHeight w:val="24"/>
        </w:trPr>
        <w:tc>
          <w:tcPr>
            <w:tcW w:w="53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181"/>
        </w:trPr>
        <w:tc>
          <w:tcPr>
            <w:tcW w:w="6220" w:type="dxa"/>
            <w:vAlign w:val="bottom"/>
            <w:gridSpan w:val="2"/>
          </w:tcPr>
          <w:p>
            <w:pPr>
              <w:ind w:left="586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40" w:type="dxa"/>
            <w:vAlign w:val="bottom"/>
            <w:gridSpan w:val="3"/>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5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Pr>
          <w:p>
            <w:pPr>
              <w:spacing w:after="0"/>
              <w:rPr>
                <w:sz w:val="15"/>
                <w:szCs w:val="15"/>
                <w:color w:val="auto"/>
              </w:rPr>
            </w:pPr>
          </w:p>
        </w:tc>
      </w:tr>
      <w:tr>
        <w:trPr>
          <w:trHeight w:val="24"/>
        </w:trPr>
        <w:tc>
          <w:tcPr>
            <w:tcW w:w="53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181"/>
        </w:trPr>
        <w:tc>
          <w:tcPr>
            <w:tcW w:w="6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Opened title insurance orders from purchase transactions (1)</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73 %</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70 %</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70 %</w:t>
            </w: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73 %</w:t>
            </w:r>
          </w:p>
        </w:tc>
      </w:tr>
      <w:tr>
        <w:trPr>
          <w:trHeight w:val="24"/>
        </w:trPr>
        <w:tc>
          <w:tcPr>
            <w:tcW w:w="5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12"/>
        </w:trPr>
        <w:tc>
          <w:tcPr>
            <w:tcW w:w="6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Opened title insurance orders from refinance transactions (1)</w:t>
            </w:r>
          </w:p>
        </w:tc>
        <w:tc>
          <w:tcPr>
            <w:tcW w:w="48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27</w:t>
            </w:r>
          </w:p>
        </w:tc>
      </w:tr>
      <w:tr>
        <w:trPr>
          <w:trHeight w:val="181"/>
        </w:trPr>
        <w:tc>
          <w:tcPr>
            <w:tcW w:w="530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100 %</w:t>
            </w:r>
          </w:p>
        </w:tc>
        <w:tc>
          <w:tcPr>
            <w:tcW w:w="10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8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4"/>
        </w:trPr>
        <w:tc>
          <w:tcPr>
            <w:tcW w:w="53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0"/>
        </w:trPr>
        <w:tc>
          <w:tcPr>
            <w:tcW w:w="53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r>
        <w:trPr>
          <w:trHeight w:val="73"/>
        </w:trPr>
        <w:tc>
          <w:tcPr>
            <w:tcW w:w="530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r>
      <w:tr>
        <w:trPr>
          <w:trHeight w:val="188"/>
        </w:trPr>
        <w:tc>
          <w:tcPr>
            <w:tcW w:w="6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Closed title insurance orders from purchase transactions (1)</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72 %</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74 %</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68 %</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75 %</w:t>
            </w:r>
          </w:p>
        </w:tc>
      </w:tr>
      <w:tr>
        <w:trPr>
          <w:trHeight w:val="24"/>
        </w:trPr>
        <w:tc>
          <w:tcPr>
            <w:tcW w:w="5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12"/>
        </w:trPr>
        <w:tc>
          <w:tcPr>
            <w:tcW w:w="6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Closed title insurance orders from refinance transactions (1)</w:t>
            </w:r>
          </w:p>
        </w:tc>
        <w:tc>
          <w:tcPr>
            <w:tcW w:w="48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25</w:t>
            </w:r>
          </w:p>
        </w:tc>
      </w:tr>
      <w:tr>
        <w:trPr>
          <w:trHeight w:val="181"/>
        </w:trPr>
        <w:tc>
          <w:tcPr>
            <w:tcW w:w="530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100 %</w:t>
            </w:r>
          </w:p>
        </w:tc>
        <w:tc>
          <w:tcPr>
            <w:tcW w:w="10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8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4"/>
        </w:trPr>
        <w:tc>
          <w:tcPr>
            <w:tcW w:w="53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0"/>
        </w:trPr>
        <w:tc>
          <w:tcPr>
            <w:tcW w:w="53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Percentages exclude consideration of an immaterial number of non-purchase and non-refinance orders.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Title premiums from direct operations increased in the three and nine months ended September 30, 2026 from the corresponding periods in 2025. The increase was attributable to increases in the average fee per file and closed order volume.</w:t>
      </w:r>
    </w:p>
    <w:p>
      <w:pPr>
        <w:spacing w:after="0" w:line="5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experienced an increase in closed title insurance order volumes from both purchase and refinance transactions in the three and nine months ended September 30, 2026 from the corresponding periods in 2025. Total closed order volume was 260,000 in the three months ended September 30, 2026 compared to 250,000 in the three months ended September 30, 2025 and 767,000 in the nine months ended September 30, 2026 compared to 697,000 in the nine months ended September 30, 2025. This represented an overall increase of 4% and 10% in the three and nine months ended September 30, 2026, respectively, from the corresponding periods in 2025. The increases were primarily attributable to higher housing inventory and modestly lower mortgage interest rates in the three and nine months ended September 30, 2026 as compared to the corresponding periods in 2025.</w:t>
      </w:r>
    </w:p>
    <w:p>
      <w:pPr>
        <w:spacing w:after="0" w:line="7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Total opened title insurance order volumes decreased in the three months ended September 30, 2026 and increased in the nine months ended September 30, 2026 from the corresponding periods in 2025.</w:t>
      </w:r>
    </w:p>
    <w:p>
      <w:pPr>
        <w:spacing w:after="0" w:line="5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average fee per file in our direct operations was $4,229 and $4,011 in the three and nine months ended September 30, 2026, respectively, compared to $3,994 and $3,892 in the three and nine months ended September 30, 2025, respectively. The increases in average fee per file in the three and nine months ended September 30, 2026 as compared to the corresponding periods in 2025 were primarily attributable to home price appreciation and a higher portion of closings from commercial transactions, which have a relatively higher fee per file.</w:t>
      </w:r>
    </w:p>
    <w:p>
      <w:pPr>
        <w:spacing w:after="0" w:line="7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Title premiums from agency operations increased $25 million, or 3%, in the three months ended September 30, 2026 and increased $260 million, or 11%, in the nine months ended September 30, 2026 from the corresponding periods in 2025.</w:t>
      </w:r>
    </w:p>
    <w:p>
      <w:pPr>
        <w:spacing w:after="0" w:line="57"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Escrow, title-related and other fees increased by $66 million, or 10%, in the three months ended September 30, 2026 and increased $210 million, or 12%, in the nine months ended September 30, 2026 from the corresponding periods in 2025. Escrow and title-related fees increased by $13 million, or 5%, in the three months ended September 30, 2026 and $64 million, or 10%, in the nine months ended September 30, 2026 from the corresponding periods in 2025. The increases in escrow and title-related fees in the three and nine months ended September 30, 2026 as compared to the corresponding periods in 2025 were primarily attributable to increased closed order volume. Other fees, excluding escrow and title-related fees, increased by $53 million, or 14%, in the three months ended September 30, 2026 and increased $146 million, or 13%, in the nine months ended September 30, 2026. The increases in Other fees, excluding escrow and title-related fees, in the three and nine months ended September 30, 2026 as compared to the corresponding periods in 2025 were attributable to various immaterial items.</w:t>
      </w:r>
    </w:p>
    <w:p>
      <w:pPr>
        <w:spacing w:after="0" w:line="8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Interest and investment income levels are primarily a function of securities markets, interest rates, and the amount of cash available for investment.</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Interest and investment income was relatively flat in the three and nine months ended September 30, 2026 as compared to the corresponding periods in 2025.</w:t>
      </w:r>
    </w:p>
    <w:p>
      <w:pPr>
        <w:spacing w:after="0" w:line="10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Net recognized losses were $19 million and $51 million in the three and nine months ended September 30, 2026, respectively. Net recognized losses were $38 million and $20 million in the three and nine months ended September 30, 2025, respectively. The fluctuations in recognized gains and losses, net in the three and nine months ended September 30, 2026 as compared to the corresponding periods in 2025, are primarily attributable to fluctuations in non-cash valuation changes on our equity and preferred security holdings in addition to various other immaterial items.</w:t>
      </w:r>
    </w:p>
    <w:p>
      <w:pPr>
        <w:spacing w:after="0" w:line="74"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Personnel costs include base salaries, commissions, benefits, stock-based compensation, and bonuses paid to employees, and are one of our most significant operating expenses. Personnel costs increased $74 million, or 10%, in the three months ended September 30, 2026 and increased $220 million, or 10%, in the nine months ended September 30, 2026 from the corresponding periods in 2025. The increases are due to increased health insurance claims, inflationary salary increases, and increased variable costs from the increase in revenues in the three and nine months ended September 30, 2026 as compared to the corresponding periods in 2025. Personnel costs as a percentage of total revenues from direct title premiums and escrow, title-related and other fees were 58% and 58% for the three months ended September 30, 2026 and 2025, and 59% and 61% for the nine months ended September 30, 2026 and 2025, respectively. Average employee count in the Title segment was 24,305 and 22,600 in the three months ended September 30, 2026 and 2025, respectively, and 23,660 and 22,072 in the nine months ended September 30, 2026 and 2025, respectively.</w:t>
      </w:r>
    </w:p>
    <w:p>
      <w:pPr>
        <w:spacing w:after="0" w:line="8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Other operating expenses increased by $45 million, or 13%, in the three months ended September 30, 2026 and increased by $124 million, or 12%, in the nine months ended September 30, 2026 from the corresponding periods in 2025. Other operating expenses as a percentage of total revenue excluding agency premiums, interest and investment income, and recognized gains and losses were 27% and 26% in the three months ended September 30, 2026 and 2025, and 27% and 28% in nine months ended September 30, 2026 and 2025, respectively.</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firstLine="318"/>
        <w:spacing w:after="0" w:line="304" w:lineRule="auto"/>
        <w:rPr>
          <w:sz w:val="20"/>
          <w:szCs w:val="20"/>
          <w:color w:val="auto"/>
        </w:rPr>
      </w:pPr>
      <w:r>
        <w:rPr>
          <w:rFonts w:ascii="Times New Roman" w:cs="Times New Roman" w:eastAsia="Times New Roman" w:hAnsi="Times New Roman"/>
          <w:sz w:val="17"/>
          <w:szCs w:val="17"/>
          <w:color w:val="auto"/>
        </w:rPr>
        <w:t>Agent commissions represent the portion of premiums retained by agents pursuant to the terms of their respective agency contracts. Agent commissions and the resulting percentage of agent premiums that we retain vary according to regional differences in real estate closing practices and state regulations.</w:t>
      </w:r>
    </w:p>
    <w:p>
      <w:pPr>
        <w:spacing w:after="0" w:line="3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illustrates the relationship of agent premiums and agent commissions: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18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2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940" w:type="dxa"/>
            <w:vAlign w:val="bottom"/>
          </w:tcPr>
          <w:p>
            <w:pPr>
              <w:spacing w:after="0"/>
              <w:rPr>
                <w:sz w:val="16"/>
                <w:szCs w:val="16"/>
                <w:color w:val="auto"/>
              </w:rPr>
            </w:pPr>
          </w:p>
        </w:tc>
      </w:tr>
      <w:tr>
        <w:trPr>
          <w:trHeight w:val="24"/>
        </w:trPr>
        <w:tc>
          <w:tcPr>
            <w:tcW w:w="30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1"/>
        </w:trPr>
        <w:tc>
          <w:tcPr>
            <w:tcW w:w="30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920" w:type="dxa"/>
            <w:vAlign w:val="bottom"/>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940" w:type="dxa"/>
            <w:vAlign w:val="bottom"/>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4"/>
        </w:trPr>
        <w:tc>
          <w:tcPr>
            <w:tcW w:w="30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1"/>
        </w:trPr>
        <w:tc>
          <w:tcPr>
            <w:tcW w:w="30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60" w:type="dxa"/>
            <w:vAlign w:val="bottom"/>
            <w:gridSpan w:val="4"/>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4"/>
        </w:trPr>
        <w:tc>
          <w:tcPr>
            <w:tcW w:w="3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92"/>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Agent premiums</w:t>
            </w:r>
          </w:p>
        </w:tc>
        <w:tc>
          <w:tcPr>
            <w:tcW w:w="620" w:type="dxa"/>
            <w:vAlign w:val="bottom"/>
            <w:tcBorders>
              <w:bottom w:val="single" w:sz="8" w:color="CCEEFF"/>
            </w:tcBorders>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915</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100 %</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890</w:t>
            </w:r>
          </w:p>
        </w:tc>
        <w:tc>
          <w:tcPr>
            <w:tcW w:w="1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2,670</w:t>
            </w:r>
          </w:p>
        </w:tc>
        <w:tc>
          <w:tcPr>
            <w:tcW w:w="10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2,410</w:t>
            </w: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88"/>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Agent commissions</w:t>
            </w:r>
          </w:p>
        </w:tc>
        <w:tc>
          <w:tcPr>
            <w:tcW w:w="62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711</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690</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2,068</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77 %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1,872</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78 %</w:t>
            </w:r>
          </w:p>
        </w:tc>
      </w:tr>
      <w:tr>
        <w:trPr>
          <w:trHeight w:val="24"/>
        </w:trPr>
        <w:tc>
          <w:tcPr>
            <w:tcW w:w="30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25"/>
        </w:trPr>
        <w:tc>
          <w:tcPr>
            <w:tcW w:w="3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retained agent premiums</w:t>
            </w:r>
          </w:p>
        </w:tc>
        <w:tc>
          <w:tcPr>
            <w:tcW w:w="620" w:type="dxa"/>
            <w:vAlign w:val="bottom"/>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23 %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22 %</w:t>
            </w: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claim loss provision for title insurance was $75 million and $70 million for the three months ended September 30, 2026 and 2025, respectively, and $215 million and $190 million for the nine months ended September 30, 2026 and 2025, respectively. The provision reflects an average provision rate of 4.5% of title premiums in all periods. We continually monitor and evaluate our loss provision level, actual claims paid, and the loss reserve position each quarter. This loss provision rate is set to provide for losses on current year policies, but due to development of prior years and our long claim duration, it periodically includes amounts of estimated adverse or positive development on prior years' policies.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F&amp;G</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Overview</w:t>
      </w:r>
    </w:p>
    <w:p>
      <w:pPr>
        <w:spacing w:after="0" w:line="87"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Through our majority-owned F&amp;G subsidiary, we have five distribution channels across retail and institutional markets. Our three retail channels include agent-based Independent Marketing Organizations ("IMOs"), banks, and broker dealers. We have deep, long-tenured relationships with our network of leading IMOs and their agents to serve the needs of the middle-income market and develop competitive annuity and life products to align with their evolving needs. Upon FNF’s ownership and F&amp;G’s subsequent rating upgrades in mid-2020, we launched into banks and broker dealers. Further, in 2021, we launched into two institutional markets to originate Funding Agreement Backed Notes ("FABN") and pension risk transfer ("PRT") transactions. The FABN Program offers funding agreements to institutional clients by means of capital markets transactions through investment banks. The funding agreements issued under the FABN Program are in addition to those issued to the Federal Home Loan Bank of Atlanta ("FHLB"). The PRT solutions business is supported by an experienced team, and we partner with brokers and institutional consultants for distribution. These markets leverage our existing team's spread-based capabilities as well as our strategic partnership with Blackstone ISG-I Advisors LLC (“Blackstone”).</w:t>
      </w:r>
    </w:p>
    <w:p>
      <w:pPr>
        <w:spacing w:after="0" w:line="81" w:lineRule="exact"/>
        <w:rPr>
          <w:sz w:val="20"/>
          <w:szCs w:val="20"/>
          <w:color w:val="auto"/>
        </w:rPr>
      </w:pPr>
    </w:p>
    <w:p>
      <w:pPr>
        <w:jc w:val="both"/>
        <w:ind w:firstLine="397"/>
        <w:spacing w:after="0" w:line="255" w:lineRule="auto"/>
        <w:rPr>
          <w:sz w:val="20"/>
          <w:szCs w:val="20"/>
          <w:color w:val="auto"/>
        </w:rPr>
      </w:pPr>
      <w:r>
        <w:rPr>
          <w:rFonts w:ascii="Times New Roman" w:cs="Times New Roman" w:eastAsia="Times New Roman" w:hAnsi="Times New Roman"/>
          <w:sz w:val="18"/>
          <w:szCs w:val="18"/>
          <w:color w:val="auto"/>
        </w:rPr>
        <w:t>In setting the features and pricing of our flagship indexed annuity products relative to our targeted net margin, we take into account our expectations regarding (1) the difference between the net investment income we earn and the sum of the interest credited to policyholders and the cost of hedging our risk on the policies; (2) fees, including surrender charges and rider fees, partly offset by vesting bonuses that we pay our policyholders; and (3) a number of related expenses, including benefits and changes in reserves, acquisition costs, and general and administrative expenses.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Our Historical Results of Operations</w:t>
      </w:r>
    </w:p>
    <w:p>
      <w:pPr>
        <w:spacing w:after="0" w:line="113" w:lineRule="exact"/>
        <w:rPr>
          <w:sz w:val="20"/>
          <w:szCs w:val="20"/>
          <w:color w:val="auto"/>
        </w:rPr>
      </w:pPr>
    </w:p>
    <w:p>
      <w:pPr>
        <w:jc w:val="both"/>
        <w:ind w:firstLine="437"/>
        <w:spacing w:after="0" w:line="248" w:lineRule="auto"/>
        <w:rPr>
          <w:sz w:val="20"/>
          <w:szCs w:val="20"/>
          <w:color w:val="auto"/>
        </w:rPr>
      </w:pPr>
      <w:r>
        <w:rPr>
          <w:rFonts w:ascii="Times New Roman" w:cs="Times New Roman" w:eastAsia="Times New Roman" w:hAnsi="Times New Roman"/>
          <w:sz w:val="18"/>
          <w:szCs w:val="18"/>
          <w:color w:val="auto"/>
        </w:rPr>
        <w:t>Through our insurance subsidiaries, we issue a broad portfolio of deferred annuities (indexed annuities and fixed rate annuities), IUL insurance, immediate annuities, funding agreements and PRT solutions. A deferred annuity is a type of contract that accumulates value on a tax deferred basis and typically begins making specified periodic or lump sum payments a certain number of years after the contract has been issued. IUL insurance is a complementary type of contract that accumulates value in a cash value account and provides a payment to designated beneficiaries upon the policyholder’s death. An immediate annuity is a type of contract that begins making specified payments within one annuity period (e.g., one month or one year) and typically makes payments of principal and interest earnings over a period of time. As defined by the Iowa Insurance Division, a funding agreement is an agreement for an insurer to accept and accumulate funds and to make one or more payments at future dates in amounts that are not based on mortality or morbidity contingencies of the person to whom the funding agreement is issued. In essence, funding agreement providers issue fixed maturity contracts with fixed or floating interest rates in exchange for a single upfront premium. Our PRT products are comparable to income annuities, as we generally receive a single, upfront premium in exchange for paying a guaranteed stream of future income payments, which are typically fixed in nature but may vary in duration based on participant mortality experience.</w:t>
      </w:r>
    </w:p>
    <w:p>
      <w:pPr>
        <w:spacing w:after="0" w:line="8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Under GAAP, premium collections for deferred annuities (indexed annuities and fixed rate annuities), immediate annuities and PRT without life contingency, and deposits received for funding agreements are reported in the financial statements as deposit liabilities (i.e., Contractholder funds) instead of as sales or revenues. Similarly, cash payments to customers are reported as decreases in the liability for Contractholder funds and not as expenses. Sources of revenues for products accounted for as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deposit liabilities are net investment income, surrender charges, cost of insurance and other charges deducted from Contractholder funds (i.e., amortization of unearned revenue liabilities (“URL”)), and net realized gains (losses) on investments. Components of expenses for products accounted for as deposit liabilities are interest-sensitive and index product benefits (primarily interest credited to account balances or the hedging cost of providing index credits to the policyholder), amortization of value of business acquired (“VOBA”), deferred acquisition costs (“DAC”) and deferred sales inducements (“DSI”), and other operating costs and expenses.</w:t>
      </w:r>
    </w:p>
    <w:p>
      <w:pPr>
        <w:spacing w:after="0" w:line="79"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F&amp;G hedges certain portions of its exposure to product related equity market risk by entering into derivative transactions. We purchase derivatives consisting predominantly of equity options and, to a lesser degree, futures contracts (specifically for indexed annuity contracts) on the equity indices underlying the applicable policy. These derivatives are used to offset the reserve impact of the index credits due to policyholders under the indexed annuity and IUL contracts. The majority of all such equity options are one-year options purchased to match the funding requirements underlying the indexed annuity/IUL contracts. We attempt to manage the cost of these purchases through the terms of our indexed annuity/IUL contracts, which permit us to change caps, spread, or participation rates on each policy's annual anniversary, subject to certain guaranteed minimums that must be maintained. The equity options and futures contracts are marked to fair value with the change in fair value included as a component of net investment gains (losses). The change in fair value of the equity options and futures contracts includes the gains and losses recognized at the expiration of the instruments’ terms or upon early termination and the changes in fair value of open positions. In addition, to reduce market risks from interest rate changes and foreign exchange rate fluctuations on our earnings associated with our floating rate and foreign currency denominated investments, we execute pay-float and receive-fixed interest rate swaps and utilize foreign currency derivatives, including foreign currency swaps and forwards.</w:t>
      </w:r>
    </w:p>
    <w:p>
      <w:pPr>
        <w:spacing w:after="0" w:line="85"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MRBs are contracts or contract features that both provide protection to the contract holder from other-than-nominal capital market risk (equity, interest and foreign exchange risk) and expose the Company to other-than-nominal capital market risk. MRBs (inclusive of reinsured MRBs) are measured at fair value using a risk neutral valuation method, which is based on current net amounts at risk, market data, internal and industry experience, and other factors. The change in fair value of MRBs generally reflects impacts from actual policyholder behavior (including surrenders of the benefit), changes in interest rates, and changes in equity market returns. Generally higher interest rates and equity returns result in gains whereas lower interest rates and equity returns result in losses. Reinsured MRBs are valued using a methodology consistent with direct MRBs, with the exception of the non-performance spread, which reflects the credit of the reinsurer.</w:t>
      </w:r>
    </w:p>
    <w:p>
      <w:pPr>
        <w:spacing w:after="0" w:line="8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Earnings from products accounted for as deposit liabilities are primarily generated from the excess of net investment income earned over the sum of interest credited to policyholders and the cost of hedging our risk on indexed annuity/IUL policies, which includes the expenses incurred to fund the index credit with respect to indexed annuities/IULs. Proceeds received upon expiration or early termination of equity options purchased to fund annual index credits are recorded as part of the change in fair value of derivatives and are largely offset by an expense for index credits earned on annuity Contractholder fund balances.</w:t>
      </w:r>
    </w:p>
    <w:p>
      <w:pPr>
        <w:spacing w:after="0" w:line="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F&amp;G Results of Operations</w:t>
      </w:r>
    </w:p>
    <w:p>
      <w:pPr>
        <w:spacing w:after="0" w:line="8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results of operations of our F&amp;G segment for the three and nine months ended September 30, 2026 and 2025 were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60" w:type="dxa"/>
            <w:vAlign w:val="bottom"/>
          </w:tcPr>
          <w:p>
            <w:pPr>
              <w:spacing w:after="0"/>
              <w:rPr>
                <w:sz w:val="16"/>
                <w:szCs w:val="16"/>
                <w:color w:val="auto"/>
              </w:rPr>
            </w:pPr>
          </w:p>
        </w:tc>
        <w:tc>
          <w:tcPr>
            <w:tcW w:w="26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80" w:type="dxa"/>
            <w:vAlign w:val="bottom"/>
            <w:gridSpan w:val="4"/>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7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4760" w:type="dxa"/>
            <w:vAlign w:val="bottom"/>
          </w:tcPr>
          <w:p>
            <w:pPr>
              <w:spacing w:after="0"/>
              <w:rPr>
                <w:sz w:val="15"/>
                <w:szCs w:val="15"/>
                <w:color w:val="auto"/>
              </w:rPr>
            </w:pPr>
          </w:p>
        </w:tc>
        <w:tc>
          <w:tcPr>
            <w:tcW w:w="102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4760" w:type="dxa"/>
            <w:vAlign w:val="bottom"/>
            <w:vMerge w:val="continue"/>
          </w:tcPr>
          <w:p>
            <w:pPr>
              <w:spacing w:after="0"/>
              <w:rPr>
                <w:sz w:val="15"/>
                <w:szCs w:val="15"/>
                <w:color w:val="auto"/>
              </w:rPr>
            </w:pPr>
          </w:p>
        </w:tc>
        <w:tc>
          <w:tcPr>
            <w:tcW w:w="10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40" w:type="dxa"/>
            <w:vAlign w:val="bottom"/>
            <w:gridSpan w:val="3"/>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7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47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Life insurance premiums and other fees</w:t>
            </w:r>
          </w:p>
        </w:tc>
        <w:tc>
          <w:tcPr>
            <w:tcW w:w="1020" w:type="dxa"/>
            <w:vAlign w:val="bottom"/>
            <w:tcBorders>
              <w:bottom w:val="single" w:sz="8" w:color="CCEEFF"/>
            </w:tcBorders>
            <w:shd w:val="clear" w:color="auto" w:fill="CCEEFF"/>
          </w:tcPr>
          <w:p>
            <w:pPr>
              <w:jc w:val="right"/>
              <w:ind w:right="84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w:t>
            </w:r>
          </w:p>
        </w:tc>
        <w:tc>
          <w:tcPr>
            <w:tcW w:w="1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84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1,203</w:t>
            </w:r>
          </w:p>
        </w:tc>
        <w:tc>
          <w:tcPr>
            <w:tcW w:w="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1,808</w:t>
            </w:r>
          </w:p>
        </w:tc>
        <w:tc>
          <w:tcPr>
            <w:tcW w:w="0" w:type="dxa"/>
            <w:vAlign w:val="bottom"/>
          </w:tcPr>
          <w:p>
            <w:pPr>
              <w:spacing w:after="0"/>
              <w:rPr>
                <w:sz w:val="1"/>
                <w:szCs w:val="1"/>
                <w:color w:val="auto"/>
              </w:rPr>
            </w:pPr>
          </w:p>
        </w:tc>
      </w:tr>
      <w:tr>
        <w:trPr>
          <w:trHeight w:val="188"/>
        </w:trPr>
        <w:tc>
          <w:tcPr>
            <w:tcW w:w="47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Interest and investment income</w:t>
            </w:r>
          </w:p>
        </w:tc>
        <w:tc>
          <w:tcPr>
            <w:tcW w:w="10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698</w:t>
            </w: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748</w:t>
            </w: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2,139</w:t>
            </w: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2,096</w:t>
            </w:r>
          </w:p>
        </w:tc>
        <w:tc>
          <w:tcPr>
            <w:tcW w:w="0" w:type="dxa"/>
            <w:vAlign w:val="bottom"/>
          </w:tcPr>
          <w:p>
            <w:pPr>
              <w:spacing w:after="0"/>
              <w:rPr>
                <w:sz w:val="1"/>
                <w:szCs w:val="1"/>
                <w:color w:val="auto"/>
              </w:rPr>
            </w:pPr>
          </w:p>
        </w:tc>
      </w:tr>
      <w:tr>
        <w:trPr>
          <w:trHeight w:val="24"/>
        </w:trPr>
        <w:tc>
          <w:tcPr>
            <w:tcW w:w="47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47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Owned distribution revenues</w:t>
            </w:r>
          </w:p>
        </w:tc>
        <w:tc>
          <w:tcPr>
            <w:tcW w:w="10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0" w:type="dxa"/>
            <w:vAlign w:val="bottom"/>
          </w:tcPr>
          <w:p>
            <w:pPr>
              <w:spacing w:after="0"/>
              <w:rPr>
                <w:sz w:val="1"/>
                <w:szCs w:val="1"/>
                <w:color w:val="auto"/>
              </w:rPr>
            </w:pPr>
          </w:p>
        </w:tc>
      </w:tr>
      <w:tr>
        <w:trPr>
          <w:trHeight w:val="188"/>
        </w:trPr>
        <w:tc>
          <w:tcPr>
            <w:tcW w:w="47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Recognized gains and losses, net</w:t>
            </w:r>
          </w:p>
        </w:tc>
        <w:tc>
          <w:tcPr>
            <w:tcW w:w="10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4"/>
        </w:trPr>
        <w:tc>
          <w:tcPr>
            <w:tcW w:w="47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7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revenues</w:t>
            </w:r>
          </w:p>
        </w:tc>
        <w:tc>
          <w:tcPr>
            <w:tcW w:w="10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1,131</w:t>
            </w:r>
          </w:p>
        </w:tc>
        <w:tc>
          <w:tcPr>
            <w:tcW w:w="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1,694</w:t>
            </w:r>
          </w:p>
        </w:tc>
        <w:tc>
          <w:tcPr>
            <w:tcW w:w="1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3,739</w:t>
            </w:r>
          </w:p>
        </w:tc>
        <w:tc>
          <w:tcPr>
            <w:tcW w:w="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3,966</w:t>
            </w:r>
          </w:p>
        </w:tc>
        <w:tc>
          <w:tcPr>
            <w:tcW w:w="0" w:type="dxa"/>
            <w:vAlign w:val="bottom"/>
          </w:tcPr>
          <w:p>
            <w:pPr>
              <w:spacing w:after="0"/>
              <w:rPr>
                <w:sz w:val="1"/>
                <w:szCs w:val="1"/>
                <w:color w:val="auto"/>
              </w:rPr>
            </w:pPr>
          </w:p>
        </w:tc>
      </w:tr>
      <w:tr>
        <w:trPr>
          <w:trHeight w:val="168"/>
        </w:trPr>
        <w:tc>
          <w:tcPr>
            <w:tcW w:w="4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Benefits and expenses</w:t>
            </w:r>
          </w:p>
        </w:tc>
        <w:tc>
          <w:tcPr>
            <w:tcW w:w="102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47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47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Benefits and other changes in policy reserves</w:t>
            </w:r>
          </w:p>
        </w:tc>
        <w:tc>
          <w:tcPr>
            <w:tcW w:w="10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1,181</w:t>
            </w:r>
          </w:p>
        </w:tc>
        <w:tc>
          <w:tcPr>
            <w:tcW w:w="1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1,659</w:t>
            </w:r>
          </w:p>
        </w:tc>
        <w:tc>
          <w:tcPr>
            <w:tcW w:w="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2,698</w:t>
            </w:r>
          </w:p>
        </w:tc>
        <w:tc>
          <w:tcPr>
            <w:tcW w:w="0" w:type="dxa"/>
            <w:vAlign w:val="bottom"/>
          </w:tcPr>
          <w:p>
            <w:pPr>
              <w:spacing w:after="0"/>
              <w:rPr>
                <w:sz w:val="1"/>
                <w:szCs w:val="1"/>
                <w:color w:val="auto"/>
              </w:rPr>
            </w:pPr>
          </w:p>
        </w:tc>
      </w:tr>
      <w:tr>
        <w:trPr>
          <w:trHeight w:val="188"/>
        </w:trPr>
        <w:tc>
          <w:tcPr>
            <w:tcW w:w="47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Market risk benefit (gains) losses</w:t>
            </w:r>
          </w:p>
        </w:tc>
        <w:tc>
          <w:tcPr>
            <w:tcW w:w="10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0" w:type="dxa"/>
            <w:vAlign w:val="bottom"/>
          </w:tcPr>
          <w:p>
            <w:pPr>
              <w:spacing w:after="0"/>
              <w:rPr>
                <w:sz w:val="1"/>
                <w:szCs w:val="1"/>
                <w:color w:val="auto"/>
              </w:rPr>
            </w:pPr>
          </w:p>
        </w:tc>
      </w:tr>
      <w:tr>
        <w:trPr>
          <w:trHeight w:val="24"/>
        </w:trPr>
        <w:tc>
          <w:tcPr>
            <w:tcW w:w="47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47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0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1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w:t>
            </w:r>
          </w:p>
        </w:tc>
        <w:tc>
          <w:tcPr>
            <w:tcW w:w="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w:t>
            </w:r>
          </w:p>
        </w:tc>
        <w:tc>
          <w:tcPr>
            <w:tcW w:w="0" w:type="dxa"/>
            <w:vAlign w:val="bottom"/>
          </w:tcPr>
          <w:p>
            <w:pPr>
              <w:spacing w:after="0"/>
              <w:rPr>
                <w:sz w:val="1"/>
                <w:szCs w:val="1"/>
                <w:color w:val="auto"/>
              </w:rPr>
            </w:pPr>
          </w:p>
        </w:tc>
      </w:tr>
      <w:tr>
        <w:trPr>
          <w:trHeight w:val="188"/>
        </w:trPr>
        <w:tc>
          <w:tcPr>
            <w:tcW w:w="47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Personnel costs</w:t>
            </w:r>
          </w:p>
        </w:tc>
        <w:tc>
          <w:tcPr>
            <w:tcW w:w="10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0" w:type="dxa"/>
            <w:vAlign w:val="bottom"/>
          </w:tcPr>
          <w:p>
            <w:pPr>
              <w:spacing w:after="0"/>
              <w:rPr>
                <w:sz w:val="1"/>
                <w:szCs w:val="1"/>
                <w:color w:val="auto"/>
              </w:rPr>
            </w:pPr>
          </w:p>
        </w:tc>
      </w:tr>
      <w:tr>
        <w:trPr>
          <w:trHeight w:val="24"/>
        </w:trPr>
        <w:tc>
          <w:tcPr>
            <w:tcW w:w="47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47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operating expenses</w:t>
            </w:r>
          </w:p>
        </w:tc>
        <w:tc>
          <w:tcPr>
            <w:tcW w:w="10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0" w:type="dxa"/>
            <w:vAlign w:val="bottom"/>
          </w:tcPr>
          <w:p>
            <w:pPr>
              <w:spacing w:after="0"/>
              <w:rPr>
                <w:sz w:val="1"/>
                <w:szCs w:val="1"/>
                <w:color w:val="auto"/>
              </w:rPr>
            </w:pPr>
          </w:p>
        </w:tc>
      </w:tr>
      <w:tr>
        <w:trPr>
          <w:trHeight w:val="188"/>
        </w:trPr>
        <w:tc>
          <w:tcPr>
            <w:tcW w:w="47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Interest expense</w:t>
            </w:r>
          </w:p>
        </w:tc>
        <w:tc>
          <w:tcPr>
            <w:tcW w:w="10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0" w:type="dxa"/>
            <w:vAlign w:val="bottom"/>
          </w:tcPr>
          <w:p>
            <w:pPr>
              <w:spacing w:after="0"/>
              <w:rPr>
                <w:sz w:val="1"/>
                <w:szCs w:val="1"/>
                <w:color w:val="auto"/>
              </w:rPr>
            </w:pPr>
          </w:p>
        </w:tc>
      </w:tr>
      <w:tr>
        <w:trPr>
          <w:trHeight w:val="24"/>
        </w:trPr>
        <w:tc>
          <w:tcPr>
            <w:tcW w:w="47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7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benefits and expenses</w:t>
            </w:r>
          </w:p>
        </w:tc>
        <w:tc>
          <w:tcPr>
            <w:tcW w:w="10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1,563</w:t>
            </w:r>
          </w:p>
        </w:tc>
        <w:tc>
          <w:tcPr>
            <w:tcW w:w="1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2,574</w:t>
            </w:r>
          </w:p>
        </w:tc>
        <w:tc>
          <w:tcPr>
            <w:tcW w:w="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3,804</w:t>
            </w:r>
          </w:p>
        </w:tc>
        <w:tc>
          <w:tcPr>
            <w:tcW w:w="0" w:type="dxa"/>
            <w:vAlign w:val="bottom"/>
          </w:tcPr>
          <w:p>
            <w:pPr>
              <w:spacing w:after="0"/>
              <w:rPr>
                <w:sz w:val="1"/>
                <w:szCs w:val="1"/>
                <w:color w:val="auto"/>
              </w:rPr>
            </w:pPr>
          </w:p>
        </w:tc>
      </w:tr>
      <w:tr>
        <w:trPr>
          <w:trHeight w:val="128"/>
        </w:trPr>
        <w:tc>
          <w:tcPr>
            <w:tcW w:w="4760" w:type="dxa"/>
            <w:vAlign w:val="bottom"/>
          </w:tcPr>
          <w:p>
            <w:pPr>
              <w:ind w:left="20"/>
              <w:spacing w:after="0" w:line="128" w:lineRule="exact"/>
              <w:rPr>
                <w:sz w:val="20"/>
                <w:szCs w:val="20"/>
                <w:color w:val="auto"/>
              </w:rPr>
            </w:pPr>
            <w:r>
              <w:rPr>
                <w:rFonts w:ascii="Times New Roman" w:cs="Times New Roman" w:eastAsia="Times New Roman" w:hAnsi="Times New Roman"/>
                <w:sz w:val="14"/>
                <w:szCs w:val="14"/>
                <w:b w:val="1"/>
                <w:bCs w:val="1"/>
                <w:color w:val="auto"/>
              </w:rPr>
              <w:t>Earnings before income taxes and equity in earnings of unconsolidated</w:t>
            </w:r>
          </w:p>
        </w:tc>
        <w:tc>
          <w:tcPr>
            <w:tcW w:w="1020" w:type="dxa"/>
            <w:vAlign w:val="bottom"/>
            <w:tcBorders>
              <w:top w:val="single" w:sz="8" w:color="auto"/>
            </w:tcBorders>
            <w:vMerge w:val="restart"/>
          </w:tcPr>
          <w:p>
            <w:pPr>
              <w:jc w:val="right"/>
              <w:ind w:right="84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936</w:t>
            </w:r>
          </w:p>
        </w:tc>
        <w:tc>
          <w:tcPr>
            <w:tcW w:w="80" w:type="dxa"/>
            <w:vAlign w:val="bottom"/>
          </w:tcPr>
          <w:p>
            <w:pPr>
              <w:spacing w:after="0"/>
              <w:rPr>
                <w:sz w:val="11"/>
                <w:szCs w:val="11"/>
                <w:color w:val="auto"/>
              </w:rPr>
            </w:pPr>
          </w:p>
        </w:tc>
        <w:tc>
          <w:tcPr>
            <w:tcW w:w="1080" w:type="dxa"/>
            <w:vAlign w:val="bottom"/>
            <w:tcBorders>
              <w:top w:val="single" w:sz="8" w:color="auto"/>
            </w:tcBorders>
            <w:vMerge w:val="restart"/>
          </w:tcPr>
          <w:p>
            <w:pPr>
              <w:jc w:val="right"/>
              <w:ind w:right="90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80" w:type="dxa"/>
            <w:vAlign w:val="bottom"/>
          </w:tcPr>
          <w:p>
            <w:pPr>
              <w:spacing w:after="0"/>
              <w:rPr>
                <w:sz w:val="11"/>
                <w:szCs w:val="11"/>
                <w:color w:val="auto"/>
              </w:rPr>
            </w:pPr>
          </w:p>
        </w:tc>
        <w:tc>
          <w:tcPr>
            <w:tcW w:w="1020" w:type="dxa"/>
            <w:vAlign w:val="bottom"/>
            <w:tcBorders>
              <w:top w:val="single" w:sz="8" w:color="auto"/>
            </w:tcBorders>
            <w:vMerge w:val="restart"/>
          </w:tcPr>
          <w:p>
            <w:pPr>
              <w:jc w:val="right"/>
              <w:ind w:right="84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1,165</w:t>
            </w:r>
          </w:p>
        </w:tc>
        <w:tc>
          <w:tcPr>
            <w:tcW w:w="80" w:type="dxa"/>
            <w:vAlign w:val="bottom"/>
          </w:tcPr>
          <w:p>
            <w:pPr>
              <w:spacing w:after="0"/>
              <w:rPr>
                <w:sz w:val="11"/>
                <w:szCs w:val="11"/>
                <w:color w:val="auto"/>
              </w:rPr>
            </w:pPr>
          </w:p>
        </w:tc>
        <w:tc>
          <w:tcPr>
            <w:tcW w:w="1080" w:type="dxa"/>
            <w:vAlign w:val="bottom"/>
            <w:tcBorders>
              <w:top w:val="single" w:sz="8" w:color="auto"/>
            </w:tcBorders>
            <w:vMerge w:val="restart"/>
          </w:tcPr>
          <w:p>
            <w:pPr>
              <w:jc w:val="right"/>
              <w:ind w:right="90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0" w:type="dxa"/>
            <w:vAlign w:val="bottom"/>
          </w:tcPr>
          <w:p>
            <w:pPr>
              <w:spacing w:after="0"/>
              <w:rPr>
                <w:sz w:val="1"/>
                <w:szCs w:val="1"/>
                <w:color w:val="auto"/>
              </w:rPr>
            </w:pPr>
          </w:p>
        </w:tc>
      </w:tr>
      <w:tr>
        <w:trPr>
          <w:trHeight w:val="175"/>
        </w:trPr>
        <w:tc>
          <w:tcPr>
            <w:tcW w:w="4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affiliates</w:t>
            </w:r>
          </w:p>
        </w:tc>
        <w:tc>
          <w:tcPr>
            <w:tcW w:w="1020" w:type="dxa"/>
            <w:vAlign w:val="bottom"/>
            <w:tcBorders>
              <w:bottom w:val="single" w:sz="8" w:color="auto"/>
            </w:tcBorders>
            <w:vMerge w:val="continue"/>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44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4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1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Life insurance premiums and other fees</w:t>
      </w:r>
    </w:p>
    <w:p>
      <w:pPr>
        <w:spacing w:after="0" w:line="11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Life insurance premiums and other fees primarily reflect premiums on life-contingent PRTs and traditional life insurance products, which are recognized as revenue when due from the policyholder, as well as policy rider fees primarily on indexed annuity policies, the cost of insurance on IUL policies, and surrender charges assessed against policy withdrawals in excess of the policyholder's allowable penalty-free amounts (up to 10% of the prior year's value, subject to certain limitations). The following table summarizes the Life insurance premiums and other fees, on the unaudited Condensed Consolidated Statements of Earnings:</w:t>
      </w:r>
    </w:p>
    <w:p>
      <w:pPr>
        <w:spacing w:after="0" w:line="126"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4740" w:type="dxa"/>
            <w:vAlign w:val="bottom"/>
          </w:tcPr>
          <w:p>
            <w:pPr>
              <w:spacing w:after="0"/>
              <w:rPr>
                <w:sz w:val="16"/>
                <w:szCs w:val="16"/>
                <w:color w:val="auto"/>
              </w:rPr>
            </w:pPr>
          </w:p>
        </w:tc>
        <w:tc>
          <w:tcPr>
            <w:tcW w:w="2760" w:type="dxa"/>
            <w:vAlign w:val="bottom"/>
            <w:gridSpan w:val="4"/>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740" w:type="dxa"/>
            <w:vAlign w:val="bottom"/>
            <w:gridSpan w:val="4"/>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4"/>
        </w:trPr>
        <w:tc>
          <w:tcPr>
            <w:tcW w:w="47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1"/>
        </w:trPr>
        <w:tc>
          <w:tcPr>
            <w:tcW w:w="4740" w:type="dxa"/>
            <w:vAlign w:val="bottom"/>
          </w:tcPr>
          <w:p>
            <w:pPr>
              <w:spacing w:after="0"/>
              <w:rPr>
                <w:sz w:val="15"/>
                <w:szCs w:val="15"/>
                <w:color w:val="auto"/>
              </w:rPr>
            </w:pPr>
          </w:p>
        </w:tc>
        <w:tc>
          <w:tcPr>
            <w:tcW w:w="1100" w:type="dxa"/>
            <w:vAlign w:val="bottom"/>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4"/>
        </w:trPr>
        <w:tc>
          <w:tcPr>
            <w:tcW w:w="47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1"/>
        </w:trPr>
        <w:tc>
          <w:tcPr>
            <w:tcW w:w="47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40" w:type="dxa"/>
            <w:vAlign w:val="bottom"/>
            <w:gridSpan w:val="3"/>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4"/>
        </w:trPr>
        <w:tc>
          <w:tcPr>
            <w:tcW w:w="47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92"/>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Life-contingent pension risk transfer premiums</w:t>
            </w:r>
          </w:p>
        </w:tc>
        <w:tc>
          <w:tcPr>
            <w:tcW w:w="1100" w:type="dxa"/>
            <w:vAlign w:val="bottom"/>
            <w:tcBorders>
              <w:bottom w:val="single" w:sz="8" w:color="CCEEFF"/>
            </w:tcBorders>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96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w:t>
            </w:r>
          </w:p>
        </w:tc>
        <w:tc>
          <w:tcPr>
            <w:tcW w:w="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1,279</w:t>
            </w:r>
          </w:p>
        </w:tc>
      </w:tr>
      <w:tr>
        <w:trPr>
          <w:trHeight w:val="188"/>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Traditional life insurance and life-contingent immediate annuity premiums</w:t>
            </w:r>
          </w:p>
        </w:tc>
        <w:tc>
          <w:tcPr>
            <w:tcW w:w="11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24"/>
        </w:trPr>
        <w:tc>
          <w:tcPr>
            <w:tcW w:w="47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92"/>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Surrender charges</w:t>
            </w:r>
          </w:p>
        </w:tc>
        <w:tc>
          <w:tcPr>
            <w:tcW w:w="1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w:t>
            </w:r>
          </w:p>
        </w:tc>
      </w:tr>
      <w:tr>
        <w:trPr>
          <w:trHeight w:val="188"/>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Policyholder fees and other income</w:t>
            </w:r>
          </w:p>
        </w:tc>
        <w:tc>
          <w:tcPr>
            <w:tcW w:w="11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w:t>
            </w:r>
          </w:p>
        </w:tc>
      </w:tr>
      <w:tr>
        <w:trPr>
          <w:trHeight w:val="24"/>
        </w:trPr>
        <w:tc>
          <w:tcPr>
            <w:tcW w:w="47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4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Life insurance premiums and other fees (a)</w:t>
            </w:r>
          </w:p>
        </w:tc>
        <w:tc>
          <w:tcPr>
            <w:tcW w:w="1100" w:type="dxa"/>
            <w:vAlign w:val="bottom"/>
            <w:tcBorders>
              <w:bottom w:val="single" w:sz="8" w:color="auto"/>
            </w:tcBorders>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96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w:t>
            </w:r>
          </w:p>
        </w:tc>
        <w:tc>
          <w:tcPr>
            <w:tcW w:w="8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1,203</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1,808</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ind w:firstLine="6"/>
        <w:spacing w:after="0" w:line="281" w:lineRule="auto"/>
        <w:tabs>
          <w:tab w:leader="none" w:pos="212"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Reported net of ceded premiums of $19 million, and $21 million for the three months ended September 30, 2026 and 2025, and $58 million and </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 xml:space="preserve">64 million for the nine months ended September 30, 2026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4"/>
          <w:szCs w:val="14"/>
          <w:color w:val="auto"/>
        </w:rPr>
        <w:t xml:space="preserve"> 2025, respectively. Ceded product fees were $32 million and </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 xml:space="preserve">11 million for the three months ended September 30, 2026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4"/>
          <w:szCs w:val="14"/>
          <w:color w:val="auto"/>
        </w:rPr>
        <w:t xml:space="preserve"> 2025, and $85 million and $35 million for the nine months ended September 30, 2026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4"/>
          <w:szCs w:val="14"/>
          <w:color w:val="auto"/>
        </w:rPr>
        <w:t xml:space="preserve"> 2025, respectively.</w:t>
      </w:r>
    </w:p>
    <w:p>
      <w:pPr>
        <w:spacing w:after="0" w:line="2" w:lineRule="exact"/>
        <w:rPr>
          <w:rFonts w:ascii="Times New Roman" w:cs="Times New Roman" w:eastAsia="Times New Roman" w:hAnsi="Times New Roman"/>
          <w:sz w:val="14"/>
          <w:szCs w:val="14"/>
          <w:color w:val="auto"/>
        </w:rPr>
      </w:pPr>
    </w:p>
    <w:p>
      <w:pPr>
        <w:ind w:left="640" w:hanging="316"/>
        <w:spacing w:after="0" w:line="292" w:lineRule="auto"/>
        <w:tabs>
          <w:tab w:leader="none" w:pos="635"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Life-contingent pension risk transfer premiums were lower for the three and nine months ended September 30, 2026, compared to the three and nine months ended September 30, 2025, respectively, reflecting the timing of PRT transactions. PRT premiums are subject to fluctuation period to period.</w:t>
      </w:r>
    </w:p>
    <w:p>
      <w:pPr>
        <w:spacing w:after="0" w:line="1" w:lineRule="exact"/>
        <w:rPr>
          <w:rFonts w:ascii="Times New Roman" w:cs="Times New Roman" w:eastAsia="Times New Roman" w:hAnsi="Times New Roman"/>
          <w:sz w:val="17"/>
          <w:szCs w:val="17"/>
          <w:color w:val="auto"/>
        </w:rPr>
      </w:pPr>
    </w:p>
    <w:p>
      <w:pPr>
        <w:jc w:val="both"/>
        <w:ind w:left="640" w:hanging="316"/>
        <w:spacing w:after="0" w:line="259" w:lineRule="auto"/>
        <w:tabs>
          <w:tab w:leader="none" w:pos="63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Surrender charges were lower for the three and nine months ended September 30, 2026 compared to the three and nine months ended September 30, 2025, respectively. These charges primarily reflect withdrawals from policyholders with surrender charges and market value adjustments (“MVAs”), primarily on our indexed annuities and IUL policies, and are subject to changes in the interest rate environment.</w:t>
      </w:r>
    </w:p>
    <w:p>
      <w:pPr>
        <w:spacing w:after="0" w:line="18" w:lineRule="exact"/>
        <w:rPr>
          <w:rFonts w:ascii="Times New Roman" w:cs="Times New Roman" w:eastAsia="Times New Roman" w:hAnsi="Times New Roman"/>
          <w:sz w:val="18"/>
          <w:szCs w:val="18"/>
          <w:color w:val="auto"/>
        </w:rPr>
      </w:pPr>
    </w:p>
    <w:p>
      <w:pPr>
        <w:jc w:val="both"/>
        <w:ind w:left="640" w:hanging="316"/>
        <w:spacing w:after="0" w:line="251" w:lineRule="auto"/>
        <w:tabs>
          <w:tab w:leader="none" w:pos="63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Policyholder fees and other income were lower for the three and nine months ended September 30, 2026, compared to the three and nine months ended September 30, 2025. The decrease for the three months ended September 30, 2026 primarily reflected lower cost of insurance charges, net of reinsurance and changes in unearned revenue liabilities (“URL”) on IUL policies and lower guaranteed minimum withdrawal benefit (“GMWB”) rider fees, net of reinsurance. GMWB rider fees are based on the policyholder's benefit base and are collected at the end of the policy year. The decrease for the nine months ended September 30, 2026 primarily reflected the impact of a reinsurance true-up adjustment during the nine months ended September 30, 2025 and lower cost of insurance charges, net of reinsurance and changes in URL on IUL policies.</w:t>
      </w:r>
    </w:p>
    <w:p>
      <w:pPr>
        <w:spacing w:after="0" w:line="1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Interest and investment income</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Below is a summary of interest and investment income:</w:t>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4740" w:type="dxa"/>
            <w:vAlign w:val="bottom"/>
          </w:tcPr>
          <w:p>
            <w:pPr>
              <w:spacing w:after="0"/>
              <w:rPr>
                <w:sz w:val="16"/>
                <w:szCs w:val="16"/>
                <w:color w:val="auto"/>
              </w:rPr>
            </w:pPr>
          </w:p>
        </w:tc>
        <w:tc>
          <w:tcPr>
            <w:tcW w:w="2800" w:type="dxa"/>
            <w:vAlign w:val="bottom"/>
            <w:gridSpan w:val="4"/>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00" w:type="dxa"/>
            <w:vAlign w:val="bottom"/>
            <w:gridSpan w:val="4"/>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4"/>
        </w:trPr>
        <w:tc>
          <w:tcPr>
            <w:tcW w:w="47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1"/>
        </w:trPr>
        <w:tc>
          <w:tcPr>
            <w:tcW w:w="4740" w:type="dxa"/>
            <w:vAlign w:val="bottom"/>
          </w:tcPr>
          <w:p>
            <w:pPr>
              <w:spacing w:after="0"/>
              <w:rPr>
                <w:sz w:val="15"/>
                <w:szCs w:val="15"/>
                <w:color w:val="auto"/>
              </w:rPr>
            </w:pPr>
          </w:p>
        </w:tc>
        <w:tc>
          <w:tcPr>
            <w:tcW w:w="1140" w:type="dxa"/>
            <w:vAlign w:val="bottom"/>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4"/>
        </w:trPr>
        <w:tc>
          <w:tcPr>
            <w:tcW w:w="47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1"/>
        </w:trPr>
        <w:tc>
          <w:tcPr>
            <w:tcW w:w="47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60" w:type="dxa"/>
            <w:vAlign w:val="bottom"/>
            <w:gridSpan w:val="3"/>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4"/>
        </w:trPr>
        <w:tc>
          <w:tcPr>
            <w:tcW w:w="47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92"/>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Fixed maturity securities</w:t>
            </w:r>
          </w:p>
        </w:tc>
        <w:tc>
          <w:tcPr>
            <w:tcW w:w="1140" w:type="dxa"/>
            <w:vAlign w:val="bottom"/>
            <w:tcBorders>
              <w:bottom w:val="single" w:sz="8" w:color="CCEEFF"/>
            </w:tcBorders>
            <w:shd w:val="clear" w:color="auto" w:fill="CCEEFF"/>
          </w:tcPr>
          <w:p>
            <w:pPr>
              <w:jc w:val="right"/>
              <w:ind w:right="969"/>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w:t>
            </w:r>
          </w:p>
        </w:tc>
        <w:tc>
          <w:tcPr>
            <w:tcW w:w="1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1,638</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1,686</w:t>
            </w:r>
          </w:p>
        </w:tc>
      </w:tr>
      <w:tr>
        <w:trPr>
          <w:trHeight w:val="188"/>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Preferred equity securities</w:t>
            </w:r>
          </w:p>
        </w:tc>
        <w:tc>
          <w:tcPr>
            <w:tcW w:w="11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24"/>
        </w:trPr>
        <w:tc>
          <w:tcPr>
            <w:tcW w:w="47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92"/>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equity securities</w:t>
            </w:r>
          </w:p>
        </w:tc>
        <w:tc>
          <w:tcPr>
            <w:tcW w:w="11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88"/>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Mortgage loans</w:t>
            </w:r>
          </w:p>
        </w:tc>
        <w:tc>
          <w:tcPr>
            <w:tcW w:w="11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w:t>
            </w:r>
          </w:p>
        </w:tc>
      </w:tr>
      <w:tr>
        <w:trPr>
          <w:trHeight w:val="24"/>
        </w:trPr>
        <w:tc>
          <w:tcPr>
            <w:tcW w:w="47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92"/>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Invested cash and short-term investments</w:t>
            </w:r>
          </w:p>
        </w:tc>
        <w:tc>
          <w:tcPr>
            <w:tcW w:w="11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r>
      <w:tr>
        <w:trPr>
          <w:trHeight w:val="188"/>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Limited partnerships</w:t>
            </w:r>
          </w:p>
        </w:tc>
        <w:tc>
          <w:tcPr>
            <w:tcW w:w="11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w:t>
            </w:r>
          </w:p>
        </w:tc>
      </w:tr>
      <w:tr>
        <w:trPr>
          <w:trHeight w:val="24"/>
        </w:trPr>
        <w:tc>
          <w:tcPr>
            <w:tcW w:w="47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12"/>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investments</w:t>
            </w:r>
          </w:p>
        </w:tc>
        <w:tc>
          <w:tcPr>
            <w:tcW w:w="114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81"/>
        </w:trPr>
        <w:tc>
          <w:tcPr>
            <w:tcW w:w="47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Gross investment income</w:t>
            </w:r>
          </w:p>
        </w:tc>
        <w:tc>
          <w:tcPr>
            <w:tcW w:w="114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768</w:t>
            </w:r>
          </w:p>
        </w:tc>
        <w:tc>
          <w:tcPr>
            <w:tcW w:w="10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815</w:t>
            </w:r>
          </w:p>
        </w:tc>
        <w:tc>
          <w:tcPr>
            <w:tcW w:w="1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2,353</w:t>
            </w:r>
          </w:p>
        </w:tc>
        <w:tc>
          <w:tcPr>
            <w:tcW w:w="8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2,291</w:t>
            </w:r>
          </w:p>
        </w:tc>
      </w:tr>
      <w:tr>
        <w:trPr>
          <w:trHeight w:val="24"/>
        </w:trPr>
        <w:tc>
          <w:tcPr>
            <w:tcW w:w="47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5"/>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 expense</w:t>
            </w:r>
          </w:p>
        </w:tc>
        <w:tc>
          <w:tcPr>
            <w:tcW w:w="11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w:t>
            </w:r>
          </w:p>
        </w:tc>
      </w:tr>
      <w:tr>
        <w:trPr>
          <w:trHeight w:val="205"/>
        </w:trPr>
        <w:tc>
          <w:tcPr>
            <w:tcW w:w="474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Interest and investment income</w:t>
            </w:r>
          </w:p>
        </w:tc>
        <w:tc>
          <w:tcPr>
            <w:tcW w:w="1140" w:type="dxa"/>
            <w:vAlign w:val="bottom"/>
            <w:tcBorders>
              <w:top w:val="single" w:sz="8" w:color="auto"/>
              <w:bottom w:val="single" w:sz="8" w:color="auto"/>
            </w:tcBorders>
          </w:tcPr>
          <w:p>
            <w:pPr>
              <w:jc w:val="right"/>
              <w:ind w:right="969"/>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698</w:t>
            </w:r>
          </w:p>
        </w:tc>
        <w:tc>
          <w:tcPr>
            <w:tcW w:w="100" w:type="dxa"/>
            <w:vAlign w:val="bottom"/>
          </w:tcPr>
          <w:p>
            <w:pPr>
              <w:spacing w:after="0"/>
              <w:rPr>
                <w:sz w:val="17"/>
                <w:szCs w:val="17"/>
                <w:color w:val="auto"/>
              </w:rPr>
            </w:pPr>
          </w:p>
        </w:tc>
        <w:tc>
          <w:tcPr>
            <w:tcW w:w="1100" w:type="dxa"/>
            <w:vAlign w:val="bottom"/>
            <w:tcBorders>
              <w:top w:val="single" w:sz="8" w:color="auto"/>
              <w:bottom w:val="single" w:sz="8" w:color="auto"/>
            </w:tcBorders>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748</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2,139</w:t>
            </w:r>
          </w:p>
        </w:tc>
        <w:tc>
          <w:tcPr>
            <w:tcW w:w="8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2,096</w:t>
            </w:r>
          </w:p>
        </w:tc>
      </w:tr>
      <w:tr>
        <w:trPr>
          <w:trHeight w:val="20"/>
        </w:trPr>
        <w:tc>
          <w:tcPr>
            <w:tcW w:w="47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Interest and investment income is shown net of amounts attributable to certain funds withheld reinsurance agreements, which is passed along to the reinsurer in accordance with the terms of these agreements. Interest and investment income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attributable to these agreements, and thus excluded from the totals in the table above, was $291 million and $782 million for the three and nine months ended September 30, 2026, respectively, and $219 million and $592 million for the three and nine months ended September 30, 2025, respectively.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Recognized gains and losses, net</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Below is a summary of the major components included in recognized gains and losses, net:</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60" w:type="dxa"/>
            <w:vAlign w:val="bottom"/>
          </w:tcPr>
          <w:p>
            <w:pPr>
              <w:spacing w:after="0"/>
              <w:rPr>
                <w:sz w:val="16"/>
                <w:szCs w:val="16"/>
                <w:color w:val="auto"/>
              </w:rPr>
            </w:pPr>
          </w:p>
        </w:tc>
        <w:tc>
          <w:tcPr>
            <w:tcW w:w="2760" w:type="dxa"/>
            <w:vAlign w:val="bottom"/>
            <w:gridSpan w:val="4"/>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740" w:type="dxa"/>
            <w:vAlign w:val="bottom"/>
            <w:gridSpan w:val="4"/>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4"/>
        </w:trPr>
        <w:tc>
          <w:tcPr>
            <w:tcW w:w="47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4760" w:type="dxa"/>
            <w:vAlign w:val="bottom"/>
          </w:tcPr>
          <w:p>
            <w:pPr>
              <w:spacing w:after="0"/>
              <w:rPr>
                <w:sz w:val="15"/>
                <w:szCs w:val="15"/>
                <w:color w:val="auto"/>
              </w:rPr>
            </w:pPr>
          </w:p>
        </w:tc>
        <w:tc>
          <w:tcPr>
            <w:tcW w:w="106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4"/>
        </w:trPr>
        <w:tc>
          <w:tcPr>
            <w:tcW w:w="47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4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60" w:type="dxa"/>
            <w:vAlign w:val="bottom"/>
            <w:gridSpan w:val="3"/>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0"/>
        </w:trPr>
        <w:tc>
          <w:tcPr>
            <w:tcW w:w="4760" w:type="dxa"/>
            <w:vAlign w:val="bottom"/>
            <w:shd w:val="clear" w:color="auto" w:fill="CCEEFF"/>
          </w:tcPr>
          <w:p>
            <w:pPr>
              <w:ind w:left="20"/>
              <w:spacing w:after="0" w:line="150" w:lineRule="exact"/>
              <w:rPr>
                <w:sz w:val="20"/>
                <w:szCs w:val="20"/>
                <w:color w:val="auto"/>
              </w:rPr>
            </w:pPr>
            <w:r>
              <w:rPr>
                <w:rFonts w:ascii="Times New Roman" w:cs="Times New Roman" w:eastAsia="Times New Roman" w:hAnsi="Times New Roman"/>
                <w:sz w:val="14"/>
                <w:szCs w:val="14"/>
                <w:color w:val="auto"/>
              </w:rPr>
              <w:t>Net realized and unrealized losses on fixed maturity available-for-sale securities,</w:t>
            </w:r>
          </w:p>
        </w:tc>
        <w:tc>
          <w:tcPr>
            <w:tcW w:w="1060" w:type="dxa"/>
            <w:vAlign w:val="bottom"/>
            <w:vMerge w:val="restart"/>
            <w:shd w:val="clear" w:color="auto" w:fill="CCEEFF"/>
          </w:tcPr>
          <w:p>
            <w:pPr>
              <w:jc w:val="right"/>
              <w:ind w:right="889"/>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ind w:right="96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shd w:val="clear" w:color="auto" w:fill="CCEEFF"/>
          </w:tcPr>
          <w:p>
            <w:pPr>
              <w:spacing w:after="0"/>
              <w:rPr>
                <w:sz w:val="13"/>
                <w:szCs w:val="13"/>
                <w:color w:val="auto"/>
              </w:rPr>
            </w:pPr>
          </w:p>
        </w:tc>
        <w:tc>
          <w:tcPr>
            <w:tcW w:w="440" w:type="dxa"/>
            <w:vAlign w:val="bottom"/>
            <w:vMerge w:val="restart"/>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100" w:type="dxa"/>
            <w:vAlign w:val="bottom"/>
            <w:shd w:val="clear" w:color="auto" w:fill="CCEEFF"/>
          </w:tcPr>
          <w:p>
            <w:pPr>
              <w:spacing w:after="0"/>
              <w:rPr>
                <w:sz w:val="13"/>
                <w:szCs w:val="13"/>
                <w:color w:val="auto"/>
              </w:rPr>
            </w:pPr>
          </w:p>
        </w:tc>
        <w:tc>
          <w:tcPr>
            <w:tcW w:w="360" w:type="dxa"/>
            <w:vAlign w:val="bottom"/>
            <w:vMerge w:val="restart"/>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95"/>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securities and other invested assets</w:t>
            </w:r>
          </w:p>
        </w:tc>
        <w:tc>
          <w:tcPr>
            <w:tcW w:w="1060" w:type="dxa"/>
            <w:vAlign w:val="bottom"/>
            <w:vMerge w:val="continue"/>
            <w:shd w:val="clear" w:color="auto" w:fill="CCEEFF"/>
          </w:tcPr>
          <w:p>
            <w:pPr>
              <w:spacing w:after="0"/>
              <w:rPr>
                <w:sz w:val="16"/>
                <w:szCs w:val="16"/>
                <w:color w:val="auto"/>
              </w:rPr>
            </w:pPr>
          </w:p>
        </w:tc>
        <w:tc>
          <w:tcPr>
            <w:tcW w:w="4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4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vMerge w:val="continue"/>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vMerge w:val="continue"/>
            <w:shd w:val="clear" w:color="auto" w:fill="CCEEFF"/>
          </w:tcPr>
          <w:p>
            <w:pPr>
              <w:spacing w:after="0"/>
              <w:rPr>
                <w:sz w:val="16"/>
                <w:szCs w:val="16"/>
                <w:color w:val="auto"/>
              </w:rPr>
            </w:pPr>
          </w:p>
        </w:tc>
        <w:tc>
          <w:tcPr>
            <w:tcW w:w="11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realized (loss) gain on sale of F&amp;G Life Re</w:t>
            </w:r>
          </w:p>
        </w:tc>
        <w:tc>
          <w:tcPr>
            <w:tcW w:w="10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4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allowance for expected credit losses</w:t>
            </w:r>
          </w:p>
        </w:tc>
        <w:tc>
          <w:tcPr>
            <w:tcW w:w="106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188"/>
        </w:trPr>
        <w:tc>
          <w:tcPr>
            <w:tcW w:w="4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realized and unrealized (losses) gains on certain derivatives instruments</w:t>
            </w:r>
          </w:p>
        </w:tc>
        <w:tc>
          <w:tcPr>
            <w:tcW w:w="10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0" w:type="dxa"/>
            <w:vAlign w:val="bottom"/>
          </w:tcPr>
          <w:p>
            <w:pPr>
              <w:spacing w:after="0"/>
              <w:rPr>
                <w:sz w:val="1"/>
                <w:szCs w:val="1"/>
                <w:color w:val="auto"/>
              </w:rPr>
            </w:pPr>
          </w:p>
        </w:tc>
      </w:tr>
      <w:tr>
        <w:trPr>
          <w:trHeight w:val="24"/>
        </w:trPr>
        <w:tc>
          <w:tcPr>
            <w:tcW w:w="4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fair value of reinsurance related embedded derivatives</w:t>
            </w:r>
          </w:p>
        </w:tc>
        <w:tc>
          <w:tcPr>
            <w:tcW w:w="106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w:t>
            </w: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0" w:type="dxa"/>
            <w:vAlign w:val="bottom"/>
          </w:tcPr>
          <w:p>
            <w:pPr>
              <w:spacing w:after="0"/>
              <w:rPr>
                <w:sz w:val="1"/>
                <w:szCs w:val="1"/>
                <w:color w:val="auto"/>
              </w:rPr>
            </w:pPr>
          </w:p>
        </w:tc>
      </w:tr>
      <w:tr>
        <w:trPr>
          <w:trHeight w:val="188"/>
        </w:trPr>
        <w:tc>
          <w:tcPr>
            <w:tcW w:w="4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fair value of other derivatives and embedded derivatives</w:t>
            </w:r>
          </w:p>
        </w:tc>
        <w:tc>
          <w:tcPr>
            <w:tcW w:w="106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4"/>
        </w:trPr>
        <w:tc>
          <w:tcPr>
            <w:tcW w:w="47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7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Recognized gains and losses, net</w:t>
            </w:r>
          </w:p>
        </w:tc>
        <w:tc>
          <w:tcPr>
            <w:tcW w:w="1060" w:type="dxa"/>
            <w:vAlign w:val="bottom"/>
            <w:tcBorders>
              <w:bottom w:val="single" w:sz="8" w:color="auto"/>
            </w:tcBorders>
            <w:shd w:val="clear" w:color="auto" w:fill="CCEEFF"/>
          </w:tcPr>
          <w:p>
            <w:pPr>
              <w:jc w:val="right"/>
              <w:ind w:right="889"/>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96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Recognized gains and (losses), net is shown net of amounts attributable to certain funds withheld reinsurance agreements which is passed along to the reinsurer in accordance with the terms of these agreements. Recognized gains and (losses) attributable to these agreements, and thus excluded from the totals in the table above, was $559 million and $691 million for the three and nine month periods ended September 30, 2026, and $(77) million and $(176) million for the three and nine month periods ended September 30, 2025, respectively.</w:t>
      </w:r>
    </w:p>
    <w:p>
      <w:pPr>
        <w:spacing w:after="0" w:line="21" w:lineRule="exact"/>
        <w:rPr>
          <w:sz w:val="20"/>
          <w:szCs w:val="20"/>
          <w:color w:val="auto"/>
        </w:rPr>
      </w:pPr>
    </w:p>
    <w:p>
      <w:pPr>
        <w:jc w:val="both"/>
        <w:ind w:left="640" w:hanging="316"/>
        <w:spacing w:after="0" w:line="259" w:lineRule="auto"/>
        <w:tabs>
          <w:tab w:leader="none" w:pos="6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and nine months ended September 30, 2026, net realized and unrealized gains (losses) on fixed maturity securities, equity securities and other invested assets is primarily the result of net realized losses on fixed maturity securities, primarily reflecting portfolio repositioning and net realized and unrealized losses on equity securities.</w:t>
      </w:r>
    </w:p>
    <w:p>
      <w:pPr>
        <w:spacing w:after="0" w:line="18" w:lineRule="exact"/>
        <w:rPr>
          <w:rFonts w:ascii="Times New Roman" w:cs="Times New Roman" w:eastAsia="Times New Roman" w:hAnsi="Times New Roman"/>
          <w:sz w:val="18"/>
          <w:szCs w:val="18"/>
          <w:color w:val="auto"/>
        </w:rPr>
      </w:pPr>
    </w:p>
    <w:p>
      <w:pPr>
        <w:jc w:val="both"/>
        <w:ind w:left="640" w:hanging="316"/>
        <w:spacing w:after="0" w:line="255" w:lineRule="auto"/>
        <w:tabs>
          <w:tab w:leader="none" w:pos="6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nine months ended September 30, 2026, Recognized gains and (losses), net includes a pre-tax gain from the sale of F&amp;G Life Re, to Ancient Financial Holdings, LP (“Ancient”), an unrelated third party, of $7 million. During the third quarter of 2026, the Company finalized post-closing adjustments which decreased the pre-tax gain by $7 million, reflecting a $12 million purchase price adjustment, partially offset by a $5 million update to the allocation of goodwill. See Note A </w:t>
      </w:r>
      <w:r>
        <w:rPr>
          <w:rFonts w:ascii="Times New Roman" w:cs="Times New Roman" w:eastAsia="Times New Roman" w:hAnsi="Times New Roman"/>
          <w:sz w:val="18"/>
          <w:szCs w:val="18"/>
          <w:i w:val="1"/>
          <w:iCs w:val="1"/>
          <w:color w:val="auto"/>
        </w:rPr>
        <w:t>Basis of Financial Statements</w:t>
      </w:r>
      <w:r>
        <w:rPr>
          <w:rFonts w:ascii="Times New Roman" w:cs="Times New Roman" w:eastAsia="Times New Roman" w:hAnsi="Times New Roman"/>
          <w:sz w:val="18"/>
          <w:szCs w:val="18"/>
          <w:color w:val="auto"/>
        </w:rPr>
        <w:t xml:space="preserve"> for further information regarding the impact on goodwill.</w:t>
      </w:r>
    </w:p>
    <w:p>
      <w:pPr>
        <w:spacing w:after="0" w:line="21"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and nine months ended September 30, 2025, net realized and unrealized gains (losses) on fixed maturity available-for-sale securities, equity securities and other invested assets is primarily the result of mark-to-market losses on our equity securities and net realized losses on fixed maturity available-for-sale securities.</w:t>
      </w:r>
    </w:p>
    <w:p>
      <w:pPr>
        <w:spacing w:after="0" w:line="18"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in allowance for expected credit losses primarily relates to available for sale securities.</w:t>
      </w:r>
    </w:p>
    <w:p>
      <w:pPr>
        <w:spacing w:after="0" w:line="58"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periods, net realized and unrealized gains losses on certain derivative instruments primarily relate to the net realized and unrealized gains losses on equity options and futures used to hedge indexed annuity and IUL products, including gains on option and futures expiration and changes in the fair value of interest rate swaps. See the table below for primary drivers of gains losses on certain derivatives.</w:t>
      </w:r>
    </w:p>
    <w:p>
      <w:pPr>
        <w:spacing w:after="0" w:line="18"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the reinsurance-related embedded derivatives in our funds withheld (“FWH”) reinsurance agreements are estimated based upon the change in fair value (for total return swaps), or the fair value (for the index credit obligation due the reinsurer), of the assets supporting the funds withheld from reinsurance liabilities.</w:t>
      </w:r>
    </w:p>
    <w:p>
      <w:pPr>
        <w:spacing w:after="0" w:line="7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utilize a combination of static (equity options) and dynamic (long futures contracts) instruments in our product hedging strategy. Equity options and futures contracts are generally based upon the performance of various equity indices, such as the S&amp;P 500 Index, as well as other bond and gold market indices.</w:t>
      </w:r>
    </w:p>
    <w:p>
      <w:pPr>
        <w:spacing w:after="0" w:line="7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utilize interest rate swaps to reduce market risks from interest rate changes on our earnings associated with our floating rate investments and we utilize foreign currency swaps and foreign currency forwards to reduce market risks from fluctuations in foreign exchange rates that impact earnings associated with our foreign currency denominated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components of the realized and unrealized gains losses on certain derivative instruments hedging our indexed annuities, universal life products and floating rate investments are summarized in the table below:</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20" w:type="dxa"/>
            <w:vAlign w:val="bottom"/>
          </w:tcPr>
          <w:p>
            <w:pPr>
              <w:spacing w:after="0"/>
              <w:rPr>
                <w:sz w:val="16"/>
                <w:szCs w:val="16"/>
                <w:color w:val="auto"/>
              </w:rPr>
            </w:pPr>
          </w:p>
        </w:tc>
        <w:tc>
          <w:tcPr>
            <w:tcW w:w="27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720" w:type="dxa"/>
            <w:vAlign w:val="bottom"/>
            <w:gridSpan w:val="4"/>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4"/>
        </w:trPr>
        <w:tc>
          <w:tcPr>
            <w:tcW w:w="45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1"/>
        </w:trPr>
        <w:tc>
          <w:tcPr>
            <w:tcW w:w="4520" w:type="dxa"/>
            <w:vAlign w:val="bottom"/>
          </w:tcPr>
          <w:p>
            <w:pPr>
              <w:spacing w:after="0"/>
              <w:rPr>
                <w:sz w:val="15"/>
                <w:szCs w:val="15"/>
                <w:color w:val="auto"/>
              </w:rPr>
            </w:pPr>
          </w:p>
        </w:tc>
        <w:tc>
          <w:tcPr>
            <w:tcW w:w="104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0" w:type="dxa"/>
            <w:vAlign w:val="bottom"/>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4"/>
        </w:trPr>
        <w:tc>
          <w:tcPr>
            <w:tcW w:w="45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1"/>
        </w:trPr>
        <w:tc>
          <w:tcPr>
            <w:tcW w:w="4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4"/>
        </w:trPr>
        <w:tc>
          <w:tcPr>
            <w:tcW w:w="4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92"/>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options:</w:t>
            </w:r>
          </w:p>
        </w:tc>
        <w:tc>
          <w:tcPr>
            <w:tcW w:w="104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r>
      <w:tr>
        <w:trPr>
          <w:trHeight w:val="188"/>
        </w:trPr>
        <w:tc>
          <w:tcPr>
            <w:tcW w:w="45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Gains losses on equity options</w:t>
            </w:r>
          </w:p>
        </w:tc>
        <w:tc>
          <w:tcPr>
            <w:tcW w:w="1040" w:type="dxa"/>
            <w:vAlign w:val="bottom"/>
          </w:tcPr>
          <w:p>
            <w:pPr>
              <w:jc w:val="right"/>
              <w:ind w:right="86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91</w:t>
            </w:r>
          </w:p>
        </w:tc>
        <w:tc>
          <w:tcPr>
            <w:tcW w:w="80" w:type="dxa"/>
            <w:vAlign w:val="bottom"/>
          </w:tcPr>
          <w:p>
            <w:pPr>
              <w:spacing w:after="0"/>
              <w:rPr>
                <w:sz w:val="16"/>
                <w:szCs w:val="16"/>
                <w:color w:val="auto"/>
              </w:rPr>
            </w:pPr>
          </w:p>
        </w:tc>
        <w:tc>
          <w:tcPr>
            <w:tcW w:w="1040" w:type="dxa"/>
            <w:vAlign w:val="bottom"/>
          </w:tcPr>
          <w:p>
            <w:pPr>
              <w:jc w:val="right"/>
              <w:ind w:right="86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Pr>
          <w:p>
            <w:pPr>
              <w:spacing w:after="0"/>
              <w:rPr>
                <w:sz w:val="16"/>
                <w:szCs w:val="16"/>
                <w:color w:val="auto"/>
              </w:rPr>
            </w:pPr>
          </w:p>
        </w:tc>
        <w:tc>
          <w:tcPr>
            <w:tcW w:w="600" w:type="dxa"/>
            <w:vAlign w:val="bottom"/>
          </w:tcPr>
          <w:p>
            <w:pPr>
              <w:jc w:val="right"/>
              <w:ind w:right="4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250</w:t>
            </w:r>
          </w:p>
        </w:tc>
        <w:tc>
          <w:tcPr>
            <w:tcW w:w="120" w:type="dxa"/>
            <w:vAlign w:val="bottom"/>
          </w:tcPr>
          <w:p>
            <w:pPr>
              <w:spacing w:after="0"/>
              <w:rPr>
                <w:sz w:val="16"/>
                <w:szCs w:val="16"/>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(130)</w:t>
            </w:r>
          </w:p>
        </w:tc>
      </w:tr>
      <w:tr>
        <w:trPr>
          <w:trHeight w:val="24"/>
        </w:trPr>
        <w:tc>
          <w:tcPr>
            <w:tcW w:w="4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92"/>
        </w:trPr>
        <w:tc>
          <w:tcPr>
            <w:tcW w:w="45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Change in unrealized (losses) gains</w:t>
            </w:r>
          </w:p>
        </w:tc>
        <w:tc>
          <w:tcPr>
            <w:tcW w:w="104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(207)</w:t>
            </w:r>
          </w:p>
        </w:tc>
        <w:tc>
          <w:tcPr>
            <w:tcW w:w="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325</w:t>
            </w: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(86)</w:t>
            </w: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291</w:t>
            </w:r>
          </w:p>
        </w:tc>
      </w:tr>
      <w:tr>
        <w:trPr>
          <w:trHeight w:val="188"/>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Futures contracts:</w:t>
            </w:r>
          </w:p>
        </w:tc>
        <w:tc>
          <w:tcPr>
            <w:tcW w:w="1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4"/>
        </w:trPr>
        <w:tc>
          <w:tcPr>
            <w:tcW w:w="4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92"/>
        </w:trPr>
        <w:tc>
          <w:tcPr>
            <w:tcW w:w="45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(Losses) gains on futures contracts expiration</w:t>
            </w:r>
          </w:p>
        </w:tc>
        <w:tc>
          <w:tcPr>
            <w:tcW w:w="104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16</w:t>
            </w:r>
          </w:p>
        </w:tc>
      </w:tr>
      <w:tr>
        <w:trPr>
          <w:trHeight w:val="188"/>
        </w:trPr>
        <w:tc>
          <w:tcPr>
            <w:tcW w:w="45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Change in unrealized losses gains</w:t>
            </w:r>
          </w:p>
        </w:tc>
        <w:tc>
          <w:tcPr>
            <w:tcW w:w="1040" w:type="dxa"/>
            <w:vAlign w:val="bottom"/>
          </w:tcPr>
          <w:p>
            <w:pPr>
              <w:spacing w:after="0"/>
              <w:rPr>
                <w:sz w:val="16"/>
                <w:szCs w:val="16"/>
                <w:color w:val="auto"/>
              </w:rPr>
            </w:pPr>
          </w:p>
        </w:tc>
        <w:tc>
          <w:tcPr>
            <w:tcW w:w="5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10</w:t>
            </w:r>
          </w:p>
        </w:tc>
      </w:tr>
      <w:tr>
        <w:trPr>
          <w:trHeight w:val="24"/>
        </w:trPr>
        <w:tc>
          <w:tcPr>
            <w:tcW w:w="4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92"/>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Forward contracts:</w:t>
            </w:r>
          </w:p>
        </w:tc>
        <w:tc>
          <w:tcPr>
            <w:tcW w:w="104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r>
      <w:tr>
        <w:trPr>
          <w:trHeight w:val="188"/>
        </w:trPr>
        <w:tc>
          <w:tcPr>
            <w:tcW w:w="45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Gains (losses) on forward contracts</w:t>
            </w:r>
          </w:p>
        </w:tc>
        <w:tc>
          <w:tcPr>
            <w:tcW w:w="1040" w:type="dxa"/>
            <w:vAlign w:val="bottom"/>
          </w:tcPr>
          <w:p>
            <w:pPr>
              <w:spacing w:after="0"/>
              <w:rPr>
                <w:sz w:val="16"/>
                <w:szCs w:val="16"/>
                <w:color w:val="auto"/>
              </w:rPr>
            </w:pPr>
          </w:p>
        </w:tc>
        <w:tc>
          <w:tcPr>
            <w:tcW w:w="5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(8)</w:t>
            </w:r>
          </w:p>
        </w:tc>
      </w:tr>
      <w:tr>
        <w:trPr>
          <w:trHeight w:val="24"/>
        </w:trPr>
        <w:tc>
          <w:tcPr>
            <w:tcW w:w="4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92"/>
        </w:trPr>
        <w:tc>
          <w:tcPr>
            <w:tcW w:w="45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Change in unrealized losses</w:t>
            </w:r>
          </w:p>
        </w:tc>
        <w:tc>
          <w:tcPr>
            <w:tcW w:w="104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(2)</w:t>
            </w:r>
          </w:p>
        </w:tc>
      </w:tr>
      <w:tr>
        <w:trPr>
          <w:trHeight w:val="188"/>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swaps:</w:t>
            </w:r>
          </w:p>
        </w:tc>
        <w:tc>
          <w:tcPr>
            <w:tcW w:w="1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4"/>
        </w:trPr>
        <w:tc>
          <w:tcPr>
            <w:tcW w:w="4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92"/>
        </w:trPr>
        <w:tc>
          <w:tcPr>
            <w:tcW w:w="45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Losses on foreign currency swaps</w:t>
            </w:r>
          </w:p>
        </w:tc>
        <w:tc>
          <w:tcPr>
            <w:tcW w:w="104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(2)</w:t>
            </w:r>
          </w:p>
        </w:tc>
      </w:tr>
      <w:tr>
        <w:trPr>
          <w:trHeight w:val="188"/>
        </w:trPr>
        <w:tc>
          <w:tcPr>
            <w:tcW w:w="45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Change in unrealized (losses) gains</w:t>
            </w:r>
          </w:p>
        </w:tc>
        <w:tc>
          <w:tcPr>
            <w:tcW w:w="1040" w:type="dxa"/>
            <w:vAlign w:val="bottom"/>
          </w:tcPr>
          <w:p>
            <w:pPr>
              <w:spacing w:after="0"/>
              <w:rPr>
                <w:sz w:val="16"/>
                <w:szCs w:val="16"/>
                <w:color w:val="auto"/>
              </w:rPr>
            </w:pPr>
          </w:p>
        </w:tc>
        <w:tc>
          <w:tcPr>
            <w:tcW w:w="5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16"/>
                <w:szCs w:val="16"/>
                <w:color w:val="auto"/>
              </w:rPr>
            </w:pPr>
          </w:p>
        </w:tc>
        <w:tc>
          <w:tcPr>
            <w:tcW w:w="10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(5)</w:t>
            </w:r>
          </w:p>
        </w:tc>
      </w:tr>
      <w:tr>
        <w:trPr>
          <w:trHeight w:val="24"/>
        </w:trPr>
        <w:tc>
          <w:tcPr>
            <w:tcW w:w="4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92"/>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swaps:</w:t>
            </w:r>
          </w:p>
        </w:tc>
        <w:tc>
          <w:tcPr>
            <w:tcW w:w="104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r>
      <w:tr>
        <w:trPr>
          <w:trHeight w:val="188"/>
        </w:trPr>
        <w:tc>
          <w:tcPr>
            <w:tcW w:w="45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Losses on interest rate swaps</w:t>
            </w:r>
          </w:p>
        </w:tc>
        <w:tc>
          <w:tcPr>
            <w:tcW w:w="1040" w:type="dxa"/>
            <w:vAlign w:val="bottom"/>
          </w:tcPr>
          <w:p>
            <w:pPr>
              <w:spacing w:after="0"/>
              <w:rPr>
                <w:sz w:val="16"/>
                <w:szCs w:val="16"/>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spacing w:after="0"/>
              <w:rPr>
                <w:sz w:val="16"/>
                <w:szCs w:val="16"/>
                <w:color w:val="auto"/>
              </w:rPr>
            </w:pP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16"/>
                <w:szCs w:val="16"/>
                <w:color w:val="auto"/>
              </w:rPr>
            </w:pPr>
          </w:p>
        </w:tc>
        <w:tc>
          <w:tcPr>
            <w:tcW w:w="10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r>
      <w:tr>
        <w:trPr>
          <w:trHeight w:val="24"/>
        </w:trPr>
        <w:tc>
          <w:tcPr>
            <w:tcW w:w="4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12"/>
        </w:trPr>
        <w:tc>
          <w:tcPr>
            <w:tcW w:w="45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Change in unrealized (losses) gains</w:t>
            </w:r>
          </w:p>
        </w:tc>
        <w:tc>
          <w:tcPr>
            <w:tcW w:w="104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(223)</w:t>
            </w:r>
          </w:p>
        </w:tc>
        <w:tc>
          <w:tcPr>
            <w:tcW w:w="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(281)</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62</w:t>
            </w:r>
          </w:p>
        </w:tc>
      </w:tr>
      <w:tr>
        <w:trPr>
          <w:trHeight w:val="205"/>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net change in fair value</w:t>
            </w:r>
          </w:p>
        </w:tc>
        <w:tc>
          <w:tcPr>
            <w:tcW w:w="1040" w:type="dxa"/>
            <w:vAlign w:val="bottom"/>
            <w:tcBorders>
              <w:top w:val="single" w:sz="8" w:color="auto"/>
              <w:bottom w:val="single" w:sz="8" w:color="auto"/>
            </w:tcBorders>
          </w:tcPr>
          <w:p>
            <w:pPr>
              <w:jc w:val="right"/>
              <w:ind w:right="86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(347)</w:t>
            </w:r>
          </w:p>
        </w:tc>
        <w:tc>
          <w:tcPr>
            <w:tcW w:w="8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right"/>
              <w:ind w:right="86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277</w:t>
            </w:r>
          </w:p>
        </w:tc>
        <w:tc>
          <w:tcPr>
            <w:tcW w:w="100" w:type="dxa"/>
            <w:vAlign w:val="bottom"/>
          </w:tcPr>
          <w:p>
            <w:pPr>
              <w:spacing w:after="0"/>
              <w:rPr>
                <w:sz w:val="17"/>
                <w:szCs w:val="17"/>
                <w:color w:val="auto"/>
              </w:rPr>
            </w:pPr>
          </w:p>
        </w:tc>
        <w:tc>
          <w:tcPr>
            <w:tcW w:w="600" w:type="dxa"/>
            <w:vAlign w:val="bottom"/>
            <w:tcBorders>
              <w:top w:val="single" w:sz="8" w:color="auto"/>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(116)</w:t>
            </w:r>
          </w:p>
        </w:tc>
        <w:tc>
          <w:tcPr>
            <w:tcW w:w="12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232</w:t>
            </w:r>
          </w:p>
        </w:tc>
      </w:tr>
      <w:tr>
        <w:trPr>
          <w:trHeight w:val="20"/>
        </w:trPr>
        <w:tc>
          <w:tcPr>
            <w:tcW w:w="45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78"/>
        </w:trPr>
        <w:tc>
          <w:tcPr>
            <w:tcW w:w="45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188"/>
        </w:trPr>
        <w:tc>
          <w:tcPr>
            <w:tcW w:w="45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Annual Point-to-Point Change in S&amp;P 500 Index during the periods</w:t>
            </w:r>
          </w:p>
        </w:tc>
        <w:tc>
          <w:tcPr>
            <w:tcW w:w="10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16 %</w:t>
            </w:r>
          </w:p>
        </w:tc>
      </w:tr>
      <w:tr>
        <w:trPr>
          <w:trHeight w:val="24"/>
        </w:trPr>
        <w:tc>
          <w:tcPr>
            <w:tcW w:w="4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88"/>
        </w:trPr>
        <w:tc>
          <w:tcPr>
            <w:tcW w:w="4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Secured Overnight Financing Rates</w:t>
            </w:r>
          </w:p>
        </w:tc>
        <w:tc>
          <w:tcPr>
            <w:tcW w:w="10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3.90 %</w:t>
            </w: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4.24 %</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3.90 %</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4.24 %</w:t>
            </w:r>
          </w:p>
        </w:tc>
      </w:tr>
      <w:tr>
        <w:trPr>
          <w:trHeight w:val="24"/>
        </w:trPr>
        <w:tc>
          <w:tcPr>
            <w:tcW w:w="45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141" w:lineRule="exact"/>
        <w:rPr>
          <w:sz w:val="20"/>
          <w:szCs w:val="20"/>
          <w:color w:val="auto"/>
        </w:rPr>
      </w:pPr>
    </w:p>
    <w:p>
      <w:pPr>
        <w:ind w:left="640" w:hanging="316"/>
        <w:spacing w:after="0" w:line="274" w:lineRule="auto"/>
        <w:tabs>
          <w:tab w:leader="none" w:pos="6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Realized gains and losses on certain derivative instruments are directly correlated to the performance of the indices upon which the equity options and futures contracts are based and the value of the derivatives at the time of expiration compared to the value at the time of purchase.</w:t>
      </w:r>
    </w:p>
    <w:p>
      <w:pPr>
        <w:spacing w:after="0" w:line="57"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changes in unrealized gains losses due to the net changes in fair value of equity options and futures contracts are driven by the underlying performance of the indices, such as the S&amp;P 500 Index, upon which the equity options and futures contracts are based during each respective period relative to the respective indices on the policyholder buy dates.</w:t>
      </w:r>
    </w:p>
    <w:p>
      <w:pPr>
        <w:spacing w:after="0" w:line="18"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change in fair value of the foreign currency derivatives and interest rate swaps were primarily driven by fluctuations in the foreign currency exchange rates and interest rate indexes underlying the swap contracts.</w:t>
      </w:r>
    </w:p>
    <w:p>
      <w:pPr>
        <w:spacing w:after="0" w:line="5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average index credits to policyholders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20" w:type="dxa"/>
            <w:vAlign w:val="bottom"/>
          </w:tcPr>
          <w:p>
            <w:pPr>
              <w:spacing w:after="0"/>
              <w:rPr>
                <w:sz w:val="16"/>
                <w:szCs w:val="16"/>
                <w:color w:val="auto"/>
              </w:rPr>
            </w:pPr>
          </w:p>
        </w:tc>
        <w:tc>
          <w:tcPr>
            <w:tcW w:w="280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60" w:type="dxa"/>
            <w:vAlign w:val="bottom"/>
            <w:gridSpan w:val="3"/>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4"/>
        </w:trPr>
        <w:tc>
          <w:tcPr>
            <w:tcW w:w="45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81"/>
        </w:trPr>
        <w:tc>
          <w:tcPr>
            <w:tcW w:w="5600" w:type="dxa"/>
            <w:vAlign w:val="bottom"/>
            <w:gridSpan w:val="2"/>
          </w:tcPr>
          <w:p>
            <w:pPr>
              <w:ind w:left="516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72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158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4"/>
        </w:trPr>
        <w:tc>
          <w:tcPr>
            <w:tcW w:w="45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85"/>
        </w:trPr>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Average Crediting Rate</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1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8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10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r>
      <w:tr>
        <w:trPr>
          <w:trHeight w:val="188"/>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S&amp;P 500 Index:</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4"/>
        </w:trPr>
        <w:tc>
          <w:tcPr>
            <w:tcW w:w="4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192"/>
        </w:trPr>
        <w:tc>
          <w:tcPr>
            <w:tcW w:w="56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Point-to-point strategy</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1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18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10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5 %</w:t>
            </w:r>
          </w:p>
        </w:tc>
      </w:tr>
      <w:tr>
        <w:trPr>
          <w:trHeight w:val="188"/>
        </w:trPr>
        <w:tc>
          <w:tcPr>
            <w:tcW w:w="56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Monthly average strategy</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1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1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3 %</w:t>
            </w:r>
          </w:p>
        </w:tc>
      </w:tr>
      <w:tr>
        <w:trPr>
          <w:trHeight w:val="24"/>
        </w:trPr>
        <w:tc>
          <w:tcPr>
            <w:tcW w:w="4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192"/>
        </w:trPr>
        <w:tc>
          <w:tcPr>
            <w:tcW w:w="56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Monthly point-to-point strategy</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1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8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10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w:t>
            </w:r>
          </w:p>
        </w:tc>
      </w:tr>
      <w:tr>
        <w:trPr>
          <w:trHeight w:val="188"/>
        </w:trPr>
        <w:tc>
          <w:tcPr>
            <w:tcW w:w="56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3 year high water mark</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1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1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12 %</w:t>
            </w:r>
          </w:p>
        </w:tc>
      </w:tr>
    </w:tbl>
    <w:p>
      <w:pPr>
        <w:spacing w:after="0" w:line="165" w:lineRule="exact"/>
        <w:rPr>
          <w:sz w:val="20"/>
          <w:szCs w:val="20"/>
          <w:color w:val="auto"/>
        </w:rPr>
      </w:pPr>
    </w:p>
    <w:p>
      <w:pPr>
        <w:jc w:val="both"/>
        <w:ind w:left="640" w:hanging="316"/>
        <w:spacing w:after="0" w:line="259" w:lineRule="auto"/>
        <w:tabs>
          <w:tab w:leader="none" w:pos="6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amounts credited to contractholder fund balances may differ from the index appreciation due to contractual features in the indexed annuity contracts and certain IUL contracts (caps, spreads and participation rates), which allow us to manage the cost of the options purchased to fund the annual index credits.</w:t>
      </w:r>
    </w:p>
    <w:p>
      <w:pPr>
        <w:spacing w:after="0" w:line="32"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credits for the periods presented were based on comparing the S&amp;P 500 Index on each issue date in the period to the same issue date in the respective prior year periods.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Benefits and expenses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Benefits and other changes in policy reserves</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Below is a summary of the major components included in Benefits and other changes in policy reserves: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60" w:type="dxa"/>
            <w:vAlign w:val="bottom"/>
          </w:tcPr>
          <w:p>
            <w:pPr>
              <w:spacing w:after="0"/>
              <w:rPr>
                <w:sz w:val="16"/>
                <w:szCs w:val="16"/>
                <w:color w:val="auto"/>
              </w:rPr>
            </w:pPr>
          </w:p>
        </w:tc>
        <w:tc>
          <w:tcPr>
            <w:tcW w:w="27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720" w:type="dxa"/>
            <w:vAlign w:val="bottom"/>
            <w:gridSpan w:val="4"/>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4"/>
        </w:trPr>
        <w:tc>
          <w:tcPr>
            <w:tcW w:w="47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1"/>
        </w:trPr>
        <w:tc>
          <w:tcPr>
            <w:tcW w:w="4760" w:type="dxa"/>
            <w:vAlign w:val="bottom"/>
          </w:tcPr>
          <w:p>
            <w:pPr>
              <w:spacing w:after="0"/>
              <w:rPr>
                <w:sz w:val="15"/>
                <w:szCs w:val="15"/>
                <w:color w:val="auto"/>
              </w:rPr>
            </w:pPr>
          </w:p>
        </w:tc>
        <w:tc>
          <w:tcPr>
            <w:tcW w:w="106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4"/>
        </w:trPr>
        <w:tc>
          <w:tcPr>
            <w:tcW w:w="47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1"/>
        </w:trPr>
        <w:tc>
          <w:tcPr>
            <w:tcW w:w="4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80" w:type="dxa"/>
            <w:vAlign w:val="bottom"/>
            <w:gridSpan w:val="3"/>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4"/>
        </w:trPr>
        <w:tc>
          <w:tcPr>
            <w:tcW w:w="4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92"/>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PRT agreements</w:t>
            </w:r>
          </w:p>
        </w:tc>
        <w:tc>
          <w:tcPr>
            <w:tcW w:w="1060" w:type="dxa"/>
            <w:vAlign w:val="bottom"/>
            <w:tcBorders>
              <w:bottom w:val="single" w:sz="8" w:color="CCEEFF"/>
            </w:tcBorders>
            <w:shd w:val="clear" w:color="auto" w:fill="CCEEFF"/>
          </w:tcPr>
          <w:p>
            <w:pPr>
              <w:jc w:val="right"/>
              <w:ind w:right="889"/>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1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736</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1,331</w:t>
            </w:r>
          </w:p>
        </w:tc>
      </w:tr>
      <w:tr>
        <w:trPr>
          <w:trHeight w:val="188"/>
        </w:trPr>
        <w:tc>
          <w:tcPr>
            <w:tcW w:w="4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Indexed annuities/IUL market related liability movements</w:t>
            </w:r>
          </w:p>
        </w:tc>
        <w:tc>
          <w:tcPr>
            <w:tcW w:w="10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(699)</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r>
      <w:tr>
        <w:trPr>
          <w:trHeight w:val="24"/>
        </w:trPr>
        <w:tc>
          <w:tcPr>
            <w:tcW w:w="4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92"/>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Index credits, interest credited and bonuses</w:t>
            </w:r>
          </w:p>
        </w:tc>
        <w:tc>
          <w:tcPr>
            <w:tcW w:w="106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w:t>
            </w:r>
          </w:p>
        </w:tc>
        <w:tc>
          <w:tcPr>
            <w:tcW w:w="1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1,811</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1,314</w:t>
            </w:r>
          </w:p>
        </w:tc>
      </w:tr>
      <w:tr>
        <w:trPr>
          <w:trHeight w:val="188"/>
        </w:trPr>
        <w:tc>
          <w:tcPr>
            <w:tcW w:w="4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changes in policy reserves</w:t>
            </w:r>
          </w:p>
        </w:tc>
        <w:tc>
          <w:tcPr>
            <w:tcW w:w="10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24"/>
        </w:trPr>
        <w:tc>
          <w:tcPr>
            <w:tcW w:w="47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47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Benefits and other changes in policy reserves (a)</w:t>
            </w:r>
          </w:p>
        </w:tc>
        <w:tc>
          <w:tcPr>
            <w:tcW w:w="1060" w:type="dxa"/>
            <w:vAlign w:val="bottom"/>
            <w:tcBorders>
              <w:bottom w:val="single" w:sz="8" w:color="auto"/>
            </w:tcBorders>
            <w:shd w:val="clear" w:color="auto" w:fill="CCEEFF"/>
          </w:tcPr>
          <w:p>
            <w:pPr>
              <w:jc w:val="right"/>
              <w:ind w:right="889"/>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1,181</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1,659</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2,698</w:t>
            </w: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63" w:lineRule="exact"/>
        <w:rPr>
          <w:sz w:val="20"/>
          <w:szCs w:val="20"/>
          <w:color w:val="auto"/>
        </w:rPr>
      </w:pPr>
    </w:p>
    <w:p>
      <w:pPr>
        <w:ind w:firstLine="6"/>
        <w:spacing w:after="0" w:line="286" w:lineRule="auto"/>
        <w:tabs>
          <w:tab w:leader="none" w:pos="196"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Reported net of ceded benefits and other changes in policy reserves of $30 million and $56 million for the three months ended September 30, 2026 and 2025, and $156 million and $173 million for the nine months ended September 30, 2026 and 2025 respectively</w:t>
      </w:r>
      <w:r>
        <w:rPr>
          <w:rFonts w:ascii="Times New Roman" w:cs="Times New Roman" w:eastAsia="Times New Roman" w:hAnsi="Times New Roman"/>
          <w:sz w:val="17"/>
          <w:szCs w:val="17"/>
          <w:color w:val="auto"/>
        </w:rPr>
        <w:t>.</w:t>
      </w:r>
    </w:p>
    <w:p>
      <w:pPr>
        <w:spacing w:after="0" w:line="3" w:lineRule="exact"/>
        <w:rPr>
          <w:rFonts w:ascii="Times New Roman" w:cs="Times New Roman" w:eastAsia="Times New Roman" w:hAnsi="Times New Roman"/>
          <w:sz w:val="14"/>
          <w:szCs w:val="14"/>
          <w:color w:val="auto"/>
        </w:rPr>
      </w:pPr>
    </w:p>
    <w:p>
      <w:pPr>
        <w:jc w:val="both"/>
        <w:ind w:left="640" w:hanging="316"/>
        <w:spacing w:after="0" w:line="259" w:lineRule="auto"/>
        <w:tabs>
          <w:tab w:leader="none" w:pos="635" w:val="left"/>
        </w:tabs>
        <w:numPr>
          <w:ilvl w:val="1"/>
          <w:numId w:val="2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PRT agreements, primarily representing the change in reserves associated with PRT premiums during the periods, decreased for the three and nine months ended September 30, 2026, compared to the three and nine months ended September 30, 2025, reflecting the timing of PRT transactions. PRT transactions are subject to fluctuation period to period.</w:t>
      </w:r>
    </w:p>
    <w:p>
      <w:pPr>
        <w:spacing w:after="0" w:line="71" w:lineRule="exact"/>
        <w:rPr>
          <w:rFonts w:ascii="Times New Roman" w:cs="Times New Roman" w:eastAsia="Times New Roman" w:hAnsi="Times New Roman"/>
          <w:sz w:val="18"/>
          <w:szCs w:val="18"/>
          <w:i w:val="1"/>
          <w:iCs w:val="1"/>
          <w:color w:val="auto"/>
        </w:rPr>
      </w:pPr>
    </w:p>
    <w:p>
      <w:pPr>
        <w:jc w:val="both"/>
        <w:ind w:left="640" w:hanging="316"/>
        <w:spacing w:after="0" w:line="251" w:lineRule="auto"/>
        <w:tabs>
          <w:tab w:leader="none" w:pos="635" w:val="left"/>
        </w:tabs>
        <w:numPr>
          <w:ilvl w:val="1"/>
          <w:numId w:val="2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indexed annuities/IUL market related liability movements during the three and nine months ended September 30, 2026 and 2025, respectively, are mainly driven by changes in the equity markets, non-performance spreads, and risk free rates during the respective periods. The change in risk free rates and non-performance spreads (decreased) increased the direct indexed annuities market related liability by $(372) million and $92 million during the three months ended September 30, 2026 and 2025, respectively. The change in risk free rates and non-performance spreads (decreased) increased the direct indexed annuities market related liability by $(507) million and $175 million during the nine months ended September 30, 2026 and 2025, respectively.</w:t>
      </w:r>
    </w:p>
    <w:p>
      <w:pPr>
        <w:spacing w:after="0" w:line="26" w:lineRule="exact"/>
        <w:rPr>
          <w:rFonts w:ascii="Times New Roman" w:cs="Times New Roman" w:eastAsia="Times New Roman" w:hAnsi="Times New Roman"/>
          <w:sz w:val="18"/>
          <w:szCs w:val="18"/>
          <w:i w:val="1"/>
          <w:iCs w:val="1"/>
          <w:color w:val="auto"/>
        </w:rPr>
      </w:pPr>
    </w:p>
    <w:p>
      <w:pPr>
        <w:jc w:val="both"/>
        <w:ind w:left="640" w:hanging="316"/>
        <w:spacing w:after="0" w:line="291" w:lineRule="auto"/>
        <w:tabs>
          <w:tab w:leader="none" w:pos="635"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remaining changes in market value of the market related liability movements for all periods were primarily driven by equity market impacts. See “</w:t>
      </w:r>
      <w:r>
        <w:rPr>
          <w:rFonts w:ascii="Times New Roman" w:cs="Times New Roman" w:eastAsia="Times New Roman" w:hAnsi="Times New Roman"/>
          <w:sz w:val="17"/>
          <w:szCs w:val="17"/>
          <w:i w:val="1"/>
          <w:iCs w:val="1"/>
          <w:color w:val="auto"/>
        </w:rPr>
        <w:t>Revenues</w:t>
      </w: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17"/>
          <w:szCs w:val="17"/>
          <w:i w:val="1"/>
          <w:iCs w:val="1"/>
          <w:color w:val="auto"/>
        </w:rPr>
        <w:t>Recognized gains and losses, net”</w:t>
      </w:r>
      <w:r>
        <w:rPr>
          <w:rFonts w:ascii="Times New Roman" w:cs="Times New Roman" w:eastAsia="Times New Roman" w:hAnsi="Times New Roman"/>
          <w:sz w:val="17"/>
          <w:szCs w:val="17"/>
          <w:color w:val="auto"/>
        </w:rPr>
        <w:t xml:space="preserve"> above for summary and discussion of net unrealized gains (losses) on certain derivative instruments.</w:t>
      </w:r>
    </w:p>
    <w:p>
      <w:pPr>
        <w:spacing w:after="0" w:line="2" w:lineRule="exact"/>
        <w:rPr>
          <w:rFonts w:ascii="Times New Roman" w:cs="Times New Roman" w:eastAsia="Times New Roman" w:hAnsi="Times New Roman"/>
          <w:sz w:val="17"/>
          <w:szCs w:val="17"/>
          <w:color w:val="auto"/>
        </w:rPr>
      </w:pPr>
    </w:p>
    <w:p>
      <w:pPr>
        <w:ind w:left="640" w:hanging="316"/>
        <w:spacing w:after="0"/>
        <w:tabs>
          <w:tab w:leader="none" w:pos="640" w:val="left"/>
        </w:tabs>
        <w:numPr>
          <w:ilvl w:val="1"/>
          <w:numId w:val="2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Annually, typically in the third quarter, we review assumptions associated with reserves for policy benefits and product guarantees.</w:t>
      </w:r>
    </w:p>
    <w:p>
      <w:pPr>
        <w:spacing w:after="0" w:line="58" w:lineRule="exact"/>
        <w:rPr>
          <w:rFonts w:ascii="Times New Roman" w:cs="Times New Roman" w:eastAsia="Times New Roman" w:hAnsi="Times New Roman"/>
          <w:sz w:val="18"/>
          <w:szCs w:val="18"/>
          <w:i w:val="1"/>
          <w:iCs w:val="1"/>
          <w:color w:val="auto"/>
        </w:rPr>
      </w:pPr>
    </w:p>
    <w:p>
      <w:pPr>
        <w:jc w:val="both"/>
        <w:ind w:left="1280" w:hanging="320"/>
        <w:spacing w:after="0" w:line="252" w:lineRule="auto"/>
        <w:tabs>
          <w:tab w:leader="none" w:pos="1276"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and nine months ended September 30, 2026, based on policyholder behavior, experience and interest rate movements, we reflected updates to surrender assumptions for recent and expected policyholder behavior, as well as updated certain FIA assumptions used to calculate the fair value of the embedded derivative component within Contractholder funds. These changes resulted in decreases in total benefits and other changes in policy reserves of approximately $259 million and $273 million for the three and nine months ended September 30, 2026, respectively.</w:t>
      </w:r>
    </w:p>
    <w:p>
      <w:pPr>
        <w:spacing w:after="0" w:line="26" w:lineRule="exact"/>
        <w:rPr>
          <w:rFonts w:ascii="Times New Roman" w:cs="Times New Roman" w:eastAsia="Times New Roman" w:hAnsi="Times New Roman"/>
          <w:sz w:val="18"/>
          <w:szCs w:val="18"/>
          <w:color w:val="auto"/>
        </w:rPr>
      </w:pPr>
    </w:p>
    <w:p>
      <w:pPr>
        <w:jc w:val="both"/>
        <w:ind w:left="1280" w:hanging="320"/>
        <w:spacing w:after="0" w:line="252" w:lineRule="auto"/>
        <w:tabs>
          <w:tab w:leader="none" w:pos="1276"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and nine months ended September 30, 2025, based on policyholder behavior, experience and interest rate movements, we reflected updates to surrender assumptions for recent and expected near term policyholder behavior, as well as updated certain FIA assumptions used to calculate the fair value of the embedded derivative component within Contractholder funds. These changes resulted in decreases in total benefits and other changes in policy reserves of approximately $4 million and $30 million for the three and nine months ended September 30, 2025, respectively.</w:t>
      </w:r>
    </w:p>
    <w:p>
      <w:pPr>
        <w:spacing w:after="0" w:line="26"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1"/>
          <w:numId w:val="2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Index credits, interest credited and bonuses for the three and nine months ended September 30, 2026, were higher compared to the three and nine months ended September 30, 2025, primarily reflecting higher index credits and interest credited on indexed annuities and other policies as a result of market movement during the respective periods and higher interest credited associated with the growth in PRT agreements.</w:t>
      </w:r>
    </w:p>
    <w:p>
      <w:pPr>
        <w:spacing w:after="0" w:line="18" w:lineRule="exact"/>
        <w:rPr>
          <w:rFonts w:ascii="Times New Roman" w:cs="Times New Roman" w:eastAsia="Times New Roman" w:hAnsi="Times New Roman"/>
          <w:sz w:val="18"/>
          <w:szCs w:val="18"/>
          <w:i w:val="1"/>
          <w:iCs w:val="1"/>
          <w:color w:val="auto"/>
        </w:rPr>
      </w:pPr>
    </w:p>
    <w:p>
      <w:pPr>
        <w:ind w:left="640" w:hanging="316"/>
        <w:spacing w:after="0" w:line="274" w:lineRule="auto"/>
        <w:tabs>
          <w:tab w:leader="none" w:pos="635"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changes in policy reserves decreased for the three and nine months ended September 30, 2026, compared to the three and nine months ended September 30, 2025, primarily reflecting higher FIA ceded deposit asset accrual and higher FIA bonus recapture upon surrender.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 Benefit (gains) losses</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Below is a summary of market risk benefit (gains) losses: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60" w:type="dxa"/>
            <w:vAlign w:val="bottom"/>
          </w:tcPr>
          <w:p>
            <w:pPr>
              <w:spacing w:after="0"/>
              <w:rPr>
                <w:sz w:val="16"/>
                <w:szCs w:val="16"/>
                <w:color w:val="auto"/>
              </w:rPr>
            </w:pPr>
          </w:p>
        </w:tc>
        <w:tc>
          <w:tcPr>
            <w:tcW w:w="2740" w:type="dxa"/>
            <w:vAlign w:val="bottom"/>
            <w:gridSpan w:val="4"/>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720" w:type="dxa"/>
            <w:vAlign w:val="bottom"/>
            <w:gridSpan w:val="4"/>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4"/>
        </w:trPr>
        <w:tc>
          <w:tcPr>
            <w:tcW w:w="47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1"/>
        </w:trPr>
        <w:tc>
          <w:tcPr>
            <w:tcW w:w="4760" w:type="dxa"/>
            <w:vAlign w:val="bottom"/>
          </w:tcPr>
          <w:p>
            <w:pPr>
              <w:spacing w:after="0"/>
              <w:rPr>
                <w:sz w:val="15"/>
                <w:szCs w:val="15"/>
                <w:color w:val="auto"/>
              </w:rPr>
            </w:pPr>
          </w:p>
        </w:tc>
        <w:tc>
          <w:tcPr>
            <w:tcW w:w="106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4"/>
        </w:trPr>
        <w:tc>
          <w:tcPr>
            <w:tcW w:w="47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1"/>
        </w:trPr>
        <w:tc>
          <w:tcPr>
            <w:tcW w:w="4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60" w:type="dxa"/>
            <w:vAlign w:val="bottom"/>
            <w:gridSpan w:val="3"/>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4"/>
        </w:trPr>
        <w:tc>
          <w:tcPr>
            <w:tcW w:w="47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47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Market risk benefit (gains) losses</w:t>
            </w:r>
          </w:p>
        </w:tc>
        <w:tc>
          <w:tcPr>
            <w:tcW w:w="1060" w:type="dxa"/>
            <w:vAlign w:val="bottom"/>
            <w:tcBorders>
              <w:bottom w:val="single" w:sz="8" w:color="auto"/>
            </w:tcBorders>
            <w:shd w:val="clear" w:color="auto" w:fill="CCEEFF"/>
          </w:tcPr>
          <w:p>
            <w:pPr>
              <w:jc w:val="right"/>
              <w:ind w:right="889"/>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w:t>
            </w: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ind w:left="640" w:hanging="316"/>
        <w:spacing w:after="0" w:line="259" w:lineRule="auto"/>
        <w:tabs>
          <w:tab w:leader="none" w:pos="635" w:val="left"/>
        </w:tabs>
        <w:numPr>
          <w:ilvl w:val="0"/>
          <w:numId w:val="2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Market risk benefit (gains) losses are primarily driven by issuances, attributed fees collected, effects of market related movements (including changes in equity markets and risk-free rates), and actual policyholder behavior as compared with expected changes in assumptions during the periods. Market risk benefit (gains) losses are reported net of reinsurance.</w:t>
      </w:r>
    </w:p>
    <w:p>
      <w:pPr>
        <w:spacing w:after="0" w:line="71" w:lineRule="exact"/>
        <w:rPr>
          <w:rFonts w:ascii="Times New Roman" w:cs="Times New Roman" w:eastAsia="Times New Roman" w:hAnsi="Times New Roman"/>
          <w:sz w:val="18"/>
          <w:szCs w:val="18"/>
          <w:i w:val="1"/>
          <w:iCs w:val="1"/>
          <w:color w:val="auto"/>
        </w:rPr>
      </w:pPr>
    </w:p>
    <w:p>
      <w:pPr>
        <w:ind w:left="640" w:hanging="316"/>
        <w:spacing w:after="0" w:line="274" w:lineRule="auto"/>
        <w:tabs>
          <w:tab w:leader="none" w:pos="635" w:val="left"/>
        </w:tabs>
        <w:numPr>
          <w:ilvl w:val="0"/>
          <w:numId w:val="2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Changes in market risk benefit (gains) losses for the three and nine months ended September 30, 2026, compared to the three and nine months ended September 30, 2025, primarily reflect favorable market related movements and favorable actuarial assumption updates.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Below is a summary of the major components included in depreciation and amortization:</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60" w:type="dxa"/>
            <w:vAlign w:val="bottom"/>
          </w:tcPr>
          <w:p>
            <w:pPr>
              <w:spacing w:after="0"/>
              <w:rPr>
                <w:sz w:val="16"/>
                <w:szCs w:val="16"/>
                <w:color w:val="auto"/>
              </w:rPr>
            </w:pPr>
          </w:p>
        </w:tc>
        <w:tc>
          <w:tcPr>
            <w:tcW w:w="2740" w:type="dxa"/>
            <w:vAlign w:val="bottom"/>
            <w:gridSpan w:val="4"/>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700" w:type="dxa"/>
            <w:vAlign w:val="bottom"/>
            <w:gridSpan w:val="4"/>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4"/>
        </w:trPr>
        <w:tc>
          <w:tcPr>
            <w:tcW w:w="47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1"/>
        </w:trPr>
        <w:tc>
          <w:tcPr>
            <w:tcW w:w="4760" w:type="dxa"/>
            <w:vAlign w:val="bottom"/>
          </w:tcPr>
          <w:p>
            <w:pPr>
              <w:spacing w:after="0"/>
              <w:rPr>
                <w:sz w:val="15"/>
                <w:szCs w:val="15"/>
                <w:color w:val="auto"/>
              </w:rPr>
            </w:pPr>
          </w:p>
        </w:tc>
        <w:tc>
          <w:tcPr>
            <w:tcW w:w="1060" w:type="dxa"/>
            <w:vAlign w:val="bottom"/>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00" w:type="dxa"/>
            <w:vAlign w:val="bottom"/>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4"/>
        </w:trPr>
        <w:tc>
          <w:tcPr>
            <w:tcW w:w="47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1"/>
        </w:trPr>
        <w:tc>
          <w:tcPr>
            <w:tcW w:w="4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80" w:type="dxa"/>
            <w:vAlign w:val="bottom"/>
            <w:gridSpan w:val="3"/>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4"/>
        </w:trPr>
        <w:tc>
          <w:tcPr>
            <w:tcW w:w="4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92"/>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 of DAC, VOBA and DSI</w:t>
            </w:r>
          </w:p>
        </w:tc>
        <w:tc>
          <w:tcPr>
            <w:tcW w:w="1060" w:type="dxa"/>
            <w:vAlign w:val="bottom"/>
            <w:tcBorders>
              <w:bottom w:val="single" w:sz="8" w:color="CCEEFF"/>
            </w:tcBorders>
            <w:shd w:val="clear" w:color="auto" w:fill="CCEEFF"/>
          </w:tcPr>
          <w:p>
            <w:pPr>
              <w:jc w:val="right"/>
              <w:ind w:right="889"/>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8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969"/>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w:t>
            </w:r>
          </w:p>
        </w:tc>
      </w:tr>
      <w:tr>
        <w:trPr>
          <w:trHeight w:val="188"/>
        </w:trPr>
        <w:tc>
          <w:tcPr>
            <w:tcW w:w="4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Amortization of other intangible assets and fixed asset depreciation</w:t>
            </w:r>
          </w:p>
        </w:tc>
        <w:tc>
          <w:tcPr>
            <w:tcW w:w="10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r>
      <w:tr>
        <w:trPr>
          <w:trHeight w:val="24"/>
        </w:trPr>
        <w:tc>
          <w:tcPr>
            <w:tcW w:w="47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0"/>
        </w:trPr>
        <w:tc>
          <w:tcPr>
            <w:tcW w:w="47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Depreciation and amortization</w:t>
            </w:r>
          </w:p>
        </w:tc>
        <w:tc>
          <w:tcPr>
            <w:tcW w:w="1060" w:type="dxa"/>
            <w:vAlign w:val="bottom"/>
            <w:tcBorders>
              <w:bottom w:val="single" w:sz="8" w:color="auto"/>
            </w:tcBorders>
            <w:shd w:val="clear" w:color="auto" w:fill="CCEEFF"/>
          </w:tcPr>
          <w:p>
            <w:pPr>
              <w:jc w:val="right"/>
              <w:ind w:right="889"/>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969"/>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1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w:t>
            </w: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jc w:val="both"/>
        <w:ind w:left="640" w:hanging="316"/>
        <w:spacing w:after="0" w:line="252" w:lineRule="auto"/>
        <w:tabs>
          <w:tab w:leader="none" w:pos="635" w:val="left"/>
        </w:tabs>
        <w:numPr>
          <w:ilvl w:val="0"/>
          <w:numId w:val="2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DAC, VOBA and DSI are amortized on a constant level basis for the grouped contracts over the expected term of the related contracts to approximate straight-line amortization. Depreciation and amortization increased for the three and nine months ended September 30, 2026, compared to the three and nine months ended September 30, 2025, primarily reflecting increased DAC and DSI associated with the growth of the business, partially offset by lower amortization of other intangible assets. In addition, as a result of our annual actuarial assumption update process, amortization rates on some DAC and DSI balances increased primarily for indexed annuities.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Personnel Costs and Other Operating Expenses</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Below is a summary of personnel costs and other operating expenses: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40" w:type="dxa"/>
            <w:vAlign w:val="bottom"/>
          </w:tcPr>
          <w:p>
            <w:pPr>
              <w:spacing w:after="0"/>
              <w:rPr>
                <w:sz w:val="16"/>
                <w:szCs w:val="16"/>
                <w:color w:val="auto"/>
              </w:rPr>
            </w:pPr>
          </w:p>
        </w:tc>
        <w:tc>
          <w:tcPr>
            <w:tcW w:w="25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540" w:type="dxa"/>
            <w:vAlign w:val="bottom"/>
            <w:gridSpan w:val="4"/>
          </w:tcPr>
          <w:p>
            <w:pPr>
              <w:jc w:val="center"/>
              <w:ind w:right="32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4"/>
        </w:trPr>
        <w:tc>
          <w:tcPr>
            <w:tcW w:w="53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1"/>
        </w:trPr>
        <w:tc>
          <w:tcPr>
            <w:tcW w:w="5340" w:type="dxa"/>
            <w:vAlign w:val="bottom"/>
          </w:tcPr>
          <w:p>
            <w:pPr>
              <w:spacing w:after="0"/>
              <w:rPr>
                <w:sz w:val="15"/>
                <w:szCs w:val="15"/>
                <w:color w:val="auto"/>
              </w:rPr>
            </w:pPr>
          </w:p>
        </w:tc>
        <w:tc>
          <w:tcPr>
            <w:tcW w:w="1040" w:type="dxa"/>
            <w:vAlign w:val="bottom"/>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4"/>
        </w:trPr>
        <w:tc>
          <w:tcPr>
            <w:tcW w:w="53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1"/>
        </w:trPr>
        <w:tc>
          <w:tcPr>
            <w:tcW w:w="5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4"/>
        </w:trPr>
        <w:tc>
          <w:tcPr>
            <w:tcW w:w="5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92"/>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Personnel costs</w:t>
            </w:r>
          </w:p>
        </w:tc>
        <w:tc>
          <w:tcPr>
            <w:tcW w:w="1040" w:type="dxa"/>
            <w:vAlign w:val="bottom"/>
            <w:tcBorders>
              <w:bottom w:val="single" w:sz="8" w:color="CCEEFF"/>
            </w:tcBorders>
            <w:shd w:val="clear" w:color="auto" w:fill="CCEEFF"/>
          </w:tcPr>
          <w:p>
            <w:pPr>
              <w:jc w:val="right"/>
              <w:ind w:right="88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center"/>
              <w:ind w:right="16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w:t>
            </w:r>
          </w:p>
        </w:tc>
      </w:tr>
      <w:tr>
        <w:trPr>
          <w:trHeight w:val="188"/>
        </w:trPr>
        <w:tc>
          <w:tcPr>
            <w:tcW w:w="5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operating expenses</w:t>
            </w:r>
          </w:p>
        </w:tc>
        <w:tc>
          <w:tcPr>
            <w:tcW w:w="10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w:t>
            </w:r>
          </w:p>
        </w:tc>
      </w:tr>
      <w:tr>
        <w:trPr>
          <w:trHeight w:val="24"/>
        </w:trPr>
        <w:tc>
          <w:tcPr>
            <w:tcW w:w="53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53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Total personnel costs and other operating expenses</w:t>
            </w:r>
          </w:p>
        </w:tc>
        <w:tc>
          <w:tcPr>
            <w:tcW w:w="1040" w:type="dxa"/>
            <w:vAlign w:val="bottom"/>
            <w:tcBorders>
              <w:bottom w:val="single" w:sz="8" w:color="auto"/>
            </w:tcBorders>
            <w:shd w:val="clear" w:color="auto" w:fill="CCEEFF"/>
          </w:tcPr>
          <w:p>
            <w:pPr>
              <w:jc w:val="right"/>
              <w:ind w:right="88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center"/>
              <w:ind w:right="16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jc w:val="both"/>
        <w:ind w:left="640" w:hanging="316"/>
        <w:spacing w:after="0" w:line="255" w:lineRule="auto"/>
        <w:tabs>
          <w:tab w:leader="none" w:pos="635" w:val="left"/>
        </w:tabs>
        <w:numPr>
          <w:ilvl w:val="0"/>
          <w:numId w:val="2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Personnel costs and other operating expenses were lower for the three and nine months ended September 30, 2026, compared to the three and nine months ended September 30, 2025, respectively, primarily reflecting costs in line with sales volumes and growth in assets, disciplined expense management, including one-time management actions taken in the second quarter of 2025, along with continued investments in our operating platform.</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Portfolio</w:t>
      </w:r>
    </w:p>
    <w:p>
      <w:pPr>
        <w:spacing w:after="0" w:line="115"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The types of assets in which we may invest are influenced by various state laws, which prescribe qualified investment assets applicable to insurance companies. Within the parameters of these laws, we invest in assets giving consideration to four primary investment objectives: (i) maintain robust absolute returns; (ii) provide reliable yield and investment income; (iii) preserve capital; and (iv) provide liquidity to meet policyholder and other corporate obligations.</w:t>
      </w:r>
    </w:p>
    <w:p>
      <w:pPr>
        <w:spacing w:after="0" w:line="53"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Our investment portfolio is designed to contribute stable earnings, excluding short-term mark-to-market effects, and balance risk across diverse asset classes and is primarily invested in high quality fixed income securities.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 xml:space="preserve">Our investments include assets backing reserves as part of coinsurance with funds withheld agreements. The funds withheld invested assets are reported within their respective line items. See Note L </w:t>
      </w:r>
      <w:r>
        <w:rPr>
          <w:rFonts w:ascii="Times New Roman" w:cs="Times New Roman" w:eastAsia="Times New Roman" w:hAnsi="Times New Roman"/>
          <w:sz w:val="18"/>
          <w:szCs w:val="18"/>
          <w:i w:val="1"/>
          <w:iCs w:val="1"/>
          <w:color w:val="auto"/>
        </w:rPr>
        <w:t>F&amp;G Reinsurance</w:t>
      </w:r>
      <w:r>
        <w:rPr>
          <w:rFonts w:ascii="Times New Roman" w:cs="Times New Roman" w:eastAsia="Times New Roman" w:hAnsi="Times New Roman"/>
          <w:sz w:val="18"/>
          <w:szCs w:val="18"/>
          <w:color w:val="auto"/>
        </w:rPr>
        <w:t xml:space="preserve"> to the unaudited Condensed Consolidated Financial Statements included in Item 1 of Part I of this Quarterly Report on Form 10-Q for more information on the funds withheld agreements.</w:t>
      </w:r>
    </w:p>
    <w:p>
      <w:pPr>
        <w:spacing w:after="0" w:line="1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 xml:space="preserve">As of September 30, 2026 and December 31, 2025, the fair value of our investment portfolio was approximately $69 billion for both periods. Refer to Note C </w:t>
      </w:r>
      <w:r>
        <w:rPr>
          <w:rFonts w:ascii="Times New Roman" w:cs="Times New Roman" w:eastAsia="Times New Roman" w:hAnsi="Times New Roman"/>
          <w:sz w:val="18"/>
          <w:szCs w:val="18"/>
          <w:i w:val="1"/>
          <w:iCs w:val="1"/>
          <w:color w:val="auto"/>
        </w:rPr>
        <w:t>Fair Value of Financial Instruments</w:t>
      </w:r>
      <w:r>
        <w:rPr>
          <w:rFonts w:ascii="Times New Roman" w:cs="Times New Roman" w:eastAsia="Times New Roman" w:hAnsi="Times New Roman"/>
          <w:sz w:val="18"/>
          <w:szCs w:val="18"/>
          <w:color w:val="auto"/>
        </w:rPr>
        <w:t xml:space="preserve"> for descriptions of the fair value methodologies used for financial instruments. The portfolio was divided among the following asset classes and sectors: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40" w:type="dxa"/>
            <w:vAlign w:val="bottom"/>
            <w:gridSpan w:val="4"/>
          </w:tcPr>
          <w:p>
            <w:pPr>
              <w:ind w:left="54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80" w:type="dxa"/>
            <w:vAlign w:val="bottom"/>
          </w:tcPr>
          <w:p>
            <w:pPr>
              <w:spacing w:after="0"/>
              <w:rPr>
                <w:sz w:val="16"/>
                <w:szCs w:val="16"/>
                <w:color w:val="auto"/>
              </w:rPr>
            </w:pPr>
          </w:p>
        </w:tc>
        <w:tc>
          <w:tcPr>
            <w:tcW w:w="2440" w:type="dxa"/>
            <w:vAlign w:val="bottom"/>
            <w:gridSpan w:val="3"/>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4"/>
        </w:trPr>
        <w:tc>
          <w:tcPr>
            <w:tcW w:w="59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5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2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80" w:type="dxa"/>
            <w:vAlign w:val="bottom"/>
          </w:tcPr>
          <w:p>
            <w:pPr>
              <w:spacing w:after="0"/>
              <w:rPr>
                <w:sz w:val="15"/>
                <w:szCs w:val="15"/>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320" w:type="dxa"/>
            <w:vAlign w:val="bottom"/>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4"/>
        </w:trPr>
        <w:tc>
          <w:tcPr>
            <w:tcW w:w="5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Fixed maturity securities, available for sale ("AFS"):</w:t>
            </w: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5"/>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59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2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59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United States Government full faith and credit</w:t>
            </w:r>
          </w:p>
        </w:tc>
        <w:tc>
          <w:tcPr>
            <w:tcW w:w="1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w:t>
            </w:r>
          </w:p>
        </w:tc>
        <w:tc>
          <w:tcPr>
            <w:tcW w:w="1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w:t>
            </w:r>
          </w:p>
        </w:tc>
        <w:tc>
          <w:tcPr>
            <w:tcW w:w="1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188"/>
        </w:trPr>
        <w:tc>
          <w:tcPr>
            <w:tcW w:w="59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United States Government sponsored entities</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1,097</w:t>
            </w:r>
          </w:p>
        </w:tc>
        <w:tc>
          <w:tcPr>
            <w:tcW w:w="100" w:type="dxa"/>
            <w:vAlign w:val="bottom"/>
          </w:tcPr>
          <w:p>
            <w:pPr>
              <w:spacing w:after="0"/>
              <w:rPr>
                <w:sz w:val="16"/>
                <w:szCs w:val="16"/>
                <w:color w:val="auto"/>
              </w:rPr>
            </w:pPr>
          </w:p>
        </w:tc>
        <w:tc>
          <w:tcPr>
            <w:tcW w:w="13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100" w:type="dxa"/>
            <w:vAlign w:val="bottom"/>
          </w:tcPr>
          <w:p>
            <w:pPr>
              <w:spacing w:after="0"/>
              <w:rPr>
                <w:sz w:val="16"/>
                <w:szCs w:val="16"/>
                <w:color w:val="auto"/>
              </w:rPr>
            </w:pPr>
          </w:p>
        </w:tc>
        <w:tc>
          <w:tcPr>
            <w:tcW w:w="13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5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59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United States municipalities, states and territories</w:t>
            </w:r>
          </w:p>
        </w:tc>
        <w:tc>
          <w:tcPr>
            <w:tcW w:w="1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1,224</w:t>
            </w:r>
          </w:p>
        </w:tc>
        <w:tc>
          <w:tcPr>
            <w:tcW w:w="1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1,355</w:t>
            </w:r>
          </w:p>
        </w:tc>
        <w:tc>
          <w:tcPr>
            <w:tcW w:w="1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88"/>
        </w:trPr>
        <w:tc>
          <w:tcPr>
            <w:tcW w:w="59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Foreign Governments</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100" w:type="dxa"/>
            <w:vAlign w:val="bottom"/>
          </w:tcPr>
          <w:p>
            <w:pPr>
              <w:spacing w:after="0"/>
              <w:rPr>
                <w:sz w:val="16"/>
                <w:szCs w:val="16"/>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100" w:type="dxa"/>
            <w:vAlign w:val="bottom"/>
          </w:tcPr>
          <w:p>
            <w:pPr>
              <w:spacing w:after="0"/>
              <w:rPr>
                <w:sz w:val="16"/>
                <w:szCs w:val="16"/>
                <w:color w:val="auto"/>
              </w:rPr>
            </w:pPr>
          </w:p>
        </w:tc>
        <w:tc>
          <w:tcPr>
            <w:tcW w:w="13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5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59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Corporate securities:</w:t>
            </w:r>
          </w:p>
        </w:tc>
        <w:tc>
          <w:tcPr>
            <w:tcW w:w="1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9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Finance, insurance and real estate</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8,432</w:t>
            </w:r>
          </w:p>
        </w:tc>
        <w:tc>
          <w:tcPr>
            <w:tcW w:w="100" w:type="dxa"/>
            <w:vAlign w:val="bottom"/>
          </w:tcPr>
          <w:p>
            <w:pPr>
              <w:spacing w:after="0"/>
              <w:rPr>
                <w:sz w:val="16"/>
                <w:szCs w:val="16"/>
                <w:color w:val="auto"/>
              </w:rPr>
            </w:pPr>
          </w:p>
        </w:tc>
        <w:tc>
          <w:tcPr>
            <w:tcW w:w="13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9,309</w:t>
            </w:r>
          </w:p>
        </w:tc>
        <w:tc>
          <w:tcPr>
            <w:tcW w:w="100" w:type="dxa"/>
            <w:vAlign w:val="bottom"/>
          </w:tcPr>
          <w:p>
            <w:pPr>
              <w:spacing w:after="0"/>
              <w:rPr>
                <w:sz w:val="16"/>
                <w:szCs w:val="16"/>
                <w:color w:val="auto"/>
              </w:rPr>
            </w:pPr>
          </w:p>
        </w:tc>
        <w:tc>
          <w:tcPr>
            <w:tcW w:w="13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24"/>
        </w:trPr>
        <w:tc>
          <w:tcPr>
            <w:tcW w:w="5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5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Manufacturing, construction and mining</w:t>
            </w:r>
          </w:p>
        </w:tc>
        <w:tc>
          <w:tcPr>
            <w:tcW w:w="1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1,181</w:t>
            </w:r>
          </w:p>
        </w:tc>
        <w:tc>
          <w:tcPr>
            <w:tcW w:w="1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1,386</w:t>
            </w:r>
          </w:p>
        </w:tc>
        <w:tc>
          <w:tcPr>
            <w:tcW w:w="1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88"/>
        </w:trPr>
        <w:tc>
          <w:tcPr>
            <w:tcW w:w="59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Utilities, energy and related sectors</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4,187</w:t>
            </w:r>
          </w:p>
        </w:tc>
        <w:tc>
          <w:tcPr>
            <w:tcW w:w="100" w:type="dxa"/>
            <w:vAlign w:val="bottom"/>
          </w:tcPr>
          <w:p>
            <w:pPr>
              <w:spacing w:after="0"/>
              <w:rPr>
                <w:sz w:val="16"/>
                <w:szCs w:val="16"/>
                <w:color w:val="auto"/>
              </w:rPr>
            </w:pPr>
          </w:p>
        </w:tc>
        <w:tc>
          <w:tcPr>
            <w:tcW w:w="13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3,681</w:t>
            </w:r>
          </w:p>
        </w:tc>
        <w:tc>
          <w:tcPr>
            <w:tcW w:w="100" w:type="dxa"/>
            <w:vAlign w:val="bottom"/>
          </w:tcPr>
          <w:p>
            <w:pPr>
              <w:spacing w:after="0"/>
              <w:rPr>
                <w:sz w:val="16"/>
                <w:szCs w:val="16"/>
                <w:color w:val="auto"/>
              </w:rPr>
            </w:pPr>
          </w:p>
        </w:tc>
        <w:tc>
          <w:tcPr>
            <w:tcW w:w="13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4"/>
        </w:trPr>
        <w:tc>
          <w:tcPr>
            <w:tcW w:w="5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5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Wholesale/retail trade</w:t>
            </w:r>
          </w:p>
        </w:tc>
        <w:tc>
          <w:tcPr>
            <w:tcW w:w="1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3,758</w:t>
            </w:r>
          </w:p>
        </w:tc>
        <w:tc>
          <w:tcPr>
            <w:tcW w:w="1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3,732</w:t>
            </w:r>
          </w:p>
        </w:tc>
        <w:tc>
          <w:tcPr>
            <w:tcW w:w="1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88"/>
        </w:trPr>
        <w:tc>
          <w:tcPr>
            <w:tcW w:w="59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Services, media and other</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5,389</w:t>
            </w:r>
          </w:p>
        </w:tc>
        <w:tc>
          <w:tcPr>
            <w:tcW w:w="100" w:type="dxa"/>
            <w:vAlign w:val="bottom"/>
          </w:tcPr>
          <w:p>
            <w:pPr>
              <w:spacing w:after="0"/>
              <w:rPr>
                <w:sz w:val="16"/>
                <w:szCs w:val="16"/>
                <w:color w:val="auto"/>
              </w:rPr>
            </w:pPr>
          </w:p>
        </w:tc>
        <w:tc>
          <w:tcPr>
            <w:tcW w:w="13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5,142</w:t>
            </w:r>
          </w:p>
        </w:tc>
        <w:tc>
          <w:tcPr>
            <w:tcW w:w="100" w:type="dxa"/>
            <w:vAlign w:val="bottom"/>
          </w:tcPr>
          <w:p>
            <w:pPr>
              <w:spacing w:after="0"/>
              <w:rPr>
                <w:sz w:val="16"/>
                <w:szCs w:val="16"/>
                <w:color w:val="auto"/>
              </w:rPr>
            </w:pPr>
          </w:p>
        </w:tc>
        <w:tc>
          <w:tcPr>
            <w:tcW w:w="13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24"/>
        </w:trPr>
        <w:tc>
          <w:tcPr>
            <w:tcW w:w="5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5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Hybrid securities</w:t>
            </w:r>
          </w:p>
        </w:tc>
        <w:tc>
          <w:tcPr>
            <w:tcW w:w="1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w:t>
            </w:r>
          </w:p>
        </w:tc>
        <w:tc>
          <w:tcPr>
            <w:tcW w:w="1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609</w:t>
            </w:r>
          </w:p>
        </w:tc>
        <w:tc>
          <w:tcPr>
            <w:tcW w:w="1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8"/>
        </w:trPr>
        <w:tc>
          <w:tcPr>
            <w:tcW w:w="59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Non-agency residential mortgage-backed securities</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2,335</w:t>
            </w:r>
          </w:p>
        </w:tc>
        <w:tc>
          <w:tcPr>
            <w:tcW w:w="100" w:type="dxa"/>
            <w:vAlign w:val="bottom"/>
          </w:tcPr>
          <w:p>
            <w:pPr>
              <w:spacing w:after="0"/>
              <w:rPr>
                <w:sz w:val="16"/>
                <w:szCs w:val="16"/>
                <w:color w:val="auto"/>
              </w:rPr>
            </w:pPr>
          </w:p>
        </w:tc>
        <w:tc>
          <w:tcPr>
            <w:tcW w:w="13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2,649</w:t>
            </w:r>
          </w:p>
        </w:tc>
        <w:tc>
          <w:tcPr>
            <w:tcW w:w="100" w:type="dxa"/>
            <w:vAlign w:val="bottom"/>
          </w:tcPr>
          <w:p>
            <w:pPr>
              <w:spacing w:after="0"/>
              <w:rPr>
                <w:sz w:val="16"/>
                <w:szCs w:val="16"/>
                <w:color w:val="auto"/>
              </w:rPr>
            </w:pPr>
          </w:p>
        </w:tc>
        <w:tc>
          <w:tcPr>
            <w:tcW w:w="13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4"/>
        </w:trPr>
        <w:tc>
          <w:tcPr>
            <w:tcW w:w="5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5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Non-agency commercial mortgage-backed securities</w:t>
            </w:r>
          </w:p>
        </w:tc>
        <w:tc>
          <w:tcPr>
            <w:tcW w:w="1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4,034</w:t>
            </w:r>
          </w:p>
        </w:tc>
        <w:tc>
          <w:tcPr>
            <w:tcW w:w="1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5,155</w:t>
            </w:r>
          </w:p>
        </w:tc>
        <w:tc>
          <w:tcPr>
            <w:tcW w:w="1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88"/>
        </w:trPr>
        <w:tc>
          <w:tcPr>
            <w:tcW w:w="59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Asset-backed securities ("ABS")</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7,923</w:t>
            </w:r>
          </w:p>
        </w:tc>
        <w:tc>
          <w:tcPr>
            <w:tcW w:w="100" w:type="dxa"/>
            <w:vAlign w:val="bottom"/>
          </w:tcPr>
          <w:p>
            <w:pPr>
              <w:spacing w:after="0"/>
              <w:rPr>
                <w:sz w:val="16"/>
                <w:szCs w:val="16"/>
                <w:color w:val="auto"/>
              </w:rPr>
            </w:pPr>
          </w:p>
        </w:tc>
        <w:tc>
          <w:tcPr>
            <w:tcW w:w="13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7,842</w:t>
            </w:r>
          </w:p>
        </w:tc>
        <w:tc>
          <w:tcPr>
            <w:tcW w:w="100" w:type="dxa"/>
            <w:vAlign w:val="bottom"/>
          </w:tcPr>
          <w:p>
            <w:pPr>
              <w:spacing w:after="0"/>
              <w:rPr>
                <w:sz w:val="16"/>
                <w:szCs w:val="16"/>
                <w:color w:val="auto"/>
              </w:rPr>
            </w:pPr>
          </w:p>
        </w:tc>
        <w:tc>
          <w:tcPr>
            <w:tcW w:w="13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4"/>
        </w:trPr>
        <w:tc>
          <w:tcPr>
            <w:tcW w:w="5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5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Collateral loan obligations and loan backed-private obligations ("CLO")</w:t>
            </w:r>
          </w:p>
        </w:tc>
        <w:tc>
          <w:tcPr>
            <w:tcW w:w="1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9,926</w:t>
            </w:r>
          </w:p>
        </w:tc>
        <w:tc>
          <w:tcPr>
            <w:tcW w:w="1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10,890</w:t>
            </w:r>
          </w:p>
        </w:tc>
        <w:tc>
          <w:tcPr>
            <w:tcW w:w="1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81"/>
        </w:trPr>
        <w:tc>
          <w:tcPr>
            <w:tcW w:w="590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Total fixed maturity available for sale securities</w:t>
            </w:r>
          </w:p>
        </w:tc>
        <w:tc>
          <w:tcPr>
            <w:tcW w:w="1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50,712</w:t>
            </w:r>
          </w:p>
        </w:tc>
        <w:tc>
          <w:tcPr>
            <w:tcW w:w="100" w:type="dxa"/>
            <w:vAlign w:val="bottom"/>
          </w:tcPr>
          <w:p>
            <w:pPr>
              <w:spacing w:after="0"/>
              <w:rPr>
                <w:sz w:val="15"/>
                <w:szCs w:val="15"/>
                <w:color w:val="auto"/>
              </w:rPr>
            </w:pPr>
          </w:p>
        </w:tc>
        <w:tc>
          <w:tcPr>
            <w:tcW w:w="1320" w:type="dxa"/>
            <w:vAlign w:val="bottom"/>
            <w:tcBorders>
              <w:top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52,700</w:t>
            </w:r>
          </w:p>
        </w:tc>
        <w:tc>
          <w:tcPr>
            <w:tcW w:w="100" w:type="dxa"/>
            <w:vAlign w:val="bottom"/>
          </w:tcPr>
          <w:p>
            <w:pPr>
              <w:spacing w:after="0"/>
              <w:rPr>
                <w:sz w:val="15"/>
                <w:szCs w:val="15"/>
                <w:color w:val="auto"/>
              </w:rPr>
            </w:pPr>
          </w:p>
        </w:tc>
        <w:tc>
          <w:tcPr>
            <w:tcW w:w="1320" w:type="dxa"/>
            <w:vAlign w:val="bottom"/>
            <w:tcBorders>
              <w:top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24"/>
        </w:trPr>
        <w:tc>
          <w:tcPr>
            <w:tcW w:w="5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Fixed maturity securities, at fair value under fair value option</w:t>
            </w:r>
          </w:p>
        </w:tc>
        <w:tc>
          <w:tcPr>
            <w:tcW w:w="1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5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securities (a)</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100" w:type="dxa"/>
            <w:vAlign w:val="bottom"/>
          </w:tcPr>
          <w:p>
            <w:pPr>
              <w:spacing w:after="0"/>
              <w:rPr>
                <w:sz w:val="16"/>
                <w:szCs w:val="16"/>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100" w:type="dxa"/>
            <w:vAlign w:val="bottom"/>
          </w:tcPr>
          <w:p>
            <w:pPr>
              <w:spacing w:after="0"/>
              <w:rPr>
                <w:sz w:val="16"/>
                <w:szCs w:val="16"/>
                <w:color w:val="auto"/>
              </w:rPr>
            </w:pPr>
          </w:p>
        </w:tc>
        <w:tc>
          <w:tcPr>
            <w:tcW w:w="13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4"/>
        </w:trPr>
        <w:tc>
          <w:tcPr>
            <w:tcW w:w="5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0"/>
        </w:trPr>
        <w:tc>
          <w:tcPr>
            <w:tcW w:w="5900" w:type="dxa"/>
            <w:vAlign w:val="bottom"/>
            <w:shd w:val="clear" w:color="auto" w:fill="CCEEFF"/>
          </w:tcPr>
          <w:p>
            <w:pPr>
              <w:ind w:left="20"/>
              <w:spacing w:after="0" w:line="150" w:lineRule="exact"/>
              <w:rPr>
                <w:sz w:val="20"/>
                <w:szCs w:val="20"/>
                <w:color w:val="auto"/>
              </w:rPr>
            </w:pPr>
            <w:r>
              <w:rPr>
                <w:rFonts w:ascii="Times New Roman" w:cs="Times New Roman" w:eastAsia="Times New Roman" w:hAnsi="Times New Roman"/>
                <w:sz w:val="14"/>
                <w:szCs w:val="14"/>
                <w:color w:val="auto"/>
              </w:rPr>
              <w:t>Limited partnerships: (includes alternative investments with a FV of $3,653 million and $3,708 million</w:t>
            </w:r>
          </w:p>
        </w:tc>
        <w:tc>
          <w:tcPr>
            <w:tcW w:w="1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90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for 2026 and 2025, respectively, net of amounts attributable to funds withheld reinsurance agreements)</w:t>
            </w: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59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Private equity</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2,179</w:t>
            </w:r>
          </w:p>
        </w:tc>
        <w:tc>
          <w:tcPr>
            <w:tcW w:w="100" w:type="dxa"/>
            <w:vAlign w:val="bottom"/>
          </w:tcPr>
          <w:p>
            <w:pPr>
              <w:spacing w:after="0"/>
              <w:rPr>
                <w:sz w:val="16"/>
                <w:szCs w:val="16"/>
                <w:color w:val="auto"/>
              </w:rPr>
            </w:pPr>
          </w:p>
        </w:tc>
        <w:tc>
          <w:tcPr>
            <w:tcW w:w="13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2,079</w:t>
            </w:r>
          </w:p>
        </w:tc>
        <w:tc>
          <w:tcPr>
            <w:tcW w:w="100" w:type="dxa"/>
            <w:vAlign w:val="bottom"/>
          </w:tcPr>
          <w:p>
            <w:pPr>
              <w:spacing w:after="0"/>
              <w:rPr>
                <w:sz w:val="16"/>
                <w:szCs w:val="16"/>
                <w:color w:val="auto"/>
              </w:rPr>
            </w:pPr>
          </w:p>
        </w:tc>
        <w:tc>
          <w:tcPr>
            <w:tcW w:w="13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4"/>
        </w:trPr>
        <w:tc>
          <w:tcPr>
            <w:tcW w:w="5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59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Real assets</w:t>
            </w:r>
          </w:p>
        </w:tc>
        <w:tc>
          <w:tcPr>
            <w:tcW w:w="1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1,027</w:t>
            </w:r>
          </w:p>
        </w:tc>
        <w:tc>
          <w:tcPr>
            <w:tcW w:w="1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886</w:t>
            </w:r>
          </w:p>
        </w:tc>
        <w:tc>
          <w:tcPr>
            <w:tcW w:w="1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8"/>
        </w:trPr>
        <w:tc>
          <w:tcPr>
            <w:tcW w:w="59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Credit</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1,688</w:t>
            </w:r>
          </w:p>
        </w:tc>
        <w:tc>
          <w:tcPr>
            <w:tcW w:w="100" w:type="dxa"/>
            <w:vAlign w:val="bottom"/>
          </w:tcPr>
          <w:p>
            <w:pPr>
              <w:spacing w:after="0"/>
              <w:rPr>
                <w:sz w:val="16"/>
                <w:szCs w:val="16"/>
                <w:color w:val="auto"/>
              </w:rPr>
            </w:pPr>
          </w:p>
        </w:tc>
        <w:tc>
          <w:tcPr>
            <w:tcW w:w="13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1,643</w:t>
            </w:r>
          </w:p>
        </w:tc>
        <w:tc>
          <w:tcPr>
            <w:tcW w:w="100" w:type="dxa"/>
            <w:vAlign w:val="bottom"/>
          </w:tcPr>
          <w:p>
            <w:pPr>
              <w:spacing w:after="0"/>
              <w:rPr>
                <w:sz w:val="16"/>
                <w:szCs w:val="16"/>
                <w:color w:val="auto"/>
              </w:rPr>
            </w:pPr>
          </w:p>
        </w:tc>
        <w:tc>
          <w:tcPr>
            <w:tcW w:w="13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4"/>
        </w:trPr>
        <w:tc>
          <w:tcPr>
            <w:tcW w:w="5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59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b w:val="1"/>
                <w:bCs w:val="1"/>
                <w:color w:val="auto"/>
              </w:rPr>
              <w:t>Limited partnerships</w:t>
            </w:r>
          </w:p>
        </w:tc>
        <w:tc>
          <w:tcPr>
            <w:tcW w:w="1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4,894</w:t>
            </w:r>
          </w:p>
        </w:tc>
        <w:tc>
          <w:tcPr>
            <w:tcW w:w="1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4,608</w:t>
            </w:r>
          </w:p>
        </w:tc>
        <w:tc>
          <w:tcPr>
            <w:tcW w:w="1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81"/>
        </w:trPr>
        <w:tc>
          <w:tcPr>
            <w:tcW w:w="5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 mortgage loans</w:t>
            </w:r>
          </w:p>
        </w:tc>
        <w:tc>
          <w:tcPr>
            <w:tcW w:w="1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3,473</w:t>
            </w:r>
          </w:p>
        </w:tc>
        <w:tc>
          <w:tcPr>
            <w:tcW w:w="100" w:type="dxa"/>
            <w:vAlign w:val="bottom"/>
          </w:tcPr>
          <w:p>
            <w:pPr>
              <w:spacing w:after="0"/>
              <w:rPr>
                <w:sz w:val="15"/>
                <w:szCs w:val="15"/>
                <w:color w:val="auto"/>
              </w:rPr>
            </w:pPr>
          </w:p>
        </w:tc>
        <w:tc>
          <w:tcPr>
            <w:tcW w:w="1320" w:type="dxa"/>
            <w:vAlign w:val="bottom"/>
            <w:tcBorders>
              <w:top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3,025</w:t>
            </w:r>
          </w:p>
        </w:tc>
        <w:tc>
          <w:tcPr>
            <w:tcW w:w="100" w:type="dxa"/>
            <w:vAlign w:val="bottom"/>
          </w:tcPr>
          <w:p>
            <w:pPr>
              <w:spacing w:after="0"/>
              <w:rPr>
                <w:sz w:val="15"/>
                <w:szCs w:val="15"/>
                <w:color w:val="auto"/>
              </w:rPr>
            </w:pPr>
          </w:p>
        </w:tc>
        <w:tc>
          <w:tcPr>
            <w:tcW w:w="1320" w:type="dxa"/>
            <w:vAlign w:val="bottom"/>
            <w:tcBorders>
              <w:top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4"/>
        </w:trPr>
        <w:tc>
          <w:tcPr>
            <w:tcW w:w="5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Residential mortgage loans</w:t>
            </w:r>
          </w:p>
        </w:tc>
        <w:tc>
          <w:tcPr>
            <w:tcW w:w="1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5,919</w:t>
            </w:r>
          </w:p>
        </w:tc>
        <w:tc>
          <w:tcPr>
            <w:tcW w:w="1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4,424</w:t>
            </w:r>
          </w:p>
        </w:tc>
        <w:tc>
          <w:tcPr>
            <w:tcW w:w="1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50"/>
        </w:trPr>
        <w:tc>
          <w:tcPr>
            <w:tcW w:w="5900" w:type="dxa"/>
            <w:vAlign w:val="bottom"/>
          </w:tcPr>
          <w:p>
            <w:pPr>
              <w:ind w:left="20"/>
              <w:spacing w:after="0" w:line="150" w:lineRule="exact"/>
              <w:rPr>
                <w:sz w:val="20"/>
                <w:szCs w:val="20"/>
                <w:color w:val="auto"/>
              </w:rPr>
            </w:pPr>
            <w:r>
              <w:rPr>
                <w:rFonts w:ascii="Times New Roman" w:cs="Times New Roman" w:eastAsia="Times New Roman" w:hAnsi="Times New Roman"/>
                <w:sz w:val="14"/>
                <w:szCs w:val="14"/>
                <w:color w:val="auto"/>
              </w:rPr>
              <w:t>Other (primarily derivatives, company owned life insurance and unconsolidated owned distribution</w:t>
            </w: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90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investments) (includes alternative investments with a FV of $434 million and $428 million for 2026</w:t>
            </w:r>
          </w:p>
        </w:tc>
        <w:tc>
          <w:tcPr>
            <w:tcW w:w="18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2,934</w:t>
            </w:r>
          </w:p>
        </w:tc>
        <w:tc>
          <w:tcPr>
            <w:tcW w:w="100" w:type="dxa"/>
            <w:vAlign w:val="bottom"/>
          </w:tcPr>
          <w:p>
            <w:pPr>
              <w:spacing w:after="0"/>
              <w:rPr>
                <w:sz w:val="12"/>
                <w:szCs w:val="12"/>
                <w:color w:val="auto"/>
              </w:rPr>
            </w:pPr>
          </w:p>
        </w:tc>
        <w:tc>
          <w:tcPr>
            <w:tcW w:w="132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2,859</w:t>
            </w:r>
          </w:p>
        </w:tc>
        <w:tc>
          <w:tcPr>
            <w:tcW w:w="100" w:type="dxa"/>
            <w:vAlign w:val="bottom"/>
          </w:tcPr>
          <w:p>
            <w:pPr>
              <w:spacing w:after="0"/>
              <w:rPr>
                <w:sz w:val="12"/>
                <w:szCs w:val="12"/>
                <w:color w:val="auto"/>
              </w:rPr>
            </w:pPr>
          </w:p>
        </w:tc>
        <w:tc>
          <w:tcPr>
            <w:tcW w:w="132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91"/>
        </w:trPr>
        <w:tc>
          <w:tcPr>
            <w:tcW w:w="5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and 2025, respectively, net of amounts attributable to funds withheld reinsurance agreements) (b)</w:t>
            </w:r>
          </w:p>
        </w:tc>
        <w:tc>
          <w:tcPr>
            <w:tcW w:w="1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Short term investments</w:t>
            </w:r>
          </w:p>
        </w:tc>
        <w:tc>
          <w:tcPr>
            <w:tcW w:w="1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724</w:t>
            </w:r>
          </w:p>
        </w:tc>
        <w:tc>
          <w:tcPr>
            <w:tcW w:w="1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1,043</w:t>
            </w:r>
          </w:p>
        </w:tc>
        <w:tc>
          <w:tcPr>
            <w:tcW w:w="1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05"/>
        </w:trPr>
        <w:tc>
          <w:tcPr>
            <w:tcW w:w="59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Total investments</w:t>
            </w: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69,005</w:t>
            </w:r>
          </w:p>
        </w:tc>
        <w:tc>
          <w:tcPr>
            <w:tcW w:w="100" w:type="dxa"/>
            <w:vAlign w:val="bottom"/>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69,000</w:t>
            </w:r>
          </w:p>
        </w:tc>
        <w:tc>
          <w:tcPr>
            <w:tcW w:w="100" w:type="dxa"/>
            <w:vAlign w:val="bottom"/>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20"/>
        </w:trPr>
        <w:tc>
          <w:tcPr>
            <w:tcW w:w="590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Interest and investment income (year to date and net of amounts attributable to funds withheld</w:t>
            </w: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59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59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reinsurance agreements):</w:t>
            </w: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Alternative investments (b)</w:t>
            </w:r>
          </w:p>
        </w:tc>
        <w:tc>
          <w:tcPr>
            <w:tcW w:w="1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1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1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0" w:type="dxa"/>
            <w:vAlign w:val="bottom"/>
          </w:tcPr>
          <w:p>
            <w:pPr>
              <w:spacing w:after="0"/>
              <w:rPr>
                <w:sz w:val="1"/>
                <w:szCs w:val="1"/>
                <w:color w:val="auto"/>
              </w:rPr>
            </w:pPr>
          </w:p>
        </w:tc>
      </w:tr>
      <w:tr>
        <w:trPr>
          <w:trHeight w:val="188"/>
        </w:trPr>
        <w:tc>
          <w:tcPr>
            <w:tcW w:w="5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All other non-alternative investment income</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1,945</w:t>
            </w: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2,595</w:t>
            </w:r>
          </w:p>
        </w:tc>
        <w:tc>
          <w:tcPr>
            <w:tcW w:w="100" w:type="dxa"/>
            <w:vAlign w:val="bottom"/>
          </w:tcPr>
          <w:p>
            <w:pPr>
              <w:spacing w:after="0"/>
              <w:rPr>
                <w:sz w:val="16"/>
                <w:szCs w:val="16"/>
                <w:color w:val="auto"/>
              </w:rPr>
            </w:pPr>
          </w:p>
        </w:tc>
        <w:tc>
          <w:tcPr>
            <w:tcW w:w="13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91</w:t>
            </w:r>
          </w:p>
        </w:tc>
        <w:tc>
          <w:tcPr>
            <w:tcW w:w="0" w:type="dxa"/>
            <w:vAlign w:val="bottom"/>
          </w:tcPr>
          <w:p>
            <w:pPr>
              <w:spacing w:after="0"/>
              <w:rPr>
                <w:sz w:val="1"/>
                <w:szCs w:val="1"/>
                <w:color w:val="auto"/>
              </w:rPr>
            </w:pPr>
          </w:p>
        </w:tc>
      </w:tr>
      <w:tr>
        <w:trPr>
          <w:trHeight w:val="24"/>
        </w:trPr>
        <w:tc>
          <w:tcPr>
            <w:tcW w:w="5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59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Total US GAAP interest and investment income</w:t>
            </w: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2,139</w:t>
            </w:r>
          </w:p>
        </w:tc>
        <w:tc>
          <w:tcPr>
            <w:tcW w:w="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2,837</w:t>
            </w:r>
          </w:p>
        </w:tc>
        <w:tc>
          <w:tcPr>
            <w:tcW w:w="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bl>
    <w:p>
      <w:pPr>
        <w:spacing w:after="0" w:line="4" w:lineRule="exact"/>
        <w:rPr>
          <w:sz w:val="20"/>
          <w:szCs w:val="20"/>
          <w:color w:val="auto"/>
        </w:rPr>
      </w:pPr>
    </w:p>
    <w:p>
      <w:pPr>
        <w:ind w:left="220" w:hanging="196"/>
        <w:spacing w:after="0"/>
        <w:tabs>
          <w:tab w:leader="none" w:pos="2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investment grade non-redeemable preferred stocks ($157 million and $197 million at September 30, 2026 and December 31, 2025, respectively).</w:t>
      </w:r>
    </w:p>
    <w:p>
      <w:pPr>
        <w:spacing w:after="0" w:line="51" w:lineRule="exact"/>
        <w:rPr>
          <w:rFonts w:ascii="Times New Roman" w:cs="Times New Roman" w:eastAsia="Times New Roman" w:hAnsi="Times New Roman"/>
          <w:sz w:val="14"/>
          <w:szCs w:val="14"/>
          <w:color w:val="auto"/>
        </w:rPr>
      </w:pPr>
    </w:p>
    <w:p>
      <w:pPr>
        <w:ind w:left="20" w:right="20" w:firstLine="4"/>
        <w:spacing w:after="0" w:line="251" w:lineRule="auto"/>
        <w:tabs>
          <w:tab w:leader="none" w:pos="225"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Alternative investments primarily include certain limited partnerships and other equity interests, including limited liability corporations classified as investments in unconsolidated affiliates and certain company owned life insurance (“COLI”) classified as other long-term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3747770</wp:posOffset>
            </wp:positionH>
            <wp:positionV relativeFrom="paragraph">
              <wp:posOffset>-341630</wp:posOffset>
            </wp:positionV>
            <wp:extent cx="339090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909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Insurance statutes regulate the type of investments that our life insurance subsidiaries are permitted to make and limit the amount of funds that may be used for any one type of investment. In light of these statutes and regulations, and our business and investment strategy, we generally seek to invest in primarily high-grade fixed-income assets across a wide range of sectors, including Corporate securities, U.S. Government and government-sponsored agency securities, and Structured securities, among others.</w:t>
      </w:r>
    </w:p>
    <w:p>
      <w:pPr>
        <w:spacing w:after="0" w:line="7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NAIC’s Securities Valuation Office (“SVO”) is responsible for the day-to-day credit quality assessment and valuation of securities owned by state regulated insurance companies. Insurance companies report ownership of securities to the SVO when such securities are eligible for regulatory filings. The SVO conducts credit analysis on these securities for the purpose of assigning a NAIC designation or unit price. Typically, if a security has been rated by a nationally recognized statistical rating organization (“NRSRO”), the SVO utilizes that rating and assigns a NAIC designation based upon the NAIC published comparison of NRSRO ratings to NAIC designations.</w:t>
      </w:r>
    </w:p>
    <w:p>
      <w:pPr>
        <w:spacing w:after="0" w:line="79"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NAIC determines ratings for non-agency Residential Mortgage-backed Securities (“RMBS”) and non-agency Commercial Mortgage-backed Securities (“CMBS”) using modeling that estimates security level expected losses under a variety of economic scenarios. For such assets issued prior to January 1, 2013, an insurer’s amortized cost basis in applicable assets can impact the assigned rating. In the tables below, we present the rating of structured securities based on ratings from the NAIC rating methodologies described above (which in some cases do not correspond to rating agency designations). All NAIC designations (e.g., NAIC 1-6) are based on the NAIC methodologies.</w:t>
      </w:r>
    </w:p>
    <w:p>
      <w:pPr>
        <w:spacing w:after="0" w:line="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credit quality by NRSRO rating, or NAIC designation equivalent, of our fixed maturity AFS portfolio as of</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2026 and December 31, 2025:</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7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0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780" w:type="dxa"/>
            <w:vAlign w:val="bottom"/>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NRSRO Rating</w:t>
            </w:r>
          </w:p>
        </w:tc>
        <w:tc>
          <w:tcPr>
            <w:tcW w:w="16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1780" w:type="dxa"/>
            <w:vAlign w:val="bottom"/>
            <w:vMerge w:val="continue"/>
          </w:tcPr>
          <w:p>
            <w:pPr>
              <w:spacing w:after="0"/>
              <w:rPr>
                <w:sz w:val="15"/>
                <w:szCs w:val="15"/>
                <w:color w:val="auto"/>
              </w:rPr>
            </w:pPr>
          </w:p>
        </w:tc>
        <w:tc>
          <w:tcPr>
            <w:tcW w:w="17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NAIC Designation</w:t>
            </w:r>
          </w:p>
        </w:tc>
        <w:tc>
          <w:tcPr>
            <w:tcW w:w="100" w:type="dxa"/>
            <w:vAlign w:val="bottom"/>
          </w:tcPr>
          <w:p>
            <w:pPr>
              <w:spacing w:after="0"/>
              <w:rPr>
                <w:sz w:val="15"/>
                <w:szCs w:val="15"/>
                <w:color w:val="auto"/>
              </w:rPr>
            </w:pPr>
          </w:p>
        </w:tc>
        <w:tc>
          <w:tcPr>
            <w:tcW w:w="106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w w:val="99"/>
              </w:rPr>
              <w:t>Amortized Cost</w:t>
            </w:r>
          </w:p>
        </w:tc>
        <w:tc>
          <w:tcPr>
            <w:tcW w:w="200" w:type="dxa"/>
            <w:vAlign w:val="bottom"/>
          </w:tcPr>
          <w:p>
            <w:pPr>
              <w:spacing w:after="0"/>
              <w:rPr>
                <w:sz w:val="15"/>
                <w:szCs w:val="15"/>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 Percent</w:t>
            </w:r>
          </w:p>
        </w:tc>
        <w:tc>
          <w:tcPr>
            <w:tcW w:w="100" w:type="dxa"/>
            <w:vAlign w:val="bottom"/>
          </w:tcPr>
          <w:p>
            <w:pPr>
              <w:spacing w:after="0"/>
              <w:rPr>
                <w:sz w:val="15"/>
                <w:szCs w:val="15"/>
                <w:color w:val="auto"/>
              </w:rPr>
            </w:pPr>
          </w:p>
        </w:tc>
        <w:tc>
          <w:tcPr>
            <w:tcW w:w="104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w w:val="99"/>
              </w:rPr>
              <w:t>Amortized Cost</w:t>
            </w:r>
          </w:p>
        </w:tc>
        <w:tc>
          <w:tcPr>
            <w:tcW w:w="200" w:type="dxa"/>
            <w:vAlign w:val="bottom"/>
          </w:tcPr>
          <w:p>
            <w:pPr>
              <w:spacing w:after="0"/>
              <w:rPr>
                <w:sz w:val="15"/>
                <w:szCs w:val="15"/>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8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Fair Value Percent</w:t>
            </w:r>
          </w:p>
        </w:tc>
        <w:tc>
          <w:tcPr>
            <w:tcW w:w="0" w:type="dxa"/>
            <w:vAlign w:val="bottom"/>
          </w:tcPr>
          <w:p>
            <w:pPr>
              <w:spacing w:after="0"/>
              <w:rPr>
                <w:sz w:val="1"/>
                <w:szCs w:val="1"/>
                <w:color w:val="auto"/>
              </w:rPr>
            </w:pPr>
          </w:p>
        </w:tc>
      </w:tr>
      <w:tr>
        <w:trPr>
          <w:trHeight w:val="24"/>
        </w:trPr>
        <w:tc>
          <w:tcPr>
            <w:tcW w:w="17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w:t>
            </w:r>
          </w:p>
        </w:tc>
        <w:tc>
          <w:tcPr>
            <w:tcW w:w="11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17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200" w:type="dxa"/>
            <w:vAlign w:val="bottom"/>
            <w:gridSpan w:val="2"/>
            <w:vMerge w:val="continue"/>
          </w:tcPr>
          <w:p>
            <w:pPr>
              <w:spacing w:after="0"/>
              <w:rPr>
                <w:sz w:val="15"/>
                <w:szCs w:val="15"/>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AAA/AA/A</w:t>
            </w:r>
          </w:p>
        </w:tc>
        <w:tc>
          <w:tcPr>
            <w:tcW w:w="1680" w:type="dxa"/>
            <w:vAlign w:val="bottom"/>
            <w:tcBorders>
              <w:bottom w:val="single" w:sz="8" w:color="CCEEFF"/>
            </w:tcBorders>
            <w:shd w:val="clear" w:color="auto" w:fill="CCEEFF"/>
          </w:tcPr>
          <w:p>
            <w:pPr>
              <w:jc w:val="center"/>
              <w:ind w:left="49"/>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33,233</w:t>
            </w:r>
          </w:p>
        </w:tc>
        <w:tc>
          <w:tcPr>
            <w:tcW w:w="20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30,217</w:t>
            </w:r>
          </w:p>
        </w:tc>
        <w:tc>
          <w:tcPr>
            <w:tcW w:w="1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60 %</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34,360</w:t>
            </w:r>
          </w:p>
        </w:tc>
        <w:tc>
          <w:tcPr>
            <w:tcW w:w="20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32,738</w:t>
            </w:r>
          </w:p>
        </w:tc>
        <w:tc>
          <w:tcPr>
            <w:tcW w:w="1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62 %</w:t>
            </w:r>
          </w:p>
        </w:tc>
        <w:tc>
          <w:tcPr>
            <w:tcW w:w="0" w:type="dxa"/>
            <w:vAlign w:val="bottom"/>
          </w:tcPr>
          <w:p>
            <w:pPr>
              <w:spacing w:after="0"/>
              <w:rPr>
                <w:sz w:val="1"/>
                <w:szCs w:val="1"/>
                <w:color w:val="auto"/>
              </w:rPr>
            </w:pPr>
          </w:p>
        </w:tc>
      </w:tr>
      <w:tr>
        <w:trPr>
          <w:trHeight w:val="188"/>
        </w:trPr>
        <w:tc>
          <w:tcPr>
            <w:tcW w:w="1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BBB</w:t>
            </w:r>
          </w:p>
        </w:tc>
        <w:tc>
          <w:tcPr>
            <w:tcW w:w="1680" w:type="dxa"/>
            <w:vAlign w:val="bottom"/>
          </w:tcPr>
          <w:p>
            <w:pPr>
              <w:jc w:val="center"/>
              <w:ind w:left="49"/>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19,664</w:t>
            </w: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18,121</w:t>
            </w:r>
          </w:p>
        </w:tc>
        <w:tc>
          <w:tcPr>
            <w:tcW w:w="100" w:type="dxa"/>
            <w:vAlign w:val="bottom"/>
          </w:tcPr>
          <w:p>
            <w:pPr>
              <w:spacing w:after="0"/>
              <w:rPr>
                <w:sz w:val="16"/>
                <w:szCs w:val="16"/>
                <w:color w:val="auto"/>
              </w:rPr>
            </w:pPr>
          </w:p>
        </w:tc>
        <w:tc>
          <w:tcPr>
            <w:tcW w:w="1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18,300</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17,524</w:t>
            </w:r>
          </w:p>
        </w:tc>
        <w:tc>
          <w:tcPr>
            <w:tcW w:w="100" w:type="dxa"/>
            <w:vAlign w:val="bottom"/>
          </w:tcPr>
          <w:p>
            <w:pPr>
              <w:spacing w:after="0"/>
              <w:rPr>
                <w:sz w:val="16"/>
                <w:szCs w:val="16"/>
                <w:color w:val="auto"/>
              </w:rPr>
            </w:pPr>
          </w:p>
        </w:tc>
        <w:tc>
          <w:tcPr>
            <w:tcW w:w="1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24"/>
        </w:trPr>
        <w:tc>
          <w:tcPr>
            <w:tcW w:w="17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1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BB</w:t>
            </w:r>
          </w:p>
        </w:tc>
        <w:tc>
          <w:tcPr>
            <w:tcW w:w="1680" w:type="dxa"/>
            <w:vAlign w:val="bottom"/>
            <w:tcBorders>
              <w:bottom w:val="single" w:sz="8" w:color="CCEEFF"/>
            </w:tcBorders>
            <w:shd w:val="clear" w:color="auto" w:fill="CCEEFF"/>
          </w:tcPr>
          <w:p>
            <w:pPr>
              <w:jc w:val="center"/>
              <w:ind w:left="49"/>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1,715</w:t>
            </w: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1,614</w:t>
            </w:r>
          </w:p>
        </w:tc>
        <w:tc>
          <w:tcPr>
            <w:tcW w:w="1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1,705</w:t>
            </w:r>
          </w:p>
        </w:tc>
        <w:tc>
          <w:tcPr>
            <w:tcW w:w="2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1,660</w:t>
            </w:r>
          </w:p>
        </w:tc>
        <w:tc>
          <w:tcPr>
            <w:tcW w:w="1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88"/>
        </w:trPr>
        <w:tc>
          <w:tcPr>
            <w:tcW w:w="1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w:t>
            </w:r>
          </w:p>
        </w:tc>
        <w:tc>
          <w:tcPr>
            <w:tcW w:w="1680" w:type="dxa"/>
            <w:vAlign w:val="bottom"/>
          </w:tcPr>
          <w:p>
            <w:pPr>
              <w:jc w:val="center"/>
              <w:ind w:left="49"/>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w:t>
            </w: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w:t>
            </w:r>
          </w:p>
        </w:tc>
        <w:tc>
          <w:tcPr>
            <w:tcW w:w="100" w:type="dxa"/>
            <w:vAlign w:val="bottom"/>
          </w:tcPr>
          <w:p>
            <w:pPr>
              <w:spacing w:after="0"/>
              <w:rPr>
                <w:sz w:val="16"/>
                <w:szCs w:val="16"/>
                <w:color w:val="auto"/>
              </w:rPr>
            </w:pPr>
          </w:p>
        </w:tc>
        <w:tc>
          <w:tcPr>
            <w:tcW w:w="1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w:t>
            </w:r>
          </w:p>
        </w:tc>
        <w:tc>
          <w:tcPr>
            <w:tcW w:w="100" w:type="dxa"/>
            <w:vAlign w:val="bottom"/>
          </w:tcPr>
          <w:p>
            <w:pPr>
              <w:spacing w:after="0"/>
              <w:rPr>
                <w:sz w:val="16"/>
                <w:szCs w:val="16"/>
                <w:color w:val="auto"/>
              </w:rPr>
            </w:pPr>
          </w:p>
        </w:tc>
        <w:tc>
          <w:tcPr>
            <w:tcW w:w="1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4"/>
        </w:trPr>
        <w:tc>
          <w:tcPr>
            <w:tcW w:w="17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1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CCC</w:t>
            </w:r>
          </w:p>
        </w:tc>
        <w:tc>
          <w:tcPr>
            <w:tcW w:w="1680" w:type="dxa"/>
            <w:vAlign w:val="bottom"/>
            <w:tcBorders>
              <w:bottom w:val="single" w:sz="8" w:color="CCEEFF"/>
            </w:tcBorders>
            <w:shd w:val="clear" w:color="auto" w:fill="CCEEFF"/>
          </w:tcPr>
          <w:p>
            <w:pPr>
              <w:jc w:val="center"/>
              <w:ind w:left="49"/>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2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CC and lower</w:t>
            </w:r>
          </w:p>
        </w:tc>
        <w:tc>
          <w:tcPr>
            <w:tcW w:w="1680" w:type="dxa"/>
            <w:vAlign w:val="bottom"/>
          </w:tcPr>
          <w:p>
            <w:pPr>
              <w:jc w:val="center"/>
              <w:ind w:left="49"/>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100" w:type="dxa"/>
            <w:vAlign w:val="bottom"/>
          </w:tcPr>
          <w:p>
            <w:pPr>
              <w:spacing w:after="0"/>
              <w:rPr>
                <w:sz w:val="16"/>
                <w:szCs w:val="16"/>
                <w:color w:val="auto"/>
              </w:rPr>
            </w:pPr>
          </w:p>
        </w:tc>
        <w:tc>
          <w:tcPr>
            <w:tcW w:w="148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100" w:type="dxa"/>
            <w:vAlign w:val="bottom"/>
          </w:tcPr>
          <w:p>
            <w:pPr>
              <w:spacing w:after="0"/>
              <w:rPr>
                <w:sz w:val="16"/>
                <w:szCs w:val="16"/>
                <w:color w:val="auto"/>
              </w:rPr>
            </w:pPr>
          </w:p>
        </w:tc>
        <w:tc>
          <w:tcPr>
            <w:tcW w:w="1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178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7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55,495</w:t>
            </w: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50,712</w:t>
            </w:r>
          </w:p>
        </w:tc>
        <w:tc>
          <w:tcPr>
            <w:tcW w:w="1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55,292</w:t>
            </w:r>
          </w:p>
        </w:tc>
        <w:tc>
          <w:tcPr>
            <w:tcW w:w="2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52,700</w:t>
            </w:r>
          </w:p>
        </w:tc>
        <w:tc>
          <w:tcPr>
            <w:tcW w:w="1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20"/>
        </w:trPr>
        <w:tc>
          <w:tcPr>
            <w:tcW w:w="17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firstLine="318"/>
        <w:spacing w:after="0" w:line="304" w:lineRule="auto"/>
        <w:rPr>
          <w:sz w:val="20"/>
          <w:szCs w:val="20"/>
          <w:color w:val="auto"/>
        </w:rPr>
      </w:pPr>
      <w:r>
        <w:rPr>
          <w:rFonts w:ascii="Times New Roman" w:cs="Times New Roman" w:eastAsia="Times New Roman" w:hAnsi="Times New Roman"/>
          <w:sz w:val="17"/>
          <w:szCs w:val="17"/>
          <w:color w:val="auto"/>
        </w:rPr>
        <w:t>The following table shows the composition of our invested assets and cash and cash equivalents (in millions) at carrying value as of September 30, 2026 and December 31, 2025, a portion of which represent funds withheld backing reserves as part of coinsurance with funds withheld reinsurance arrangements.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1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4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center"/>
              <w:ind w:right="9"/>
              <w:spacing w:after="0" w:line="141" w:lineRule="exact"/>
              <w:rPr>
                <w:sz w:val="20"/>
                <w:szCs w:val="20"/>
                <w:color w:val="auto"/>
              </w:rPr>
            </w:pPr>
            <w:r>
              <w:rPr>
                <w:rFonts w:ascii="Times New Roman" w:cs="Times New Roman" w:eastAsia="Times New Roman" w:hAnsi="Times New Roman"/>
                <w:sz w:val="14"/>
                <w:szCs w:val="14"/>
                <w:b w:val="1"/>
                <w:bCs w:val="1"/>
                <w:color w:val="auto"/>
                <w:w w:val="99"/>
              </w:rPr>
              <w:t>Investments</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center"/>
              <w:ind w:right="9"/>
              <w:spacing w:after="0" w:line="141" w:lineRule="exact"/>
              <w:rPr>
                <w:sz w:val="20"/>
                <w:szCs w:val="20"/>
                <w:color w:val="auto"/>
              </w:rPr>
            </w:pPr>
            <w:r>
              <w:rPr>
                <w:rFonts w:ascii="Times New Roman" w:cs="Times New Roman" w:eastAsia="Times New Roman" w:hAnsi="Times New Roman"/>
                <w:sz w:val="14"/>
                <w:szCs w:val="14"/>
                <w:b w:val="1"/>
                <w:bCs w:val="1"/>
                <w:color w:val="auto"/>
                <w:w w:val="99"/>
              </w:rPr>
              <w:t>Investments</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Invested Assets</w:t>
            </w:r>
          </w:p>
        </w:tc>
        <w:tc>
          <w:tcPr>
            <w:tcW w:w="80" w:type="dxa"/>
            <w:vAlign w:val="bottom"/>
          </w:tcPr>
          <w:p>
            <w:pPr>
              <w:spacing w:after="0"/>
              <w:rPr>
                <w:sz w:val="12"/>
                <w:szCs w:val="12"/>
                <w:color w:val="auto"/>
              </w:rPr>
            </w:pPr>
          </w:p>
        </w:tc>
        <w:tc>
          <w:tcPr>
            <w:tcW w:w="1080" w:type="dxa"/>
            <w:vAlign w:val="bottom"/>
          </w:tcPr>
          <w:p>
            <w:pPr>
              <w:jc w:val="center"/>
              <w:ind w:right="9"/>
              <w:spacing w:after="0" w:line="144" w:lineRule="exact"/>
              <w:rPr>
                <w:sz w:val="20"/>
                <w:szCs w:val="20"/>
                <w:color w:val="auto"/>
              </w:rPr>
            </w:pPr>
            <w:r>
              <w:rPr>
                <w:rFonts w:ascii="Times New Roman" w:cs="Times New Roman" w:eastAsia="Times New Roman" w:hAnsi="Times New Roman"/>
                <w:sz w:val="14"/>
                <w:szCs w:val="14"/>
                <w:b w:val="1"/>
                <w:bCs w:val="1"/>
                <w:color w:val="auto"/>
              </w:rPr>
              <w:t>excluding Funds</w:t>
            </w:r>
          </w:p>
        </w:tc>
        <w:tc>
          <w:tcPr>
            <w:tcW w:w="100" w:type="dxa"/>
            <w:vAlign w:val="bottom"/>
          </w:tcPr>
          <w:p>
            <w:pPr>
              <w:spacing w:after="0"/>
              <w:rPr>
                <w:sz w:val="12"/>
                <w:szCs w:val="12"/>
                <w:color w:val="auto"/>
              </w:rPr>
            </w:pP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Funds Withheld</w:t>
            </w:r>
          </w:p>
        </w:tc>
        <w:tc>
          <w:tcPr>
            <w:tcW w:w="8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vMerge w:val="restart"/>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center"/>
              <w:ind w:right="9"/>
              <w:spacing w:after="0" w:line="144" w:lineRule="exact"/>
              <w:rPr>
                <w:sz w:val="20"/>
                <w:szCs w:val="20"/>
                <w:color w:val="auto"/>
              </w:rPr>
            </w:pPr>
            <w:r>
              <w:rPr>
                <w:rFonts w:ascii="Times New Roman" w:cs="Times New Roman" w:eastAsia="Times New Roman" w:hAnsi="Times New Roman"/>
                <w:sz w:val="14"/>
                <w:szCs w:val="14"/>
                <w:b w:val="1"/>
                <w:bCs w:val="1"/>
                <w:color w:val="auto"/>
              </w:rPr>
              <w:t>excluding Funds</w:t>
            </w:r>
          </w:p>
        </w:tc>
        <w:tc>
          <w:tcPr>
            <w:tcW w:w="100" w:type="dxa"/>
            <w:vAlign w:val="bottom"/>
          </w:tcPr>
          <w:p>
            <w:pPr>
              <w:spacing w:after="0"/>
              <w:rPr>
                <w:sz w:val="12"/>
                <w:szCs w:val="12"/>
                <w:color w:val="auto"/>
              </w:rPr>
            </w:pP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Funds Withheld</w:t>
            </w:r>
          </w:p>
        </w:tc>
        <w:tc>
          <w:tcPr>
            <w:tcW w:w="10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vMerge w:val="restart"/>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w w:val="99"/>
              </w:rPr>
              <w:t>Withheld</w:t>
            </w: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w w:val="99"/>
              </w:rPr>
              <w:t>Withheld</w:t>
            </w: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Fixed maturities, AFS</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35,400</w:t>
            </w:r>
          </w:p>
        </w:tc>
        <w:tc>
          <w:tcPr>
            <w:tcW w:w="460" w:type="dxa"/>
            <w:vAlign w:val="bottom"/>
            <w:tcBorders>
              <w:bottom w:val="single" w:sz="8" w:color="CCEEFF"/>
            </w:tcBorders>
            <w:gridSpan w:val="2"/>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15,312</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50,712</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40,170</w:t>
            </w:r>
          </w:p>
        </w:tc>
        <w:tc>
          <w:tcPr>
            <w:tcW w:w="460" w:type="dxa"/>
            <w:vAlign w:val="bottom"/>
            <w:tcBorders>
              <w:bottom w:val="single" w:sz="8" w:color="CCEEFF"/>
            </w:tcBorders>
            <w:gridSpan w:val="2"/>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12,530</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52,700</w:t>
            </w:r>
          </w:p>
        </w:tc>
        <w:tc>
          <w:tcPr>
            <w:tcW w:w="0" w:type="dxa"/>
            <w:vAlign w:val="bottom"/>
          </w:tcPr>
          <w:p>
            <w:pPr>
              <w:spacing w:after="0"/>
              <w:rPr>
                <w:sz w:val="1"/>
                <w:szCs w:val="1"/>
                <w:color w:val="auto"/>
              </w:rPr>
            </w:pPr>
          </w:p>
        </w:tc>
      </w:tr>
      <w:tr>
        <w:trPr>
          <w:trHeight w:val="188"/>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Fixed maturity securities, at fair value under fair value option</w:t>
            </w: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4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securities</w:t>
            </w:r>
          </w:p>
        </w:tc>
        <w:tc>
          <w:tcPr>
            <w:tcW w:w="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0" w:type="dxa"/>
            <w:vAlign w:val="bottom"/>
          </w:tcPr>
          <w:p>
            <w:pPr>
              <w:spacing w:after="0"/>
              <w:rPr>
                <w:sz w:val="1"/>
                <w:szCs w:val="1"/>
                <w:color w:val="auto"/>
              </w:rPr>
            </w:pPr>
          </w:p>
        </w:tc>
      </w:tr>
      <w:tr>
        <w:trPr>
          <w:trHeight w:val="188"/>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Derivative instruments</w:t>
            </w: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1,126</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1,148</w:t>
            </w:r>
          </w:p>
        </w:tc>
        <w:tc>
          <w:tcPr>
            <w:tcW w:w="0" w:type="dxa"/>
            <w:vAlign w:val="bottom"/>
          </w:tcPr>
          <w:p>
            <w:pPr>
              <w:spacing w:after="0"/>
              <w:rPr>
                <w:sz w:val="1"/>
                <w:szCs w:val="1"/>
                <w:color w:val="auto"/>
              </w:rPr>
            </w:pPr>
          </w:p>
        </w:tc>
      </w:tr>
      <w:tr>
        <w:trPr>
          <w:trHeight w:val="24"/>
        </w:trPr>
        <w:tc>
          <w:tcPr>
            <w:tcW w:w="4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Mortgage loans</w:t>
            </w:r>
          </w:p>
        </w:tc>
        <w:tc>
          <w:tcPr>
            <w:tcW w:w="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9,465</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781</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10,246</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7,826</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7,891</w:t>
            </w:r>
          </w:p>
        </w:tc>
        <w:tc>
          <w:tcPr>
            <w:tcW w:w="0" w:type="dxa"/>
            <w:vAlign w:val="bottom"/>
          </w:tcPr>
          <w:p>
            <w:pPr>
              <w:spacing w:after="0"/>
              <w:rPr>
                <w:sz w:val="1"/>
                <w:szCs w:val="1"/>
                <w:color w:val="auto"/>
              </w:rPr>
            </w:pPr>
          </w:p>
        </w:tc>
      </w:tr>
      <w:tr>
        <w:trPr>
          <w:trHeight w:val="188"/>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Investments in unconsolidated affiliates</w:t>
            </w: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4,878</w:t>
            </w:r>
          </w:p>
        </w:tc>
        <w:tc>
          <w:tcPr>
            <w:tcW w:w="0" w:type="dxa"/>
            <w:vAlign w:val="bottom"/>
          </w:tcPr>
          <w:p>
            <w:pPr>
              <w:spacing w:after="0"/>
              <w:rPr>
                <w:sz w:val="1"/>
                <w:szCs w:val="1"/>
                <w:color w:val="auto"/>
              </w:rPr>
            </w:pPr>
          </w:p>
        </w:tc>
      </w:tr>
      <w:tr>
        <w:trPr>
          <w:trHeight w:val="24"/>
        </w:trPr>
        <w:tc>
          <w:tcPr>
            <w:tcW w:w="4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long-term investments</w:t>
            </w:r>
          </w:p>
        </w:tc>
        <w:tc>
          <w:tcPr>
            <w:tcW w:w="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1,366</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1,366</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1,294</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1,294</w:t>
            </w:r>
          </w:p>
        </w:tc>
        <w:tc>
          <w:tcPr>
            <w:tcW w:w="0" w:type="dxa"/>
            <w:vAlign w:val="bottom"/>
          </w:tcPr>
          <w:p>
            <w:pPr>
              <w:spacing w:after="0"/>
              <w:rPr>
                <w:sz w:val="1"/>
                <w:szCs w:val="1"/>
                <w:color w:val="auto"/>
              </w:rPr>
            </w:pPr>
          </w:p>
        </w:tc>
      </w:tr>
      <w:tr>
        <w:trPr>
          <w:trHeight w:val="188"/>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Policy loans</w:t>
            </w: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0" w:type="dxa"/>
            <w:vAlign w:val="bottom"/>
          </w:tcPr>
          <w:p>
            <w:pPr>
              <w:spacing w:after="0"/>
              <w:rPr>
                <w:sz w:val="1"/>
                <w:szCs w:val="1"/>
                <w:color w:val="auto"/>
              </w:rPr>
            </w:pPr>
          </w:p>
        </w:tc>
      </w:tr>
      <w:tr>
        <w:trPr>
          <w:trHeight w:val="24"/>
        </w:trPr>
        <w:tc>
          <w:tcPr>
            <w:tcW w:w="4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Short-term investments</w:t>
            </w:r>
          </w:p>
        </w:tc>
        <w:tc>
          <w:tcPr>
            <w:tcW w:w="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724</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724</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1,043</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1,043</w:t>
            </w:r>
          </w:p>
        </w:tc>
        <w:tc>
          <w:tcPr>
            <w:tcW w:w="0" w:type="dxa"/>
            <w:vAlign w:val="bottom"/>
          </w:tcPr>
          <w:p>
            <w:pPr>
              <w:spacing w:after="0"/>
              <w:rPr>
                <w:sz w:val="1"/>
                <w:szCs w:val="1"/>
                <w:color w:val="auto"/>
              </w:rPr>
            </w:pPr>
          </w:p>
        </w:tc>
      </w:tr>
      <w:tr>
        <w:trPr>
          <w:trHeight w:val="181"/>
        </w:trPr>
        <w:tc>
          <w:tcPr>
            <w:tcW w:w="4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Total invested assets</w:t>
            </w:r>
          </w:p>
        </w:tc>
        <w:tc>
          <w:tcPr>
            <w:tcW w:w="8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52,553</w:t>
            </w:r>
          </w:p>
        </w:tc>
        <w:tc>
          <w:tcPr>
            <w:tcW w:w="1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17,306</w:t>
            </w:r>
          </w:p>
        </w:tc>
        <w:tc>
          <w:tcPr>
            <w:tcW w:w="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69,859</w:t>
            </w:r>
          </w:p>
        </w:tc>
        <w:tc>
          <w:tcPr>
            <w:tcW w:w="1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55,979</w:t>
            </w:r>
          </w:p>
        </w:tc>
        <w:tc>
          <w:tcPr>
            <w:tcW w:w="1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13,463</w:t>
            </w: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69,442</w:t>
            </w:r>
          </w:p>
        </w:tc>
        <w:tc>
          <w:tcPr>
            <w:tcW w:w="0" w:type="dxa"/>
            <w:vAlign w:val="bottom"/>
          </w:tcPr>
          <w:p>
            <w:pPr>
              <w:spacing w:after="0"/>
              <w:rPr>
                <w:sz w:val="1"/>
                <w:szCs w:val="1"/>
                <w:color w:val="auto"/>
              </w:rPr>
            </w:pPr>
          </w:p>
        </w:tc>
      </w:tr>
      <w:tr>
        <w:trPr>
          <w:trHeight w:val="24"/>
        </w:trPr>
        <w:tc>
          <w:tcPr>
            <w:tcW w:w="4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959</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1,560</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784</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702</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1,486</w:t>
            </w:r>
          </w:p>
        </w:tc>
        <w:tc>
          <w:tcPr>
            <w:tcW w:w="0" w:type="dxa"/>
            <w:vAlign w:val="bottom"/>
          </w:tcPr>
          <w:p>
            <w:pPr>
              <w:spacing w:after="0"/>
              <w:rPr>
                <w:sz w:val="1"/>
                <w:szCs w:val="1"/>
                <w:color w:val="auto"/>
              </w:rPr>
            </w:pPr>
          </w:p>
        </w:tc>
      </w:tr>
      <w:tr>
        <w:trPr>
          <w:trHeight w:val="205"/>
        </w:trPr>
        <w:tc>
          <w:tcPr>
            <w:tcW w:w="418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Total invested assets and cash and cash equivalents</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53,512</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17,907</w:t>
            </w: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71,419</w:t>
            </w:r>
          </w:p>
        </w:tc>
        <w:tc>
          <w:tcPr>
            <w:tcW w:w="10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56,763</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14,165</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70,928</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Concentrations</w:t>
      </w:r>
    </w:p>
    <w:p>
      <w:pPr>
        <w:spacing w:after="0" w:line="87"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The tables below present the top ten structured security and industry categories of our fixed maturity and equity securities including the fair value and percent of total fixed maturity and equity securities fair value as of September 30, 2026 and December 31, 2025.</w:t>
      </w:r>
    </w:p>
    <w:p>
      <w:pPr>
        <w:spacing w:after="0" w:line="51" w:lineRule="exact"/>
        <w:rPr>
          <w:sz w:val="20"/>
          <w:szCs w:val="20"/>
          <w:color w:val="auto"/>
        </w:rPr>
      </w:pPr>
    </w:p>
    <w:tbl>
      <w:tblPr>
        <w:tblLayout w:type="fixed"/>
        <w:tblInd w:w="100" w:type="dxa"/>
        <w:tblCellMar>
          <w:top w:w="0" w:type="dxa"/>
          <w:left w:w="0" w:type="dxa"/>
          <w:bottom w:w="0" w:type="dxa"/>
          <w:right w:w="0" w:type="dxa"/>
        </w:tblCellMar>
      </w:tblPr>
      <w:tr>
        <w:trPr>
          <w:trHeight w:val="186"/>
        </w:trPr>
        <w:tc>
          <w:tcPr>
            <w:tcW w:w="8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60" w:type="dxa"/>
            <w:vAlign w:val="bottom"/>
            <w:gridSpan w:val="3"/>
          </w:tcPr>
          <w:p>
            <w:pPr>
              <w:jc w:val="right"/>
              <w:ind w:right="749"/>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0" w:type="dxa"/>
            <w:vAlign w:val="bottom"/>
          </w:tcPr>
          <w:p>
            <w:pPr>
              <w:spacing w:after="0"/>
              <w:rPr>
                <w:sz w:val="1"/>
                <w:szCs w:val="1"/>
                <w:color w:val="auto"/>
              </w:rPr>
            </w:pPr>
          </w:p>
        </w:tc>
      </w:tr>
      <w:tr>
        <w:trPr>
          <w:trHeight w:val="24"/>
        </w:trPr>
        <w:tc>
          <w:tcPr>
            <w:tcW w:w="8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8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Top 10 Concentrations</w:t>
            </w:r>
          </w:p>
        </w:tc>
        <w:tc>
          <w:tcPr>
            <w:tcW w:w="8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ind w:left="80"/>
              <w:spacing w:after="0" w:line="141" w:lineRule="exact"/>
              <w:rPr>
                <w:sz w:val="20"/>
                <w:szCs w:val="20"/>
                <w:color w:val="auto"/>
              </w:rPr>
            </w:pPr>
            <w:r>
              <w:rPr>
                <w:rFonts w:ascii="Times New Roman" w:cs="Times New Roman" w:eastAsia="Times New Roman" w:hAnsi="Times New Roman"/>
                <w:sz w:val="14"/>
                <w:szCs w:val="14"/>
                <w:b w:val="1"/>
                <w:bCs w:val="1"/>
                <w:color w:val="auto"/>
              </w:rPr>
              <w:t>Fair Value (In</w:t>
            </w:r>
          </w:p>
        </w:tc>
        <w:tc>
          <w:tcPr>
            <w:tcW w:w="1400" w:type="dxa"/>
            <w:vAlign w:val="bottom"/>
          </w:tcPr>
          <w:p>
            <w:pPr>
              <w:jc w:val="right"/>
              <w:ind w:right="9"/>
              <w:spacing w:after="0" w:line="141" w:lineRule="exact"/>
              <w:rPr>
                <w:sz w:val="20"/>
                <w:szCs w:val="20"/>
                <w:color w:val="auto"/>
              </w:rPr>
            </w:pPr>
            <w:r>
              <w:rPr>
                <w:rFonts w:ascii="Times New Roman" w:cs="Times New Roman" w:eastAsia="Times New Roman" w:hAnsi="Times New Roman"/>
                <w:sz w:val="14"/>
                <w:szCs w:val="14"/>
                <w:b w:val="1"/>
                <w:bCs w:val="1"/>
                <w:color w:val="auto"/>
              </w:rPr>
              <w:t>Percent of Total Fair</w:t>
            </w:r>
          </w:p>
        </w:tc>
        <w:tc>
          <w:tcPr>
            <w:tcW w:w="0" w:type="dxa"/>
            <w:vAlign w:val="bottom"/>
          </w:tcPr>
          <w:p>
            <w:pPr>
              <w:spacing w:after="0"/>
              <w:rPr>
                <w:sz w:val="1"/>
                <w:szCs w:val="1"/>
                <w:color w:val="auto"/>
              </w:rPr>
            </w:pPr>
          </w:p>
        </w:tc>
      </w:tr>
      <w:tr>
        <w:trPr>
          <w:trHeight w:val="191"/>
        </w:trPr>
        <w:tc>
          <w:tcPr>
            <w:tcW w:w="81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1"/>
        </w:trPr>
        <w:tc>
          <w:tcPr>
            <w:tcW w:w="8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CLO</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9,926</w:t>
            </w:r>
          </w:p>
        </w:tc>
        <w:tc>
          <w:tcPr>
            <w:tcW w:w="10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0" w:type="dxa"/>
            <w:vAlign w:val="bottom"/>
          </w:tcPr>
          <w:p>
            <w:pPr>
              <w:spacing w:after="0"/>
              <w:rPr>
                <w:sz w:val="1"/>
                <w:szCs w:val="1"/>
                <w:color w:val="auto"/>
              </w:rPr>
            </w:pPr>
          </w:p>
        </w:tc>
      </w:tr>
      <w:tr>
        <w:trPr>
          <w:trHeight w:val="188"/>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ABS</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7,923</w:t>
            </w:r>
          </w:p>
        </w:tc>
        <w:tc>
          <w:tcPr>
            <w:tcW w:w="100" w:type="dxa"/>
            <w:vAlign w:val="bottom"/>
          </w:tcPr>
          <w:p>
            <w:pPr>
              <w:spacing w:after="0"/>
              <w:rPr>
                <w:sz w:val="16"/>
                <w:szCs w:val="16"/>
                <w:color w:val="auto"/>
              </w:rPr>
            </w:pPr>
          </w:p>
        </w:tc>
        <w:tc>
          <w:tcPr>
            <w:tcW w:w="14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24"/>
        </w:trPr>
        <w:tc>
          <w:tcPr>
            <w:tcW w:w="8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8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mortgage backed securities</w:t>
            </w:r>
          </w:p>
        </w:tc>
        <w:tc>
          <w:tcPr>
            <w:tcW w:w="1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4,106</w:t>
            </w:r>
          </w:p>
        </w:tc>
        <w:tc>
          <w:tcPr>
            <w:tcW w:w="10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88"/>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Diversified financial services</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3,751</w:t>
            </w:r>
          </w:p>
        </w:tc>
        <w:tc>
          <w:tcPr>
            <w:tcW w:w="100" w:type="dxa"/>
            <w:vAlign w:val="bottom"/>
          </w:tcPr>
          <w:p>
            <w:pPr>
              <w:spacing w:after="0"/>
              <w:rPr>
                <w:sz w:val="16"/>
                <w:szCs w:val="16"/>
                <w:color w:val="auto"/>
              </w:rPr>
            </w:pPr>
          </w:p>
        </w:tc>
        <w:tc>
          <w:tcPr>
            <w:tcW w:w="14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4"/>
        </w:trPr>
        <w:tc>
          <w:tcPr>
            <w:tcW w:w="8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8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Whole loan collateralized mortgage obligation</w:t>
            </w:r>
          </w:p>
        </w:tc>
        <w:tc>
          <w:tcPr>
            <w:tcW w:w="1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2,323</w:t>
            </w:r>
          </w:p>
        </w:tc>
        <w:tc>
          <w:tcPr>
            <w:tcW w:w="10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88"/>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Banking</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1,866</w:t>
            </w:r>
          </w:p>
        </w:tc>
        <w:tc>
          <w:tcPr>
            <w:tcW w:w="100" w:type="dxa"/>
            <w:vAlign w:val="bottom"/>
          </w:tcPr>
          <w:p>
            <w:pPr>
              <w:spacing w:after="0"/>
              <w:rPr>
                <w:sz w:val="16"/>
                <w:szCs w:val="16"/>
                <w:color w:val="auto"/>
              </w:rPr>
            </w:pPr>
          </w:p>
        </w:tc>
        <w:tc>
          <w:tcPr>
            <w:tcW w:w="14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4"/>
        </w:trPr>
        <w:tc>
          <w:tcPr>
            <w:tcW w:w="8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8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Insurance</w:t>
            </w:r>
          </w:p>
        </w:tc>
        <w:tc>
          <w:tcPr>
            <w:tcW w:w="1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1,631</w:t>
            </w:r>
          </w:p>
        </w:tc>
        <w:tc>
          <w:tcPr>
            <w:tcW w:w="10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88"/>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Electric</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1,432</w:t>
            </w:r>
          </w:p>
        </w:tc>
        <w:tc>
          <w:tcPr>
            <w:tcW w:w="100" w:type="dxa"/>
            <w:vAlign w:val="bottom"/>
          </w:tcPr>
          <w:p>
            <w:pPr>
              <w:spacing w:after="0"/>
              <w:rPr>
                <w:sz w:val="16"/>
                <w:szCs w:val="16"/>
                <w:color w:val="auto"/>
              </w:rPr>
            </w:pPr>
          </w:p>
        </w:tc>
        <w:tc>
          <w:tcPr>
            <w:tcW w:w="14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4"/>
        </w:trPr>
        <w:tc>
          <w:tcPr>
            <w:tcW w:w="8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8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Municipal</w:t>
            </w:r>
          </w:p>
        </w:tc>
        <w:tc>
          <w:tcPr>
            <w:tcW w:w="1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1,224</w:t>
            </w:r>
          </w:p>
        </w:tc>
        <w:tc>
          <w:tcPr>
            <w:tcW w:w="10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88"/>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Pipelines</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w:t>
            </w:r>
          </w:p>
        </w:tc>
        <w:tc>
          <w:tcPr>
            <w:tcW w:w="100" w:type="dxa"/>
            <w:vAlign w:val="bottom"/>
          </w:tcPr>
          <w:p>
            <w:pPr>
              <w:spacing w:after="0"/>
              <w:rPr>
                <w:sz w:val="16"/>
                <w:szCs w:val="16"/>
                <w:color w:val="auto"/>
              </w:rPr>
            </w:pPr>
          </w:p>
        </w:tc>
        <w:tc>
          <w:tcPr>
            <w:tcW w:w="14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4"/>
        </w:trPr>
        <w:tc>
          <w:tcPr>
            <w:tcW w:w="8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2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35,382</w:t>
            </w:r>
          </w:p>
        </w:tc>
        <w:tc>
          <w:tcPr>
            <w:tcW w:w="1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69 %</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0" w:type="dxa"/>
            <w:vAlign w:val="bottom"/>
            <w:gridSpan w:val="3"/>
          </w:tcPr>
          <w:p>
            <w:pPr>
              <w:jc w:val="right"/>
              <w:ind w:right="769"/>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4"/>
        </w:trPr>
        <w:tc>
          <w:tcPr>
            <w:tcW w:w="8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8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Top 10 Concentrations</w:t>
            </w:r>
          </w:p>
        </w:tc>
        <w:tc>
          <w:tcPr>
            <w:tcW w:w="8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vMerge w:val="restart"/>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vMerge w:val="restart"/>
          </w:tcPr>
          <w:p>
            <w:pPr>
              <w:spacing w:after="0"/>
              <w:rPr>
                <w:sz w:val="12"/>
                <w:szCs w:val="12"/>
                <w:color w:val="auto"/>
              </w:rPr>
            </w:pPr>
          </w:p>
        </w:tc>
        <w:tc>
          <w:tcPr>
            <w:tcW w:w="1420" w:type="dxa"/>
            <w:vAlign w:val="bottom"/>
          </w:tcPr>
          <w:p>
            <w:pPr>
              <w:jc w:val="right"/>
              <w:ind w:right="9"/>
              <w:spacing w:after="0" w:line="141" w:lineRule="exact"/>
              <w:rPr>
                <w:sz w:val="20"/>
                <w:szCs w:val="20"/>
                <w:color w:val="auto"/>
              </w:rPr>
            </w:pPr>
            <w:r>
              <w:rPr>
                <w:rFonts w:ascii="Times New Roman" w:cs="Times New Roman" w:eastAsia="Times New Roman" w:hAnsi="Times New Roman"/>
                <w:sz w:val="14"/>
                <w:szCs w:val="14"/>
                <w:b w:val="1"/>
                <w:bCs w:val="1"/>
                <w:color w:val="auto"/>
              </w:rPr>
              <w:t>Percent of Total Fair</w:t>
            </w:r>
          </w:p>
        </w:tc>
        <w:tc>
          <w:tcPr>
            <w:tcW w:w="0" w:type="dxa"/>
            <w:vAlign w:val="bottom"/>
          </w:tcPr>
          <w:p>
            <w:pPr>
              <w:spacing w:after="0"/>
              <w:rPr>
                <w:sz w:val="1"/>
                <w:szCs w:val="1"/>
                <w:color w:val="auto"/>
              </w:rPr>
            </w:pPr>
          </w:p>
        </w:tc>
      </w:tr>
      <w:tr>
        <w:trPr>
          <w:trHeight w:val="191"/>
        </w:trPr>
        <w:tc>
          <w:tcPr>
            <w:tcW w:w="81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2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1"/>
        </w:trPr>
        <w:tc>
          <w:tcPr>
            <w:tcW w:w="8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CLO</w:t>
            </w:r>
          </w:p>
        </w:tc>
        <w:tc>
          <w:tcPr>
            <w:tcW w:w="22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10,890</w:t>
            </w:r>
          </w:p>
        </w:tc>
        <w:tc>
          <w:tcPr>
            <w:tcW w:w="10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0" w:type="dxa"/>
            <w:vAlign w:val="bottom"/>
          </w:tcPr>
          <w:p>
            <w:pPr>
              <w:spacing w:after="0"/>
              <w:rPr>
                <w:sz w:val="1"/>
                <w:szCs w:val="1"/>
                <w:color w:val="auto"/>
              </w:rPr>
            </w:pPr>
          </w:p>
        </w:tc>
      </w:tr>
      <w:tr>
        <w:trPr>
          <w:trHeight w:val="188"/>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ABS</w:t>
            </w: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7,842</w:t>
            </w:r>
          </w:p>
        </w:tc>
        <w:tc>
          <w:tcPr>
            <w:tcW w:w="100" w:type="dxa"/>
            <w:vAlign w:val="bottom"/>
          </w:tcPr>
          <w:p>
            <w:pPr>
              <w:spacing w:after="0"/>
              <w:rPr>
                <w:sz w:val="16"/>
                <w:szCs w:val="16"/>
                <w:color w:val="auto"/>
              </w:rPr>
            </w:pPr>
          </w:p>
        </w:tc>
        <w:tc>
          <w:tcPr>
            <w:tcW w:w="14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24"/>
        </w:trPr>
        <w:tc>
          <w:tcPr>
            <w:tcW w:w="8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8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mortgage-backed securities</w:t>
            </w:r>
          </w:p>
        </w:tc>
        <w:tc>
          <w:tcPr>
            <w:tcW w:w="2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5,155</w:t>
            </w:r>
          </w:p>
        </w:tc>
        <w:tc>
          <w:tcPr>
            <w:tcW w:w="10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88"/>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Diversified financial services</w:t>
            </w: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4,161</w:t>
            </w:r>
          </w:p>
        </w:tc>
        <w:tc>
          <w:tcPr>
            <w:tcW w:w="100" w:type="dxa"/>
            <w:vAlign w:val="bottom"/>
          </w:tcPr>
          <w:p>
            <w:pPr>
              <w:spacing w:after="0"/>
              <w:rPr>
                <w:sz w:val="16"/>
                <w:szCs w:val="16"/>
                <w:color w:val="auto"/>
              </w:rPr>
            </w:pPr>
          </w:p>
        </w:tc>
        <w:tc>
          <w:tcPr>
            <w:tcW w:w="14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24"/>
        </w:trPr>
        <w:tc>
          <w:tcPr>
            <w:tcW w:w="8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8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Whole loan collateralized mortgage obligation</w:t>
            </w:r>
          </w:p>
        </w:tc>
        <w:tc>
          <w:tcPr>
            <w:tcW w:w="2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2,630</w:t>
            </w:r>
          </w:p>
        </w:tc>
        <w:tc>
          <w:tcPr>
            <w:tcW w:w="10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88"/>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Banking</w:t>
            </w: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2,246</w:t>
            </w:r>
          </w:p>
        </w:tc>
        <w:tc>
          <w:tcPr>
            <w:tcW w:w="100" w:type="dxa"/>
            <w:vAlign w:val="bottom"/>
          </w:tcPr>
          <w:p>
            <w:pPr>
              <w:spacing w:after="0"/>
              <w:rPr>
                <w:sz w:val="16"/>
                <w:szCs w:val="16"/>
                <w:color w:val="auto"/>
              </w:rPr>
            </w:pPr>
          </w:p>
        </w:tc>
        <w:tc>
          <w:tcPr>
            <w:tcW w:w="14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4"/>
        </w:trPr>
        <w:tc>
          <w:tcPr>
            <w:tcW w:w="8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8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Insurance</w:t>
            </w:r>
          </w:p>
        </w:tc>
        <w:tc>
          <w:tcPr>
            <w:tcW w:w="2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1,902</w:t>
            </w:r>
          </w:p>
        </w:tc>
        <w:tc>
          <w:tcPr>
            <w:tcW w:w="10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88"/>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Electric</w:t>
            </w: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1,413</w:t>
            </w:r>
          </w:p>
        </w:tc>
        <w:tc>
          <w:tcPr>
            <w:tcW w:w="100" w:type="dxa"/>
            <w:vAlign w:val="bottom"/>
          </w:tcPr>
          <w:p>
            <w:pPr>
              <w:spacing w:after="0"/>
              <w:rPr>
                <w:sz w:val="16"/>
                <w:szCs w:val="16"/>
                <w:color w:val="auto"/>
              </w:rPr>
            </w:pPr>
          </w:p>
        </w:tc>
        <w:tc>
          <w:tcPr>
            <w:tcW w:w="14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4"/>
        </w:trPr>
        <w:tc>
          <w:tcPr>
            <w:tcW w:w="8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8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Municipal</w:t>
            </w:r>
          </w:p>
        </w:tc>
        <w:tc>
          <w:tcPr>
            <w:tcW w:w="2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1,355</w:t>
            </w:r>
          </w:p>
        </w:tc>
        <w:tc>
          <w:tcPr>
            <w:tcW w:w="10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88"/>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Pipelines</w:t>
            </w: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945</w:t>
            </w:r>
          </w:p>
        </w:tc>
        <w:tc>
          <w:tcPr>
            <w:tcW w:w="100" w:type="dxa"/>
            <w:vAlign w:val="bottom"/>
          </w:tcPr>
          <w:p>
            <w:pPr>
              <w:spacing w:after="0"/>
              <w:rPr>
                <w:sz w:val="16"/>
                <w:szCs w:val="16"/>
                <w:color w:val="auto"/>
              </w:rPr>
            </w:pPr>
          </w:p>
        </w:tc>
        <w:tc>
          <w:tcPr>
            <w:tcW w:w="14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4"/>
        </w:trPr>
        <w:tc>
          <w:tcPr>
            <w:tcW w:w="81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38,539</w:t>
            </w:r>
          </w:p>
        </w:tc>
        <w:tc>
          <w:tcPr>
            <w:tcW w:w="1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74 %</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6" w:lineRule="exact"/>
        <w:rPr>
          <w:sz w:val="20"/>
          <w:szCs w:val="20"/>
          <w:color w:val="auto"/>
        </w:rPr>
      </w:pPr>
    </w:p>
    <w:p>
      <w:pPr>
        <w:jc w:val="both"/>
        <w:ind w:firstLine="318"/>
        <w:spacing w:after="0" w:line="272" w:lineRule="auto"/>
        <w:rPr>
          <w:sz w:val="20"/>
          <w:szCs w:val="20"/>
          <w:color w:val="auto"/>
        </w:rPr>
      </w:pPr>
      <w:r>
        <w:rPr>
          <w:rFonts w:ascii="Times New Roman" w:cs="Times New Roman" w:eastAsia="Times New Roman" w:hAnsi="Times New Roman"/>
          <w:sz w:val="18"/>
          <w:szCs w:val="18"/>
          <w:color w:val="auto"/>
        </w:rPr>
        <w:t>The amortized cost and fair value of fixed maturity AFS securities by contractual maturities as of September 30, 2026 are shown below. Actual maturities may differ from contractual maturities because issuers may have the right to call or prepay obligations.</w:t>
      </w:r>
    </w:p>
    <w:p>
      <w:pPr>
        <w:spacing w:after="0" w:line="2" w:lineRule="exact"/>
        <w:rPr>
          <w:sz w:val="20"/>
          <w:szCs w:val="20"/>
          <w:color w:val="auto"/>
        </w:rPr>
      </w:pPr>
    </w:p>
    <w:tbl>
      <w:tblPr>
        <w:tblLayout w:type="fixed"/>
        <w:tblInd w:w="100" w:type="dxa"/>
        <w:tblCellMar>
          <w:top w:w="0" w:type="dxa"/>
          <w:left w:w="0" w:type="dxa"/>
          <w:bottom w:w="0" w:type="dxa"/>
          <w:right w:w="0" w:type="dxa"/>
        </w:tblCellMar>
      </w:tblPr>
      <w:tr>
        <w:trPr>
          <w:trHeight w:val="186"/>
        </w:trPr>
        <w:tc>
          <w:tcPr>
            <w:tcW w:w="8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60" w:type="dxa"/>
            <w:vAlign w:val="bottom"/>
            <w:gridSpan w:val="4"/>
          </w:tcPr>
          <w:p>
            <w:pPr>
              <w:jc w:val="right"/>
              <w:ind w:right="689"/>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0" w:type="dxa"/>
            <w:vAlign w:val="bottom"/>
          </w:tcPr>
          <w:p>
            <w:pPr>
              <w:spacing w:after="0"/>
              <w:rPr>
                <w:sz w:val="1"/>
                <w:szCs w:val="1"/>
                <w:color w:val="auto"/>
              </w:rPr>
            </w:pPr>
          </w:p>
        </w:tc>
      </w:tr>
      <w:tr>
        <w:trPr>
          <w:trHeight w:val="24"/>
        </w:trPr>
        <w:tc>
          <w:tcPr>
            <w:tcW w:w="83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8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320" w:type="dxa"/>
            <w:vAlign w:val="bottom"/>
          </w:tcPr>
          <w:p>
            <w:pPr>
              <w:spacing w:after="0"/>
              <w:rPr>
                <w:sz w:val="15"/>
                <w:szCs w:val="15"/>
                <w:color w:val="auto"/>
              </w:rPr>
            </w:pPr>
          </w:p>
        </w:tc>
        <w:tc>
          <w:tcPr>
            <w:tcW w:w="980" w:type="dxa"/>
            <w:vAlign w:val="bottom"/>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0" w:type="dxa"/>
            <w:vAlign w:val="bottom"/>
          </w:tcPr>
          <w:p>
            <w:pPr>
              <w:spacing w:after="0"/>
              <w:rPr>
                <w:sz w:val="1"/>
                <w:szCs w:val="1"/>
                <w:color w:val="auto"/>
              </w:rPr>
            </w:pPr>
          </w:p>
        </w:tc>
      </w:tr>
      <w:tr>
        <w:trPr>
          <w:trHeight w:val="24"/>
        </w:trPr>
        <w:tc>
          <w:tcPr>
            <w:tcW w:w="8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Corporate, Non-structured Hybrids, Municipal, Foreign and U.S. Government securities:</w:t>
            </w: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83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8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8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Due in one year or less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533</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w:t>
            </w:r>
          </w:p>
        </w:tc>
        <w:tc>
          <w:tcPr>
            <w:tcW w:w="0" w:type="dxa"/>
            <w:vAlign w:val="bottom"/>
          </w:tcPr>
          <w:p>
            <w:pPr>
              <w:spacing w:after="0"/>
              <w:rPr>
                <w:sz w:val="1"/>
                <w:szCs w:val="1"/>
                <w:color w:val="auto"/>
              </w:rPr>
            </w:pPr>
          </w:p>
        </w:tc>
      </w:tr>
      <w:tr>
        <w:trPr>
          <w:trHeight w:val="188"/>
        </w:trPr>
        <w:tc>
          <w:tcPr>
            <w:tcW w:w="8380" w:type="dxa"/>
            <w:vAlign w:val="bottom"/>
          </w:tcPr>
          <w:p>
            <w:pPr>
              <w:spacing w:after="0"/>
              <w:rPr>
                <w:sz w:val="20"/>
                <w:szCs w:val="20"/>
                <w:color w:val="auto"/>
              </w:rPr>
            </w:pPr>
            <w:r>
              <w:rPr>
                <w:rFonts w:ascii="Times New Roman" w:cs="Times New Roman" w:eastAsia="Times New Roman" w:hAnsi="Times New Roman"/>
                <w:sz w:val="14"/>
                <w:szCs w:val="14"/>
                <w:color w:val="auto"/>
              </w:rPr>
              <w:t>Due after one year through five years</w:t>
            </w:r>
          </w:p>
        </w:tc>
        <w:tc>
          <w:tcPr>
            <w:tcW w:w="120" w:type="dxa"/>
            <w:vAlign w:val="bottom"/>
          </w:tcPr>
          <w:p>
            <w:pPr>
              <w:spacing w:after="0"/>
              <w:rPr>
                <w:sz w:val="16"/>
                <w:szCs w:val="16"/>
                <w:color w:val="auto"/>
              </w:rPr>
            </w:pPr>
          </w:p>
        </w:tc>
        <w:tc>
          <w:tcPr>
            <w:tcW w:w="1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4,589</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4,513</w:t>
            </w:r>
          </w:p>
        </w:tc>
        <w:tc>
          <w:tcPr>
            <w:tcW w:w="0" w:type="dxa"/>
            <w:vAlign w:val="bottom"/>
          </w:tcPr>
          <w:p>
            <w:pPr>
              <w:spacing w:after="0"/>
              <w:rPr>
                <w:sz w:val="1"/>
                <w:szCs w:val="1"/>
                <w:color w:val="auto"/>
              </w:rPr>
            </w:pPr>
          </w:p>
        </w:tc>
      </w:tr>
      <w:tr>
        <w:trPr>
          <w:trHeight w:val="24"/>
        </w:trPr>
        <w:tc>
          <w:tcPr>
            <w:tcW w:w="8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8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Due after five years through ten years</w:t>
            </w:r>
          </w:p>
        </w:tc>
        <w:tc>
          <w:tcPr>
            <w:tcW w:w="12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4,057</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3,821</w:t>
            </w:r>
          </w:p>
        </w:tc>
        <w:tc>
          <w:tcPr>
            <w:tcW w:w="0" w:type="dxa"/>
            <w:vAlign w:val="bottom"/>
          </w:tcPr>
          <w:p>
            <w:pPr>
              <w:spacing w:after="0"/>
              <w:rPr>
                <w:sz w:val="1"/>
                <w:szCs w:val="1"/>
                <w:color w:val="auto"/>
              </w:rPr>
            </w:pPr>
          </w:p>
        </w:tc>
      </w:tr>
      <w:tr>
        <w:trPr>
          <w:trHeight w:val="188"/>
        </w:trPr>
        <w:tc>
          <w:tcPr>
            <w:tcW w:w="8380" w:type="dxa"/>
            <w:vAlign w:val="bottom"/>
          </w:tcPr>
          <w:p>
            <w:pPr>
              <w:spacing w:after="0"/>
              <w:rPr>
                <w:sz w:val="20"/>
                <w:szCs w:val="20"/>
                <w:color w:val="auto"/>
              </w:rPr>
            </w:pPr>
            <w:r>
              <w:rPr>
                <w:rFonts w:ascii="Times New Roman" w:cs="Times New Roman" w:eastAsia="Times New Roman" w:hAnsi="Times New Roman"/>
                <w:sz w:val="14"/>
                <w:szCs w:val="14"/>
                <w:color w:val="auto"/>
              </w:rPr>
              <w:t>Due after ten years</w:t>
            </w:r>
          </w:p>
        </w:tc>
        <w:tc>
          <w:tcPr>
            <w:tcW w:w="120" w:type="dxa"/>
            <w:vAlign w:val="bottom"/>
          </w:tcPr>
          <w:p>
            <w:pPr>
              <w:spacing w:after="0"/>
              <w:rPr>
                <w:sz w:val="16"/>
                <w:szCs w:val="16"/>
                <w:color w:val="auto"/>
              </w:rPr>
            </w:pPr>
          </w:p>
        </w:tc>
        <w:tc>
          <w:tcPr>
            <w:tcW w:w="1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20,335</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16,533</w:t>
            </w:r>
          </w:p>
        </w:tc>
        <w:tc>
          <w:tcPr>
            <w:tcW w:w="0" w:type="dxa"/>
            <w:vAlign w:val="bottom"/>
          </w:tcPr>
          <w:p>
            <w:pPr>
              <w:spacing w:after="0"/>
              <w:rPr>
                <w:sz w:val="1"/>
                <w:szCs w:val="1"/>
                <w:color w:val="auto"/>
              </w:rPr>
            </w:pPr>
          </w:p>
        </w:tc>
      </w:tr>
      <w:tr>
        <w:trPr>
          <w:trHeight w:val="24"/>
        </w:trPr>
        <w:tc>
          <w:tcPr>
            <w:tcW w:w="83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83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Subtotal</w:t>
            </w:r>
          </w:p>
        </w:tc>
        <w:tc>
          <w:tcPr>
            <w:tcW w:w="1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29,514</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25,397</w:t>
            </w:r>
          </w:p>
        </w:tc>
        <w:tc>
          <w:tcPr>
            <w:tcW w:w="0" w:type="dxa"/>
            <w:vAlign w:val="bottom"/>
          </w:tcPr>
          <w:p>
            <w:pPr>
              <w:spacing w:after="0"/>
              <w:rPr>
                <w:sz w:val="1"/>
                <w:szCs w:val="1"/>
                <w:color w:val="auto"/>
              </w:rPr>
            </w:pPr>
          </w:p>
        </w:tc>
      </w:tr>
      <w:tr>
        <w:trPr>
          <w:trHeight w:val="168"/>
        </w:trPr>
        <w:tc>
          <w:tcPr>
            <w:tcW w:w="8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Other securities, which provide for periodic payments:</w:t>
            </w:r>
          </w:p>
        </w:tc>
        <w:tc>
          <w:tcPr>
            <w:tcW w:w="12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8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8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Asset-backed securities</w:t>
            </w:r>
          </w:p>
        </w:tc>
        <w:tc>
          <w:tcPr>
            <w:tcW w:w="12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18,128</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17,849</w:t>
            </w:r>
          </w:p>
        </w:tc>
        <w:tc>
          <w:tcPr>
            <w:tcW w:w="0" w:type="dxa"/>
            <w:vAlign w:val="bottom"/>
          </w:tcPr>
          <w:p>
            <w:pPr>
              <w:spacing w:after="0"/>
              <w:rPr>
                <w:sz w:val="1"/>
                <w:szCs w:val="1"/>
                <w:color w:val="auto"/>
              </w:rPr>
            </w:pPr>
          </w:p>
        </w:tc>
      </w:tr>
      <w:tr>
        <w:trPr>
          <w:trHeight w:val="188"/>
        </w:trPr>
        <w:tc>
          <w:tcPr>
            <w:tcW w:w="8380" w:type="dxa"/>
            <w:vAlign w:val="bottom"/>
          </w:tcPr>
          <w:p>
            <w:pPr>
              <w:spacing w:after="0"/>
              <w:rPr>
                <w:sz w:val="20"/>
                <w:szCs w:val="20"/>
                <w:color w:val="auto"/>
              </w:rPr>
            </w:pPr>
            <w:r>
              <w:rPr>
                <w:rFonts w:ascii="Times New Roman" w:cs="Times New Roman" w:eastAsia="Times New Roman" w:hAnsi="Times New Roman"/>
                <w:sz w:val="14"/>
                <w:szCs w:val="14"/>
                <w:color w:val="auto"/>
              </w:rPr>
              <w:t>Commercial-mortgage-backed securities</w:t>
            </w:r>
          </w:p>
        </w:tc>
        <w:tc>
          <w:tcPr>
            <w:tcW w:w="120" w:type="dxa"/>
            <w:vAlign w:val="bottom"/>
          </w:tcPr>
          <w:p>
            <w:pPr>
              <w:spacing w:after="0"/>
              <w:rPr>
                <w:sz w:val="16"/>
                <w:szCs w:val="16"/>
                <w:color w:val="auto"/>
              </w:rPr>
            </w:pPr>
          </w:p>
        </w:tc>
        <w:tc>
          <w:tcPr>
            <w:tcW w:w="1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4,340</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4,106</w:t>
            </w:r>
          </w:p>
        </w:tc>
        <w:tc>
          <w:tcPr>
            <w:tcW w:w="0" w:type="dxa"/>
            <w:vAlign w:val="bottom"/>
          </w:tcPr>
          <w:p>
            <w:pPr>
              <w:spacing w:after="0"/>
              <w:rPr>
                <w:sz w:val="1"/>
                <w:szCs w:val="1"/>
                <w:color w:val="auto"/>
              </w:rPr>
            </w:pPr>
          </w:p>
        </w:tc>
      </w:tr>
      <w:tr>
        <w:trPr>
          <w:trHeight w:val="24"/>
        </w:trPr>
        <w:tc>
          <w:tcPr>
            <w:tcW w:w="8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8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Residential mortgage-backed securities</w:t>
            </w:r>
          </w:p>
        </w:tc>
        <w:tc>
          <w:tcPr>
            <w:tcW w:w="12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3,513</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3,360</w:t>
            </w:r>
          </w:p>
        </w:tc>
        <w:tc>
          <w:tcPr>
            <w:tcW w:w="0" w:type="dxa"/>
            <w:vAlign w:val="bottom"/>
          </w:tcPr>
          <w:p>
            <w:pPr>
              <w:spacing w:after="0"/>
              <w:rPr>
                <w:sz w:val="1"/>
                <w:szCs w:val="1"/>
                <w:color w:val="auto"/>
              </w:rPr>
            </w:pPr>
          </w:p>
        </w:tc>
      </w:tr>
      <w:tr>
        <w:trPr>
          <w:trHeight w:val="181"/>
        </w:trPr>
        <w:tc>
          <w:tcPr>
            <w:tcW w:w="83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Subtotal</w:t>
            </w:r>
          </w:p>
        </w:tc>
        <w:tc>
          <w:tcPr>
            <w:tcW w:w="12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25,981</w:t>
            </w:r>
          </w:p>
        </w:tc>
        <w:tc>
          <w:tcPr>
            <w:tcW w:w="8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25,315</w:t>
            </w:r>
          </w:p>
        </w:tc>
        <w:tc>
          <w:tcPr>
            <w:tcW w:w="0" w:type="dxa"/>
            <w:vAlign w:val="bottom"/>
          </w:tcPr>
          <w:p>
            <w:pPr>
              <w:spacing w:after="0"/>
              <w:rPr>
                <w:sz w:val="1"/>
                <w:szCs w:val="1"/>
                <w:color w:val="auto"/>
              </w:rPr>
            </w:pPr>
          </w:p>
        </w:tc>
      </w:tr>
      <w:tr>
        <w:trPr>
          <w:trHeight w:val="24"/>
        </w:trPr>
        <w:tc>
          <w:tcPr>
            <w:tcW w:w="83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b w:val="1"/>
                <w:bCs w:val="1"/>
                <w:color w:val="auto"/>
              </w:rPr>
              <w:t>Total fixed maturity available-for-sale securities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55,495</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50,712</w:t>
            </w:r>
          </w:p>
        </w:tc>
        <w:tc>
          <w:tcPr>
            <w:tcW w:w="0" w:type="dxa"/>
            <w:vAlign w:val="bottom"/>
          </w:tcPr>
          <w:p>
            <w:pPr>
              <w:spacing w:after="0"/>
              <w:rPr>
                <w:sz w:val="1"/>
                <w:szCs w:val="1"/>
                <w:color w:val="auto"/>
              </w:rPr>
            </w:pP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Non-Agency RMBS Exposure</w:t>
      </w:r>
    </w:p>
    <w:p>
      <w:pPr>
        <w:spacing w:after="0" w:line="16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investment in non-agency RMBS securities is predicated on the conservative and adequate cushion between purchase price and NAIC 1 rating, general lack of sensitivity to interest rates, positive convexity to prepayment rates, and correlation between the price of the securities and the unfolding recovery of the housing market.</w:t>
      </w:r>
    </w:p>
    <w:p>
      <w:pPr>
        <w:spacing w:after="0" w:line="7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fair value of our investments in subprime securities and Alternative-A ("Alt-A") RMBS securities were $4 million and $44 million as of September 30, 2026, respectively, and $4 million and $48 million as of December 31, 2025, respectively. As of September 30, 2026 and December 31, 2025, approximately 94% and 92%, respectively, of the subprime and Alt-A RMBS exposures were rated NAIC 2 or higher.</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ABS and CLO Exposures</w:t>
      </w:r>
    </w:p>
    <w:p>
      <w:pPr>
        <w:spacing w:after="0" w:line="11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Our ABS exposures are largely diversified by underlying collateral and issuer type. Our CLO exposures are generally senior tranches of CLOs, which have leveraged loans as their underlying collateral.</w:t>
      </w:r>
    </w:p>
    <w:p>
      <w:pPr>
        <w:spacing w:after="0" w:line="5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As of September 30, 2026, the CLO and ABS positions were trading at a net unrealized gain of $35 million and a net unrealized loss of $302 million, respectively. As of December 31, 2025, the CLO and ABS positions were trading at a net unrealized gain of $42 million and a net unrealized loss of $133 million, respectively.</w:t>
      </w:r>
    </w:p>
    <w:p>
      <w:pPr>
        <w:spacing w:after="0" w:line="8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summarizes the credit quality by NRSRO rating, or NAIC designation equivalent, of our AFS ABS portfolio as of September 30, 2026 and December 31, 2025.</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96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20" w:type="dxa"/>
            <w:vAlign w:val="bottom"/>
            <w:gridSpan w:val="3"/>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4"/>
        </w:trPr>
        <w:tc>
          <w:tcPr>
            <w:tcW w:w="196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196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380" w:type="dxa"/>
            <w:vAlign w:val="bottom"/>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80" w:type="dxa"/>
            <w:vAlign w:val="bottom"/>
          </w:tcPr>
          <w:p>
            <w:pPr>
              <w:spacing w:after="0"/>
              <w:rPr>
                <w:sz w:val="15"/>
                <w:szCs w:val="15"/>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320" w:type="dxa"/>
            <w:vAlign w:val="bottom"/>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4"/>
        </w:trPr>
        <w:tc>
          <w:tcPr>
            <w:tcW w:w="1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NRSRO Rating</w:t>
            </w:r>
          </w:p>
        </w:tc>
        <w:tc>
          <w:tcPr>
            <w:tcW w:w="4020" w:type="dxa"/>
            <w:vAlign w:val="bottom"/>
            <w:vMerge w:val="restart"/>
          </w:tcPr>
          <w:p>
            <w:pPr>
              <w:jc w:val="right"/>
              <w:ind w:right="1849"/>
              <w:spacing w:after="0"/>
              <w:rPr>
                <w:sz w:val="20"/>
                <w:szCs w:val="20"/>
                <w:color w:val="auto"/>
              </w:rPr>
            </w:pPr>
            <w:r>
              <w:rPr>
                <w:rFonts w:ascii="Times New Roman" w:cs="Times New Roman" w:eastAsia="Times New Roman" w:hAnsi="Times New Roman"/>
                <w:sz w:val="14"/>
                <w:szCs w:val="14"/>
                <w:b w:val="1"/>
                <w:bCs w:val="1"/>
                <w:color w:val="auto"/>
              </w:rPr>
              <w:t>NAIC Designation</w:t>
            </w: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5"/>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1960" w:type="dxa"/>
            <w:vAlign w:val="bottom"/>
            <w:vMerge w:val="continue"/>
          </w:tcPr>
          <w:p>
            <w:pPr>
              <w:spacing w:after="0"/>
              <w:rPr>
                <w:sz w:val="15"/>
                <w:szCs w:val="15"/>
                <w:color w:val="auto"/>
              </w:rPr>
            </w:pPr>
          </w:p>
        </w:tc>
        <w:tc>
          <w:tcPr>
            <w:tcW w:w="40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98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196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19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AAA/AA/A</w:t>
            </w:r>
          </w:p>
        </w:tc>
        <w:tc>
          <w:tcPr>
            <w:tcW w:w="4020" w:type="dxa"/>
            <w:vAlign w:val="bottom"/>
            <w:tcBorders>
              <w:bottom w:val="single" w:sz="8" w:color="CCEEFF"/>
            </w:tcBorders>
            <w:shd w:val="clear" w:color="auto" w:fill="CCEEFF"/>
          </w:tcPr>
          <w:p>
            <w:pPr>
              <w:jc w:val="right"/>
              <w:ind w:right="1409"/>
              <w:spacing w:after="0"/>
              <w:rPr>
                <w:sz w:val="20"/>
                <w:szCs w:val="20"/>
                <w:color w:val="auto"/>
              </w:rPr>
            </w:pPr>
            <w:r>
              <w:rPr>
                <w:rFonts w:ascii="Times New Roman" w:cs="Times New Roman" w:eastAsia="Times New Roman" w:hAnsi="Times New Roman"/>
                <w:sz w:val="14"/>
                <w:szCs w:val="14"/>
                <w:color w:val="auto"/>
              </w:rPr>
              <w:t>1</w:t>
            </w:r>
          </w:p>
        </w:tc>
        <w:tc>
          <w:tcPr>
            <w:tcW w:w="1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5,220</w:t>
            </w: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66 %</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5,457</w:t>
            </w:r>
          </w:p>
        </w:tc>
        <w:tc>
          <w:tcPr>
            <w:tcW w:w="1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70 %</w:t>
            </w:r>
          </w:p>
        </w:tc>
        <w:tc>
          <w:tcPr>
            <w:tcW w:w="0" w:type="dxa"/>
            <w:vAlign w:val="bottom"/>
          </w:tcPr>
          <w:p>
            <w:pPr>
              <w:spacing w:after="0"/>
              <w:rPr>
                <w:sz w:val="1"/>
                <w:szCs w:val="1"/>
                <w:color w:val="auto"/>
              </w:rPr>
            </w:pPr>
          </w:p>
        </w:tc>
      </w:tr>
      <w:tr>
        <w:trPr>
          <w:trHeight w:val="188"/>
        </w:trPr>
        <w:tc>
          <w:tcPr>
            <w:tcW w:w="19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BBB</w:t>
            </w:r>
          </w:p>
        </w:tc>
        <w:tc>
          <w:tcPr>
            <w:tcW w:w="4020" w:type="dxa"/>
            <w:vAlign w:val="bottom"/>
          </w:tcPr>
          <w:p>
            <w:pPr>
              <w:jc w:val="right"/>
              <w:ind w:right="1409"/>
              <w:spacing w:after="0"/>
              <w:rPr>
                <w:sz w:val="20"/>
                <w:szCs w:val="20"/>
                <w:color w:val="auto"/>
              </w:rPr>
            </w:pPr>
            <w:r>
              <w:rPr>
                <w:rFonts w:ascii="Times New Roman" w:cs="Times New Roman" w:eastAsia="Times New Roman" w:hAnsi="Times New Roman"/>
                <w:sz w:val="14"/>
                <w:szCs w:val="14"/>
                <w:color w:val="auto"/>
              </w:rPr>
              <w:t>2</w:t>
            </w: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2,303</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2,018</w:t>
            </w:r>
          </w:p>
        </w:tc>
        <w:tc>
          <w:tcPr>
            <w:tcW w:w="100" w:type="dxa"/>
            <w:vAlign w:val="bottom"/>
          </w:tcPr>
          <w:p>
            <w:pPr>
              <w:spacing w:after="0"/>
              <w:rPr>
                <w:sz w:val="16"/>
                <w:szCs w:val="16"/>
                <w:color w:val="auto"/>
              </w:rPr>
            </w:pPr>
          </w:p>
        </w:tc>
        <w:tc>
          <w:tcPr>
            <w:tcW w:w="13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24"/>
        </w:trPr>
        <w:tc>
          <w:tcPr>
            <w:tcW w:w="196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19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BB</w:t>
            </w:r>
          </w:p>
        </w:tc>
        <w:tc>
          <w:tcPr>
            <w:tcW w:w="4020" w:type="dxa"/>
            <w:vAlign w:val="bottom"/>
            <w:tcBorders>
              <w:bottom w:val="single" w:sz="8" w:color="CCEEFF"/>
            </w:tcBorders>
            <w:shd w:val="clear" w:color="auto" w:fill="CCEEFF"/>
          </w:tcPr>
          <w:p>
            <w:pPr>
              <w:jc w:val="right"/>
              <w:ind w:right="1409"/>
              <w:spacing w:after="0"/>
              <w:rPr>
                <w:sz w:val="20"/>
                <w:szCs w:val="20"/>
                <w:color w:val="auto"/>
              </w:rPr>
            </w:pPr>
            <w:r>
              <w:rPr>
                <w:rFonts w:ascii="Times New Roman" w:cs="Times New Roman" w:eastAsia="Times New Roman" w:hAnsi="Times New Roman"/>
                <w:sz w:val="14"/>
                <w:szCs w:val="14"/>
                <w:color w:val="auto"/>
              </w:rPr>
              <w:t>3</w:t>
            </w:r>
          </w:p>
        </w:tc>
        <w:tc>
          <w:tcPr>
            <w:tcW w:w="1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1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88"/>
        </w:trPr>
        <w:tc>
          <w:tcPr>
            <w:tcW w:w="19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B</w:t>
            </w:r>
          </w:p>
        </w:tc>
        <w:tc>
          <w:tcPr>
            <w:tcW w:w="4020" w:type="dxa"/>
            <w:vAlign w:val="bottom"/>
          </w:tcPr>
          <w:p>
            <w:pPr>
              <w:jc w:val="right"/>
              <w:ind w:right="1409"/>
              <w:spacing w:after="0"/>
              <w:rPr>
                <w:sz w:val="20"/>
                <w:szCs w:val="20"/>
                <w:color w:val="auto"/>
              </w:rPr>
            </w:pPr>
            <w:r>
              <w:rPr>
                <w:rFonts w:ascii="Times New Roman" w:cs="Times New Roman" w:eastAsia="Times New Roman" w:hAnsi="Times New Roman"/>
                <w:sz w:val="14"/>
                <w:szCs w:val="14"/>
                <w:color w:val="auto"/>
              </w:rPr>
              <w:t>4</w:t>
            </w: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6"/>
                <w:szCs w:val="16"/>
                <w:color w:val="auto"/>
              </w:rPr>
            </w:pPr>
          </w:p>
        </w:tc>
        <w:tc>
          <w:tcPr>
            <w:tcW w:w="13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196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19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CCC</w:t>
            </w:r>
          </w:p>
        </w:tc>
        <w:tc>
          <w:tcPr>
            <w:tcW w:w="4020" w:type="dxa"/>
            <w:vAlign w:val="bottom"/>
            <w:tcBorders>
              <w:bottom w:val="single" w:sz="8" w:color="CCEEFF"/>
            </w:tcBorders>
            <w:shd w:val="clear" w:color="auto" w:fill="CCEEFF"/>
          </w:tcPr>
          <w:p>
            <w:pPr>
              <w:jc w:val="right"/>
              <w:ind w:right="1409"/>
              <w:spacing w:after="0"/>
              <w:rPr>
                <w:sz w:val="20"/>
                <w:szCs w:val="20"/>
                <w:color w:val="auto"/>
              </w:rPr>
            </w:pPr>
            <w:r>
              <w:rPr>
                <w:rFonts w:ascii="Times New Roman" w:cs="Times New Roman" w:eastAsia="Times New Roman" w:hAnsi="Times New Roman"/>
                <w:sz w:val="14"/>
                <w:szCs w:val="14"/>
                <w:color w:val="auto"/>
              </w:rPr>
              <w:t>5</w:t>
            </w:r>
          </w:p>
        </w:tc>
        <w:tc>
          <w:tcPr>
            <w:tcW w:w="1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9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CC and lower</w:t>
            </w:r>
          </w:p>
        </w:tc>
        <w:tc>
          <w:tcPr>
            <w:tcW w:w="4020" w:type="dxa"/>
            <w:vAlign w:val="bottom"/>
          </w:tcPr>
          <w:p>
            <w:pPr>
              <w:jc w:val="right"/>
              <w:ind w:right="1409"/>
              <w:spacing w:after="0"/>
              <w:rPr>
                <w:sz w:val="20"/>
                <w:szCs w:val="20"/>
                <w:color w:val="auto"/>
              </w:rPr>
            </w:pPr>
            <w:r>
              <w:rPr>
                <w:rFonts w:ascii="Times New Roman" w:cs="Times New Roman" w:eastAsia="Times New Roman" w:hAnsi="Times New Roman"/>
                <w:sz w:val="14"/>
                <w:szCs w:val="14"/>
                <w:color w:val="auto"/>
              </w:rPr>
              <w:t>6</w:t>
            </w: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tcPr>
          <w:p>
            <w:pPr>
              <w:spacing w:after="0"/>
              <w:rPr>
                <w:sz w:val="16"/>
                <w:szCs w:val="16"/>
                <w:color w:val="auto"/>
              </w:rPr>
            </w:pPr>
          </w:p>
        </w:tc>
        <w:tc>
          <w:tcPr>
            <w:tcW w:w="13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4"/>
        </w:trPr>
        <w:tc>
          <w:tcPr>
            <w:tcW w:w="1960" w:type="dxa"/>
            <w:vAlign w:val="bottom"/>
            <w:tcBorders>
              <w:bottom w:val="single" w:sz="8" w:color="CCEEFF"/>
            </w:tcBorders>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7,923</w:t>
            </w:r>
          </w:p>
        </w:tc>
        <w:tc>
          <w:tcPr>
            <w:tcW w:w="1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7,842</w:t>
            </w:r>
          </w:p>
        </w:tc>
        <w:tc>
          <w:tcPr>
            <w:tcW w:w="1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4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ind w:firstLine="397"/>
        <w:spacing w:after="0" w:line="274" w:lineRule="auto"/>
        <w:rPr>
          <w:sz w:val="20"/>
          <w:szCs w:val="20"/>
          <w:color w:val="auto"/>
        </w:rPr>
      </w:pPr>
      <w:r>
        <w:rPr>
          <w:rFonts w:ascii="Times New Roman" w:cs="Times New Roman" w:eastAsia="Times New Roman" w:hAnsi="Times New Roman"/>
          <w:sz w:val="18"/>
          <w:szCs w:val="18"/>
          <w:color w:val="auto"/>
        </w:rPr>
        <w:t>The following table summarizes the credit quality by NRSRO rating, or NAIC designation equivalent, of our AFS CLO portfolio as of September 30, 2026 and December 31, 2025.</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0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40" w:type="dxa"/>
            <w:vAlign w:val="bottom"/>
            <w:gridSpan w:val="3"/>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4"/>
        </w:trPr>
        <w:tc>
          <w:tcPr>
            <w:tcW w:w="200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1"/>
        </w:trPr>
        <w:tc>
          <w:tcPr>
            <w:tcW w:w="200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60" w:type="dxa"/>
            <w:vAlign w:val="bottom"/>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80" w:type="dxa"/>
            <w:vAlign w:val="bottom"/>
          </w:tcPr>
          <w:p>
            <w:pPr>
              <w:spacing w:after="0"/>
              <w:rPr>
                <w:sz w:val="15"/>
                <w:szCs w:val="15"/>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40" w:type="dxa"/>
            <w:vAlign w:val="bottom"/>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212"/>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NRSRO Rating</w:t>
            </w:r>
          </w:p>
        </w:tc>
        <w:tc>
          <w:tcPr>
            <w:tcW w:w="4160" w:type="dxa"/>
            <w:vAlign w:val="bottom"/>
          </w:tcPr>
          <w:p>
            <w:pPr>
              <w:jc w:val="right"/>
              <w:ind w:right="1929"/>
              <w:spacing w:after="0"/>
              <w:rPr>
                <w:sz w:val="20"/>
                <w:szCs w:val="20"/>
                <w:color w:val="auto"/>
              </w:rPr>
            </w:pPr>
            <w:r>
              <w:rPr>
                <w:rFonts w:ascii="Times New Roman" w:cs="Times New Roman" w:eastAsia="Times New Roman" w:hAnsi="Times New Roman"/>
                <w:sz w:val="14"/>
                <w:szCs w:val="14"/>
                <w:b w:val="1"/>
                <w:bCs w:val="1"/>
                <w:color w:val="auto"/>
              </w:rPr>
              <w:t>NAIC Designation</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96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240" w:type="dxa"/>
            <w:vAlign w:val="bottom"/>
          </w:tcPr>
          <w:p>
            <w:pPr>
              <w:spacing w:after="0"/>
              <w:rPr>
                <w:sz w:val="18"/>
                <w:szCs w:val="18"/>
                <w:color w:val="auto"/>
              </w:rPr>
            </w:pPr>
          </w:p>
        </w:tc>
      </w:tr>
      <w:tr>
        <w:trPr>
          <w:trHeight w:val="24"/>
        </w:trPr>
        <w:tc>
          <w:tcPr>
            <w:tcW w:w="200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92"/>
        </w:trPr>
        <w:tc>
          <w:tcPr>
            <w:tcW w:w="20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AAA/AA/A</w:t>
            </w:r>
          </w:p>
        </w:tc>
        <w:tc>
          <w:tcPr>
            <w:tcW w:w="4160" w:type="dxa"/>
            <w:vAlign w:val="bottom"/>
            <w:tcBorders>
              <w:bottom w:val="single" w:sz="8" w:color="CCEEFF"/>
            </w:tcBorders>
            <w:shd w:val="clear" w:color="auto" w:fill="CCEEFF"/>
          </w:tcPr>
          <w:p>
            <w:pPr>
              <w:jc w:val="right"/>
              <w:ind w:right="1449"/>
              <w:spacing w:after="0"/>
              <w:rPr>
                <w:sz w:val="20"/>
                <w:szCs w:val="20"/>
                <w:color w:val="auto"/>
              </w:rPr>
            </w:pPr>
            <w:r>
              <w:rPr>
                <w:rFonts w:ascii="Times New Roman" w:cs="Times New Roman" w:eastAsia="Times New Roman" w:hAnsi="Times New Roman"/>
                <w:sz w:val="14"/>
                <w:szCs w:val="14"/>
                <w:color w:val="auto"/>
              </w:rPr>
              <w:t>1</w:t>
            </w:r>
          </w:p>
        </w:tc>
        <w:tc>
          <w:tcPr>
            <w:tcW w:w="1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6,748</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7,366</w:t>
            </w:r>
          </w:p>
        </w:tc>
        <w:tc>
          <w:tcPr>
            <w:tcW w:w="8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67%</w:t>
            </w:r>
          </w:p>
        </w:tc>
      </w:tr>
      <w:tr>
        <w:trPr>
          <w:trHeight w:val="188"/>
        </w:trPr>
        <w:tc>
          <w:tcPr>
            <w:tcW w:w="20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BBB</w:t>
            </w:r>
          </w:p>
        </w:tc>
        <w:tc>
          <w:tcPr>
            <w:tcW w:w="4160" w:type="dxa"/>
            <w:vAlign w:val="bottom"/>
          </w:tcPr>
          <w:p>
            <w:pPr>
              <w:jc w:val="right"/>
              <w:ind w:right="1449"/>
              <w:spacing w:after="0"/>
              <w:rPr>
                <w:sz w:val="20"/>
                <w:szCs w:val="20"/>
                <w:color w:val="auto"/>
              </w:rPr>
            </w:pPr>
            <w:r>
              <w:rPr>
                <w:rFonts w:ascii="Times New Roman" w:cs="Times New Roman" w:eastAsia="Times New Roman" w:hAnsi="Times New Roman"/>
                <w:sz w:val="14"/>
                <w:szCs w:val="14"/>
                <w:color w:val="auto"/>
              </w:rPr>
              <w:t>2</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2,237</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2,466</w:t>
            </w:r>
          </w:p>
        </w:tc>
        <w:tc>
          <w:tcPr>
            <w:tcW w:w="80" w:type="dxa"/>
            <w:vAlign w:val="bottom"/>
          </w:tcPr>
          <w:p>
            <w:pPr>
              <w:spacing w:after="0"/>
              <w:rPr>
                <w:sz w:val="16"/>
                <w:szCs w:val="16"/>
                <w:color w:val="auto"/>
              </w:rPr>
            </w:pPr>
          </w:p>
        </w:tc>
        <w:tc>
          <w:tcPr>
            <w:tcW w:w="12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23</w:t>
            </w:r>
          </w:p>
        </w:tc>
      </w:tr>
      <w:tr>
        <w:trPr>
          <w:trHeight w:val="24"/>
        </w:trPr>
        <w:tc>
          <w:tcPr>
            <w:tcW w:w="200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92"/>
        </w:trPr>
        <w:tc>
          <w:tcPr>
            <w:tcW w:w="20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BB</w:t>
            </w:r>
          </w:p>
        </w:tc>
        <w:tc>
          <w:tcPr>
            <w:tcW w:w="4160" w:type="dxa"/>
            <w:vAlign w:val="bottom"/>
            <w:tcBorders>
              <w:bottom w:val="single" w:sz="8" w:color="CCEEFF"/>
            </w:tcBorders>
            <w:shd w:val="clear" w:color="auto" w:fill="CCEEFF"/>
          </w:tcPr>
          <w:p>
            <w:pPr>
              <w:jc w:val="right"/>
              <w:ind w:right="1449"/>
              <w:spacing w:after="0"/>
              <w:rPr>
                <w:sz w:val="20"/>
                <w:szCs w:val="20"/>
                <w:color w:val="auto"/>
              </w:rPr>
            </w:pPr>
            <w:r>
              <w:rPr>
                <w:rFonts w:ascii="Times New Roman" w:cs="Times New Roman" w:eastAsia="Times New Roman" w:hAnsi="Times New Roman"/>
                <w:sz w:val="14"/>
                <w:szCs w:val="14"/>
                <w:color w:val="auto"/>
              </w:rPr>
              <w:t>3</w:t>
            </w:r>
          </w:p>
        </w:tc>
        <w:tc>
          <w:tcPr>
            <w:tcW w:w="1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684</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835</w:t>
            </w:r>
          </w:p>
        </w:tc>
        <w:tc>
          <w:tcPr>
            <w:tcW w:w="8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8</w:t>
            </w:r>
          </w:p>
        </w:tc>
      </w:tr>
      <w:tr>
        <w:trPr>
          <w:trHeight w:val="188"/>
        </w:trPr>
        <w:tc>
          <w:tcPr>
            <w:tcW w:w="20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B</w:t>
            </w:r>
          </w:p>
        </w:tc>
        <w:tc>
          <w:tcPr>
            <w:tcW w:w="4160" w:type="dxa"/>
            <w:vAlign w:val="bottom"/>
          </w:tcPr>
          <w:p>
            <w:pPr>
              <w:jc w:val="right"/>
              <w:ind w:right="1449"/>
              <w:spacing w:after="0"/>
              <w:rPr>
                <w:sz w:val="20"/>
                <w:szCs w:val="20"/>
                <w:color w:val="auto"/>
              </w:rPr>
            </w:pPr>
            <w:r>
              <w:rPr>
                <w:rFonts w:ascii="Times New Roman" w:cs="Times New Roman" w:eastAsia="Times New Roman" w:hAnsi="Times New Roman"/>
                <w:sz w:val="14"/>
                <w:szCs w:val="14"/>
                <w:color w:val="auto"/>
              </w:rPr>
              <w:t>4</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80" w:type="dxa"/>
            <w:vAlign w:val="bottom"/>
          </w:tcPr>
          <w:p>
            <w:pPr>
              <w:spacing w:after="0"/>
              <w:rPr>
                <w:sz w:val="16"/>
                <w:szCs w:val="16"/>
                <w:color w:val="auto"/>
              </w:rPr>
            </w:pPr>
          </w:p>
        </w:tc>
        <w:tc>
          <w:tcPr>
            <w:tcW w:w="12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w:t>
            </w:r>
          </w:p>
        </w:tc>
      </w:tr>
      <w:tr>
        <w:trPr>
          <w:trHeight w:val="24"/>
        </w:trPr>
        <w:tc>
          <w:tcPr>
            <w:tcW w:w="200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92"/>
        </w:trPr>
        <w:tc>
          <w:tcPr>
            <w:tcW w:w="20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CCC</w:t>
            </w:r>
          </w:p>
        </w:tc>
        <w:tc>
          <w:tcPr>
            <w:tcW w:w="4160" w:type="dxa"/>
            <w:vAlign w:val="bottom"/>
            <w:tcBorders>
              <w:bottom w:val="single" w:sz="8" w:color="CCEEFF"/>
            </w:tcBorders>
            <w:shd w:val="clear" w:color="auto" w:fill="CCEEFF"/>
          </w:tcPr>
          <w:p>
            <w:pPr>
              <w:jc w:val="right"/>
              <w:ind w:right="1449"/>
              <w:spacing w:after="0"/>
              <w:rPr>
                <w:sz w:val="20"/>
                <w:szCs w:val="20"/>
                <w:color w:val="auto"/>
              </w:rPr>
            </w:pPr>
            <w:r>
              <w:rPr>
                <w:rFonts w:ascii="Times New Roman" w:cs="Times New Roman" w:eastAsia="Times New Roman" w:hAnsi="Times New Roman"/>
                <w:sz w:val="14"/>
                <w:szCs w:val="14"/>
                <w:color w:val="auto"/>
              </w:rPr>
              <w:t>5</w:t>
            </w:r>
          </w:p>
        </w:tc>
        <w:tc>
          <w:tcPr>
            <w:tcW w:w="18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r>
      <w:tr>
        <w:trPr>
          <w:trHeight w:val="188"/>
        </w:trPr>
        <w:tc>
          <w:tcPr>
            <w:tcW w:w="20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CC and lower</w:t>
            </w:r>
          </w:p>
        </w:tc>
        <w:tc>
          <w:tcPr>
            <w:tcW w:w="4160" w:type="dxa"/>
            <w:vAlign w:val="bottom"/>
          </w:tcPr>
          <w:p>
            <w:pPr>
              <w:jc w:val="right"/>
              <w:ind w:right="1449"/>
              <w:spacing w:after="0"/>
              <w:rPr>
                <w:sz w:val="20"/>
                <w:szCs w:val="20"/>
                <w:color w:val="auto"/>
              </w:rPr>
            </w:pPr>
            <w:r>
              <w:rPr>
                <w:rFonts w:ascii="Times New Roman" w:cs="Times New Roman" w:eastAsia="Times New Roman" w:hAnsi="Times New Roman"/>
                <w:sz w:val="14"/>
                <w:szCs w:val="14"/>
                <w:color w:val="auto"/>
              </w:rPr>
              <w:t>6</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Pr>
          <w:p>
            <w:pPr>
              <w:spacing w:after="0"/>
              <w:rPr>
                <w:sz w:val="16"/>
                <w:szCs w:val="16"/>
                <w:color w:val="auto"/>
              </w:rPr>
            </w:pPr>
          </w:p>
        </w:tc>
        <w:tc>
          <w:tcPr>
            <w:tcW w:w="12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r>
      <w:tr>
        <w:trPr>
          <w:trHeight w:val="24"/>
        </w:trPr>
        <w:tc>
          <w:tcPr>
            <w:tcW w:w="2000" w:type="dxa"/>
            <w:vAlign w:val="bottom"/>
            <w:tcBorders>
              <w:bottom w:val="single" w:sz="8" w:color="CCEEFF"/>
            </w:tcBorders>
          </w:tcPr>
          <w:p>
            <w:pPr>
              <w:spacing w:after="0"/>
              <w:rPr>
                <w:sz w:val="2"/>
                <w:szCs w:val="2"/>
                <w:color w:val="auto"/>
              </w:rPr>
            </w:pPr>
          </w:p>
        </w:tc>
        <w:tc>
          <w:tcPr>
            <w:tcW w:w="4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0"/>
        </w:trPr>
        <w:tc>
          <w:tcPr>
            <w:tcW w:w="2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1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9,926</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10,890</w:t>
            </w:r>
          </w:p>
        </w:tc>
        <w:tc>
          <w:tcPr>
            <w:tcW w:w="8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100%</w:t>
            </w: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Municipal Bond Exposure</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our municipal bond exposure as of September 30, 2026 and December 31, 2025.</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80" w:type="dxa"/>
            <w:vAlign w:val="bottom"/>
            <w:gridSpan w:val="5"/>
          </w:tcPr>
          <w:p>
            <w:pPr>
              <w:ind w:left="68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40" w:type="dxa"/>
            <w:vAlign w:val="bottom"/>
          </w:tcPr>
          <w:p>
            <w:pPr>
              <w:spacing w:after="0"/>
              <w:rPr>
                <w:sz w:val="16"/>
                <w:szCs w:val="16"/>
                <w:color w:val="auto"/>
              </w:rPr>
            </w:pPr>
          </w:p>
        </w:tc>
        <w:tc>
          <w:tcPr>
            <w:tcW w:w="2700" w:type="dxa"/>
            <w:vAlign w:val="bottom"/>
            <w:gridSpan w:val="4"/>
          </w:tcPr>
          <w:p>
            <w:pPr>
              <w:jc w:val="right"/>
              <w:ind w:right="789"/>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4"/>
        </w:trPr>
        <w:tc>
          <w:tcPr>
            <w:tcW w:w="53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1"/>
        </w:trPr>
        <w:tc>
          <w:tcPr>
            <w:tcW w:w="5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20" w:type="dxa"/>
            <w:vAlign w:val="bottom"/>
          </w:tcPr>
          <w:p>
            <w:pPr>
              <w:spacing w:after="0"/>
              <w:rPr>
                <w:sz w:val="15"/>
                <w:szCs w:val="15"/>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15"/>
                <w:szCs w:val="15"/>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40" w:type="dxa"/>
            <w:vAlign w:val="bottom"/>
          </w:tcPr>
          <w:p>
            <w:pPr>
              <w:spacing w:after="0"/>
              <w:rPr>
                <w:sz w:val="15"/>
                <w:szCs w:val="15"/>
                <w:color w:val="auto"/>
              </w:rPr>
            </w:pPr>
          </w:p>
        </w:tc>
        <w:tc>
          <w:tcPr>
            <w:tcW w:w="1140" w:type="dxa"/>
            <w:vAlign w:val="bottom"/>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4"/>
        </w:trPr>
        <w:tc>
          <w:tcPr>
            <w:tcW w:w="53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1"/>
        </w:trPr>
        <w:tc>
          <w:tcPr>
            <w:tcW w:w="5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0" w:type="dxa"/>
            <w:vAlign w:val="bottom"/>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12"/>
        </w:trPr>
        <w:tc>
          <w:tcPr>
            <w:tcW w:w="5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General obligation bonds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209</w:t>
            </w:r>
          </w:p>
        </w:tc>
        <w:tc>
          <w:tcPr>
            <w:tcW w:w="80" w:type="dxa"/>
            <w:vAlign w:val="bottom"/>
          </w:tcPr>
          <w:p>
            <w:pPr>
              <w:spacing w:after="0"/>
              <w:rPr>
                <w:sz w:val="18"/>
                <w:szCs w:val="18"/>
                <w:color w:val="auto"/>
              </w:rPr>
            </w:pP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221</w:t>
            </w:r>
          </w:p>
        </w:tc>
        <w:tc>
          <w:tcPr>
            <w:tcW w:w="80" w:type="dxa"/>
            <w:vAlign w:val="bottom"/>
          </w:tcPr>
          <w:p>
            <w:pPr>
              <w:spacing w:after="0"/>
              <w:rPr>
                <w:sz w:val="18"/>
                <w:szCs w:val="18"/>
                <w:color w:val="auto"/>
              </w:rPr>
            </w:pP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w:t>
            </w:r>
          </w:p>
        </w:tc>
      </w:tr>
      <w:tr>
        <w:trPr>
          <w:trHeight w:val="24"/>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2"/>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Special revenue bonds</w:t>
            </w:r>
          </w:p>
        </w:tc>
        <w:tc>
          <w:tcPr>
            <w:tcW w:w="1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1,307</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1,049</w:t>
            </w:r>
          </w:p>
        </w:tc>
        <w:tc>
          <w:tcPr>
            <w:tcW w:w="2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1,325</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1,156</w:t>
            </w:r>
          </w:p>
        </w:tc>
      </w:tr>
      <w:tr>
        <w:trPr>
          <w:trHeight w:val="188"/>
        </w:trPr>
        <w:tc>
          <w:tcPr>
            <w:tcW w:w="5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Certificate participations</w:t>
            </w:r>
          </w:p>
        </w:tc>
        <w:tc>
          <w:tcPr>
            <w:tcW w:w="140" w:type="dxa"/>
            <w:vAlign w:val="bottom"/>
          </w:tcPr>
          <w:p>
            <w:pPr>
              <w:spacing w:after="0"/>
              <w:rPr>
                <w:sz w:val="16"/>
                <w:szCs w:val="16"/>
                <w:color w:val="auto"/>
              </w:rPr>
            </w:pPr>
          </w:p>
        </w:tc>
        <w:tc>
          <w:tcPr>
            <w:tcW w:w="12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24"/>
        </w:trPr>
        <w:tc>
          <w:tcPr>
            <w:tcW w:w="53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0"/>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1,532</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1,224</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1,562</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1,355</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jc w:val="both"/>
        <w:ind w:firstLine="397"/>
        <w:spacing w:after="0" w:line="259" w:lineRule="auto"/>
        <w:rPr>
          <w:sz w:val="20"/>
          <w:szCs w:val="20"/>
          <w:color w:val="auto"/>
        </w:rPr>
      </w:pPr>
      <w:r>
        <w:rPr>
          <w:rFonts w:ascii="Times New Roman" w:cs="Times New Roman" w:eastAsia="Times New Roman" w:hAnsi="Times New Roman"/>
          <w:sz w:val="18"/>
          <w:szCs w:val="18"/>
          <w:color w:val="auto"/>
        </w:rPr>
        <w:t>Across all municipal bonds, the largest issuer represented 5% and 4%, respectively, of the category and less than 1% of the total portfolio for both September 30, 2026 and December 31, 2025, and is rated NAIC 1 as of September 30, 2026. Our focus within municipal bonds is on NAIC 1 rated instruments, with 99% and 98%, respectively, of our municipal bond exposure rated NAIC 1 as of September 30, 2026 and December 31, 2025.</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Mortgage Loans</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Commercial Mortgage Loans</w:t>
      </w:r>
    </w:p>
    <w:p>
      <w:pPr>
        <w:spacing w:after="0" w:line="11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diversify our commercial mortgage loans ("CMLs") portfolio by geographic region and property type to attempt to reduce concentration risk. We continuously evaluate CMLs based on relevant current information to ensure properties are performing at a level to secure the related debt. Loan-to-value ("LTV") and debt-service coverage ("DSC") ratios are utilized to assess the risk and quality of CMLs. As of September 30, 2026 and December 31, 2025, our mortgage loans on real estate portfolio had a weighted average DSC ratio of 1.9 times and 2.3 times, respectively, and a weighted average LTV ratio of 56% and 57%, respectively.</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 xml:space="preserve">We consider a CML delinquent when a loan payment is greater than 30 days past due. For mortgage loans that are determined to require foreclosure, the carrying value is reduced to the fair value of the underlying collateral, net of estimated costs to obtain and sell at the point of foreclosure. As of September 30, 2026 and December 31, 2025, we had one CML that was delinquent in principal or interest payments. We had no CMLs in the process of foreclosure as of September 30, 2026 and December 31, 2025. See Note D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xml:space="preserve"> to the unaudited Condensed Consolidated Financial Statements included in this report for additional information on our CMLs, including our distribution by property type, geographic region, LTV, and DSC ratios.</w:t>
      </w:r>
    </w:p>
    <w:p>
      <w:pPr>
        <w:spacing w:after="0" w:line="7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Residential Mortgage Loans</w:t>
      </w:r>
    </w:p>
    <w:p>
      <w:pPr>
        <w:spacing w:after="0" w:line="11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residential mortgage loans ("RMLs") are primarily closed end, amortizing loans, and 100% of the properties are in the United States. We diversify our RML portfolio by state to attempt to reduce concentration risk. RMLs have a primary credit quality indicator of either a performing or non-performing loan. We define non-performing RMLs as those that are 90 or more days past due and/or in non-accrual status.</w:t>
      </w:r>
    </w:p>
    <w:p>
      <w:pPr>
        <w:spacing w:after="0" w:line="7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 xml:space="preserve">Loans are placed on non-accrual status when they are over 90 days delinquent. If a loan becomes over 90 days delinquent, it is our general policy to initiate foreclosure proceedings unless a workout arrangement to bring the loan current can be put in place. See Note D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xml:space="preserve"> to the unaudited Condensed Consolidated Financial Statements included in this Quarterly Report on Form 10-Q for additional information on our RMLs.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Unrealized Losses</w:t>
      </w:r>
    </w:p>
    <w:p>
      <w:pPr>
        <w:spacing w:after="0" w:line="1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amortized cost and fair value of the fixed maturity AFS securities and the equity securities that were in an unrealized loss position as of</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2026 and December 31, 2025, were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3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3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9"/>
        </w:trPr>
        <w:tc>
          <w:tcPr>
            <w:tcW w:w="5340" w:type="dxa"/>
            <w:vAlign w:val="bottom"/>
          </w:tcPr>
          <w:p>
            <w:pPr>
              <w:spacing w:after="0"/>
              <w:rPr>
                <w:sz w:val="12"/>
                <w:szCs w:val="12"/>
                <w:color w:val="auto"/>
              </w:rPr>
            </w:pPr>
          </w:p>
        </w:tc>
        <w:tc>
          <w:tcPr>
            <w:tcW w:w="12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20"/>
              <w:spacing w:after="0" w:line="139" w:lineRule="exact"/>
              <w:rPr>
                <w:sz w:val="20"/>
                <w:szCs w:val="20"/>
                <w:color w:val="auto"/>
              </w:rPr>
            </w:pPr>
            <w:r>
              <w:rPr>
                <w:rFonts w:ascii="Times New Roman" w:cs="Times New Roman" w:eastAsia="Times New Roman" w:hAnsi="Times New Roman"/>
                <w:sz w:val="14"/>
                <w:szCs w:val="14"/>
                <w:b w:val="1"/>
                <w:bCs w:val="1"/>
                <w:color w:val="auto"/>
              </w:rPr>
              <w:t>Allowance for</w:t>
            </w:r>
          </w:p>
        </w:tc>
        <w:tc>
          <w:tcPr>
            <w:tcW w:w="160" w:type="dxa"/>
            <w:vAlign w:val="bottom"/>
          </w:tcPr>
          <w:p>
            <w:pPr>
              <w:spacing w:after="0"/>
              <w:rPr>
                <w:sz w:val="12"/>
                <w:szCs w:val="12"/>
                <w:color w:val="auto"/>
              </w:rPr>
            </w:pPr>
          </w:p>
        </w:tc>
        <w:tc>
          <w:tcPr>
            <w:tcW w:w="10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3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100" w:type="dxa"/>
            <w:vAlign w:val="bottom"/>
            <w:gridSpan w:val="2"/>
            <w:vMerge w:val="restart"/>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00" w:type="dxa"/>
            <w:vAlign w:val="bottom"/>
          </w:tcPr>
          <w:p>
            <w:pPr>
              <w:spacing w:after="0"/>
              <w:rPr>
                <w:sz w:val="12"/>
                <w:szCs w:val="12"/>
                <w:color w:val="auto"/>
              </w:rPr>
            </w:pPr>
          </w:p>
        </w:tc>
        <w:tc>
          <w:tcPr>
            <w:tcW w:w="1200" w:type="dxa"/>
            <w:vAlign w:val="bottom"/>
            <w:gridSpan w:val="3"/>
          </w:tcPr>
          <w:p>
            <w:pPr>
              <w:jc w:val="right"/>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Expected Credit</w:t>
            </w:r>
          </w:p>
        </w:tc>
        <w:tc>
          <w:tcPr>
            <w:tcW w:w="1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restart"/>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5340" w:type="dxa"/>
            <w:vAlign w:val="bottom"/>
          </w:tcPr>
          <w:p>
            <w:pPr>
              <w:spacing w:after="0"/>
              <w:rPr>
                <w:sz w:val="16"/>
                <w:szCs w:val="16"/>
                <w:color w:val="auto"/>
              </w:rPr>
            </w:pPr>
          </w:p>
        </w:tc>
        <w:tc>
          <w:tcPr>
            <w:tcW w:w="120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1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Fixed maturity securities, available for sale:</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30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53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United States Government full faith and credit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w:t>
            </w:r>
          </w:p>
        </w:tc>
        <w:tc>
          <w:tcPr>
            <w:tcW w:w="0" w:type="dxa"/>
            <w:vAlign w:val="bottom"/>
          </w:tcPr>
          <w:p>
            <w:pPr>
              <w:spacing w:after="0"/>
              <w:rPr>
                <w:sz w:val="1"/>
                <w:szCs w:val="1"/>
                <w:color w:val="auto"/>
              </w:rPr>
            </w:pPr>
          </w:p>
        </w:tc>
      </w:tr>
      <w:tr>
        <w:trPr>
          <w:trHeight w:val="188"/>
        </w:trPr>
        <w:tc>
          <w:tcPr>
            <w:tcW w:w="53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United States Government sponsored entities</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1,094</w:t>
            </w:r>
          </w:p>
        </w:tc>
        <w:tc>
          <w:tcPr>
            <w:tcW w:w="0" w:type="dxa"/>
            <w:vAlign w:val="bottom"/>
          </w:tcPr>
          <w:p>
            <w:pPr>
              <w:spacing w:after="0"/>
              <w:rPr>
                <w:sz w:val="1"/>
                <w:szCs w:val="1"/>
                <w:color w:val="auto"/>
              </w:rPr>
            </w:pPr>
          </w:p>
        </w:tc>
      </w:tr>
      <w:tr>
        <w:trPr>
          <w:trHeight w:val="24"/>
        </w:trPr>
        <w:tc>
          <w:tcPr>
            <w:tcW w:w="5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53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United States municipalities, states and territories</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1,502</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1,193</w:t>
            </w:r>
          </w:p>
        </w:tc>
        <w:tc>
          <w:tcPr>
            <w:tcW w:w="0" w:type="dxa"/>
            <w:vAlign w:val="bottom"/>
          </w:tcPr>
          <w:p>
            <w:pPr>
              <w:spacing w:after="0"/>
              <w:rPr>
                <w:sz w:val="1"/>
                <w:szCs w:val="1"/>
                <w:color w:val="auto"/>
              </w:rPr>
            </w:pPr>
          </w:p>
        </w:tc>
      </w:tr>
      <w:tr>
        <w:trPr>
          <w:trHeight w:val="188"/>
        </w:trPr>
        <w:tc>
          <w:tcPr>
            <w:tcW w:w="5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Foreign Governments</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0" w:type="dxa"/>
            <w:vAlign w:val="bottom"/>
          </w:tcPr>
          <w:p>
            <w:pPr>
              <w:spacing w:after="0"/>
              <w:rPr>
                <w:sz w:val="1"/>
                <w:szCs w:val="1"/>
                <w:color w:val="auto"/>
              </w:rPr>
            </w:pPr>
          </w:p>
        </w:tc>
      </w:tr>
      <w:tr>
        <w:trPr>
          <w:trHeight w:val="24"/>
        </w:trPr>
        <w:tc>
          <w:tcPr>
            <w:tcW w:w="5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 securities:</w:t>
            </w:r>
          </w:p>
        </w:tc>
        <w:tc>
          <w:tcPr>
            <w:tcW w:w="1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3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Finance, insurance and real estate</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8,261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7,354</w:t>
            </w:r>
          </w:p>
        </w:tc>
        <w:tc>
          <w:tcPr>
            <w:tcW w:w="0" w:type="dxa"/>
            <w:vAlign w:val="bottom"/>
          </w:tcPr>
          <w:p>
            <w:pPr>
              <w:spacing w:after="0"/>
              <w:rPr>
                <w:sz w:val="1"/>
                <w:szCs w:val="1"/>
                <w:color w:val="auto"/>
              </w:rPr>
            </w:pPr>
          </w:p>
        </w:tc>
      </w:tr>
      <w:tr>
        <w:trPr>
          <w:trHeight w:val="24"/>
        </w:trPr>
        <w:tc>
          <w:tcPr>
            <w:tcW w:w="5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53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Manufacturing, construction and mining</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1,296</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1,104</w:t>
            </w:r>
          </w:p>
        </w:tc>
        <w:tc>
          <w:tcPr>
            <w:tcW w:w="0" w:type="dxa"/>
            <w:vAlign w:val="bottom"/>
          </w:tcPr>
          <w:p>
            <w:pPr>
              <w:spacing w:after="0"/>
              <w:rPr>
                <w:sz w:val="1"/>
                <w:szCs w:val="1"/>
                <w:color w:val="auto"/>
              </w:rPr>
            </w:pPr>
          </w:p>
        </w:tc>
      </w:tr>
      <w:tr>
        <w:trPr>
          <w:trHeight w:val="188"/>
        </w:trPr>
        <w:tc>
          <w:tcPr>
            <w:tcW w:w="53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Utilities, energy and related sectors</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3,877</w:t>
            </w:r>
          </w:p>
        </w:tc>
        <w:tc>
          <w:tcPr>
            <w:tcW w:w="0" w:type="dxa"/>
            <w:vAlign w:val="bottom"/>
          </w:tcPr>
          <w:p>
            <w:pPr>
              <w:spacing w:after="0"/>
              <w:rPr>
                <w:sz w:val="1"/>
                <w:szCs w:val="1"/>
                <w:color w:val="auto"/>
              </w:rPr>
            </w:pPr>
          </w:p>
        </w:tc>
      </w:tr>
      <w:tr>
        <w:trPr>
          <w:trHeight w:val="24"/>
        </w:trPr>
        <w:tc>
          <w:tcPr>
            <w:tcW w:w="5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53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Wholesale/retail trade</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4,221</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3,554</w:t>
            </w:r>
          </w:p>
        </w:tc>
        <w:tc>
          <w:tcPr>
            <w:tcW w:w="0" w:type="dxa"/>
            <w:vAlign w:val="bottom"/>
          </w:tcPr>
          <w:p>
            <w:pPr>
              <w:spacing w:after="0"/>
              <w:rPr>
                <w:sz w:val="1"/>
                <w:szCs w:val="1"/>
                <w:color w:val="auto"/>
              </w:rPr>
            </w:pPr>
          </w:p>
        </w:tc>
      </w:tr>
      <w:tr>
        <w:trPr>
          <w:trHeight w:val="188"/>
        </w:trPr>
        <w:tc>
          <w:tcPr>
            <w:tcW w:w="53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Services, media and other</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6,234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4,994</w:t>
            </w:r>
          </w:p>
        </w:tc>
        <w:tc>
          <w:tcPr>
            <w:tcW w:w="0" w:type="dxa"/>
            <w:vAlign w:val="bottom"/>
          </w:tcPr>
          <w:p>
            <w:pPr>
              <w:spacing w:after="0"/>
              <w:rPr>
                <w:sz w:val="1"/>
                <w:szCs w:val="1"/>
                <w:color w:val="auto"/>
              </w:rPr>
            </w:pPr>
          </w:p>
        </w:tc>
      </w:tr>
      <w:tr>
        <w:trPr>
          <w:trHeight w:val="24"/>
        </w:trPr>
        <w:tc>
          <w:tcPr>
            <w:tcW w:w="5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Hybrid securities</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w:t>
            </w:r>
          </w:p>
        </w:tc>
        <w:tc>
          <w:tcPr>
            <w:tcW w:w="0" w:type="dxa"/>
            <w:vAlign w:val="bottom"/>
          </w:tcPr>
          <w:p>
            <w:pPr>
              <w:spacing w:after="0"/>
              <w:rPr>
                <w:sz w:val="1"/>
                <w:szCs w:val="1"/>
                <w:color w:val="auto"/>
              </w:rPr>
            </w:pPr>
          </w:p>
        </w:tc>
      </w:tr>
      <w:tr>
        <w:trPr>
          <w:trHeight w:val="188"/>
        </w:trPr>
        <w:tc>
          <w:tcPr>
            <w:tcW w:w="5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Non-agency residential mortgage-backed securities</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1,583</w:t>
            </w:r>
          </w:p>
        </w:tc>
        <w:tc>
          <w:tcPr>
            <w:tcW w:w="0" w:type="dxa"/>
            <w:vAlign w:val="bottom"/>
          </w:tcPr>
          <w:p>
            <w:pPr>
              <w:spacing w:after="0"/>
              <w:rPr>
                <w:sz w:val="1"/>
                <w:szCs w:val="1"/>
                <w:color w:val="auto"/>
              </w:rPr>
            </w:pPr>
          </w:p>
        </w:tc>
      </w:tr>
      <w:tr>
        <w:trPr>
          <w:trHeight w:val="24"/>
        </w:trPr>
        <w:tc>
          <w:tcPr>
            <w:tcW w:w="5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Non-agency commercial mortgage-backed securities</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2,653</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2,429</w:t>
            </w:r>
          </w:p>
        </w:tc>
        <w:tc>
          <w:tcPr>
            <w:tcW w:w="0" w:type="dxa"/>
            <w:vAlign w:val="bottom"/>
          </w:tcPr>
          <w:p>
            <w:pPr>
              <w:spacing w:after="0"/>
              <w:rPr>
                <w:sz w:val="1"/>
                <w:szCs w:val="1"/>
                <w:color w:val="auto"/>
              </w:rPr>
            </w:pPr>
          </w:p>
        </w:tc>
      </w:tr>
      <w:tr>
        <w:trPr>
          <w:trHeight w:val="188"/>
        </w:trPr>
        <w:tc>
          <w:tcPr>
            <w:tcW w:w="5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Asset-backed securities</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7,580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7,180</w:t>
            </w:r>
          </w:p>
        </w:tc>
        <w:tc>
          <w:tcPr>
            <w:tcW w:w="0" w:type="dxa"/>
            <w:vAlign w:val="bottom"/>
          </w:tcPr>
          <w:p>
            <w:pPr>
              <w:spacing w:after="0"/>
              <w:rPr>
                <w:sz w:val="1"/>
                <w:szCs w:val="1"/>
                <w:color w:val="auto"/>
              </w:rPr>
            </w:pPr>
          </w:p>
        </w:tc>
      </w:tr>
      <w:tr>
        <w:trPr>
          <w:trHeight w:val="24"/>
        </w:trPr>
        <w:tc>
          <w:tcPr>
            <w:tcW w:w="53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53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Total fixed maturity available for sale securities</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7,359</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40,462</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(4,892)</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35,509</w:t>
            </w:r>
          </w:p>
        </w:tc>
        <w:tc>
          <w:tcPr>
            <w:tcW w:w="0" w:type="dxa"/>
            <w:vAlign w:val="bottom"/>
          </w:tcPr>
          <w:p>
            <w:pPr>
              <w:spacing w:after="0"/>
              <w:rPr>
                <w:sz w:val="1"/>
                <w:szCs w:val="1"/>
                <w:color w:val="auto"/>
              </w:rPr>
            </w:pPr>
          </w:p>
        </w:tc>
      </w:tr>
      <w:tr>
        <w:trPr>
          <w:trHeight w:val="188"/>
        </w:trPr>
        <w:tc>
          <w:tcPr>
            <w:tcW w:w="5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securities</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0" w:type="dxa"/>
            <w:vAlign w:val="bottom"/>
          </w:tcPr>
          <w:p>
            <w:pPr>
              <w:spacing w:after="0"/>
              <w:rPr>
                <w:sz w:val="1"/>
                <w:szCs w:val="1"/>
                <w:color w:val="auto"/>
              </w:rPr>
            </w:pPr>
          </w:p>
        </w:tc>
      </w:tr>
      <w:tr>
        <w:trPr>
          <w:trHeight w:val="24"/>
        </w:trPr>
        <w:tc>
          <w:tcPr>
            <w:tcW w:w="53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53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Total investments</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7,384</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40,770</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35,708</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5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53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9"/>
        </w:trPr>
        <w:tc>
          <w:tcPr>
            <w:tcW w:w="5340" w:type="dxa"/>
            <w:vAlign w:val="bottom"/>
          </w:tcPr>
          <w:p>
            <w:pPr>
              <w:spacing w:after="0"/>
              <w:rPr>
                <w:sz w:val="12"/>
                <w:szCs w:val="12"/>
                <w:color w:val="auto"/>
              </w:rPr>
            </w:pPr>
          </w:p>
        </w:tc>
        <w:tc>
          <w:tcPr>
            <w:tcW w:w="12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20"/>
              <w:spacing w:after="0" w:line="139" w:lineRule="exact"/>
              <w:rPr>
                <w:sz w:val="20"/>
                <w:szCs w:val="20"/>
                <w:color w:val="auto"/>
              </w:rPr>
            </w:pPr>
            <w:r>
              <w:rPr>
                <w:rFonts w:ascii="Times New Roman" w:cs="Times New Roman" w:eastAsia="Times New Roman" w:hAnsi="Times New Roman"/>
                <w:sz w:val="14"/>
                <w:szCs w:val="14"/>
                <w:b w:val="1"/>
                <w:bCs w:val="1"/>
                <w:color w:val="auto"/>
              </w:rPr>
              <w:t>Allowance for</w:t>
            </w:r>
          </w:p>
        </w:tc>
        <w:tc>
          <w:tcPr>
            <w:tcW w:w="160" w:type="dxa"/>
            <w:vAlign w:val="bottom"/>
          </w:tcPr>
          <w:p>
            <w:pPr>
              <w:spacing w:after="0"/>
              <w:rPr>
                <w:sz w:val="12"/>
                <w:szCs w:val="12"/>
                <w:color w:val="auto"/>
              </w:rPr>
            </w:pPr>
          </w:p>
        </w:tc>
        <w:tc>
          <w:tcPr>
            <w:tcW w:w="10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3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100" w:type="dxa"/>
            <w:vAlign w:val="bottom"/>
            <w:gridSpan w:val="2"/>
            <w:vMerge w:val="restart"/>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00" w:type="dxa"/>
            <w:vAlign w:val="bottom"/>
          </w:tcPr>
          <w:p>
            <w:pPr>
              <w:spacing w:after="0"/>
              <w:rPr>
                <w:sz w:val="12"/>
                <w:szCs w:val="12"/>
                <w:color w:val="auto"/>
              </w:rPr>
            </w:pPr>
          </w:p>
        </w:tc>
        <w:tc>
          <w:tcPr>
            <w:tcW w:w="1200" w:type="dxa"/>
            <w:vAlign w:val="bottom"/>
            <w:gridSpan w:val="3"/>
          </w:tcPr>
          <w:p>
            <w:pPr>
              <w:jc w:val="right"/>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Expected Credit</w:t>
            </w:r>
          </w:p>
        </w:tc>
        <w:tc>
          <w:tcPr>
            <w:tcW w:w="1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restart"/>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534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1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Fixed maturity securities, available for sale:</w:t>
            </w:r>
          </w:p>
        </w:tc>
        <w:tc>
          <w:tcPr>
            <w:tcW w:w="1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gridSpan w:val="4"/>
            <w:shd w:val="clear" w:color="auto" w:fill="CCEEFF"/>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3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United States Government full faith and credit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6"/>
                <w:szCs w:val="16"/>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0" w:type="dxa"/>
            <w:vAlign w:val="bottom"/>
          </w:tcPr>
          <w:p>
            <w:pPr>
              <w:spacing w:after="0"/>
              <w:rPr>
                <w:sz w:val="1"/>
                <w:szCs w:val="1"/>
                <w:color w:val="auto"/>
              </w:rPr>
            </w:pPr>
          </w:p>
        </w:tc>
      </w:tr>
      <w:tr>
        <w:trPr>
          <w:trHeight w:val="24"/>
        </w:trPr>
        <w:tc>
          <w:tcPr>
            <w:tcW w:w="5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53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United States Government sponsored entities</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88"/>
        </w:trPr>
        <w:tc>
          <w:tcPr>
            <w:tcW w:w="53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United States municipalities, states and territories</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1,213</w:t>
            </w:r>
          </w:p>
        </w:tc>
        <w:tc>
          <w:tcPr>
            <w:tcW w:w="0" w:type="dxa"/>
            <w:vAlign w:val="bottom"/>
          </w:tcPr>
          <w:p>
            <w:pPr>
              <w:spacing w:after="0"/>
              <w:rPr>
                <w:sz w:val="1"/>
                <w:szCs w:val="1"/>
                <w:color w:val="auto"/>
              </w:rPr>
            </w:pPr>
          </w:p>
        </w:tc>
      </w:tr>
      <w:tr>
        <w:trPr>
          <w:trHeight w:val="24"/>
        </w:trPr>
        <w:tc>
          <w:tcPr>
            <w:tcW w:w="5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5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Foreign Governments</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0" w:type="dxa"/>
            <w:vAlign w:val="bottom"/>
          </w:tcPr>
          <w:p>
            <w:pPr>
              <w:spacing w:after="0"/>
              <w:rPr>
                <w:sz w:val="1"/>
                <w:szCs w:val="1"/>
                <w:color w:val="auto"/>
              </w:rPr>
            </w:pPr>
          </w:p>
        </w:tc>
      </w:tr>
      <w:tr>
        <w:trPr>
          <w:trHeight w:val="188"/>
        </w:trPr>
        <w:tc>
          <w:tcPr>
            <w:tcW w:w="5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Corporate securities:</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53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Finance, insurance and real estate</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4,854</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4,323</w:t>
            </w:r>
          </w:p>
        </w:tc>
        <w:tc>
          <w:tcPr>
            <w:tcW w:w="0" w:type="dxa"/>
            <w:vAlign w:val="bottom"/>
          </w:tcPr>
          <w:p>
            <w:pPr>
              <w:spacing w:after="0"/>
              <w:rPr>
                <w:sz w:val="1"/>
                <w:szCs w:val="1"/>
                <w:color w:val="auto"/>
              </w:rPr>
            </w:pPr>
          </w:p>
        </w:tc>
      </w:tr>
      <w:tr>
        <w:trPr>
          <w:trHeight w:val="188"/>
        </w:trPr>
        <w:tc>
          <w:tcPr>
            <w:tcW w:w="53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Manufacturing, construction and mining</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869</w:t>
            </w:r>
          </w:p>
        </w:tc>
        <w:tc>
          <w:tcPr>
            <w:tcW w:w="0" w:type="dxa"/>
            <w:vAlign w:val="bottom"/>
          </w:tcPr>
          <w:p>
            <w:pPr>
              <w:spacing w:after="0"/>
              <w:rPr>
                <w:sz w:val="1"/>
                <w:szCs w:val="1"/>
                <w:color w:val="auto"/>
              </w:rPr>
            </w:pPr>
          </w:p>
        </w:tc>
      </w:tr>
      <w:tr>
        <w:trPr>
          <w:trHeight w:val="24"/>
        </w:trPr>
        <w:tc>
          <w:tcPr>
            <w:tcW w:w="5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53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Utilities, energy and related sectors</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2,740</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2,276</w:t>
            </w:r>
          </w:p>
        </w:tc>
        <w:tc>
          <w:tcPr>
            <w:tcW w:w="0" w:type="dxa"/>
            <w:vAlign w:val="bottom"/>
          </w:tcPr>
          <w:p>
            <w:pPr>
              <w:spacing w:after="0"/>
              <w:rPr>
                <w:sz w:val="1"/>
                <w:szCs w:val="1"/>
                <w:color w:val="auto"/>
              </w:rPr>
            </w:pPr>
          </w:p>
        </w:tc>
      </w:tr>
      <w:tr>
        <w:trPr>
          <w:trHeight w:val="188"/>
        </w:trPr>
        <w:tc>
          <w:tcPr>
            <w:tcW w:w="53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Wholesale/retail trade</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2,175</w:t>
            </w:r>
          </w:p>
        </w:tc>
        <w:tc>
          <w:tcPr>
            <w:tcW w:w="0" w:type="dxa"/>
            <w:vAlign w:val="bottom"/>
          </w:tcPr>
          <w:p>
            <w:pPr>
              <w:spacing w:after="0"/>
              <w:rPr>
                <w:sz w:val="1"/>
                <w:szCs w:val="1"/>
                <w:color w:val="auto"/>
              </w:rPr>
            </w:pPr>
          </w:p>
        </w:tc>
      </w:tr>
      <w:tr>
        <w:trPr>
          <w:trHeight w:val="24"/>
        </w:trPr>
        <w:tc>
          <w:tcPr>
            <w:tcW w:w="5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53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Services, media and other</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4,265</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(816)</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3,449</w:t>
            </w:r>
          </w:p>
        </w:tc>
        <w:tc>
          <w:tcPr>
            <w:tcW w:w="0" w:type="dxa"/>
            <w:vAlign w:val="bottom"/>
          </w:tcPr>
          <w:p>
            <w:pPr>
              <w:spacing w:after="0"/>
              <w:rPr>
                <w:sz w:val="1"/>
                <w:szCs w:val="1"/>
                <w:color w:val="auto"/>
              </w:rPr>
            </w:pPr>
          </w:p>
        </w:tc>
      </w:tr>
      <w:tr>
        <w:trPr>
          <w:trHeight w:val="188"/>
        </w:trPr>
        <w:tc>
          <w:tcPr>
            <w:tcW w:w="5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Hybrid securities</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w:t>
            </w:r>
          </w:p>
        </w:tc>
        <w:tc>
          <w:tcPr>
            <w:tcW w:w="0" w:type="dxa"/>
            <w:vAlign w:val="bottom"/>
          </w:tcPr>
          <w:p>
            <w:pPr>
              <w:spacing w:after="0"/>
              <w:rPr>
                <w:sz w:val="1"/>
                <w:szCs w:val="1"/>
                <w:color w:val="auto"/>
              </w:rPr>
            </w:pPr>
          </w:p>
        </w:tc>
      </w:tr>
      <w:tr>
        <w:trPr>
          <w:trHeight w:val="24"/>
        </w:trPr>
        <w:tc>
          <w:tcPr>
            <w:tcW w:w="5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Non-agency residential mortgage-backed securities</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652</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w:t>
            </w:r>
          </w:p>
        </w:tc>
        <w:tc>
          <w:tcPr>
            <w:tcW w:w="0" w:type="dxa"/>
            <w:vAlign w:val="bottom"/>
          </w:tcPr>
          <w:p>
            <w:pPr>
              <w:spacing w:after="0"/>
              <w:rPr>
                <w:sz w:val="1"/>
                <w:szCs w:val="1"/>
                <w:color w:val="auto"/>
              </w:rPr>
            </w:pPr>
          </w:p>
        </w:tc>
      </w:tr>
      <w:tr>
        <w:trPr>
          <w:trHeight w:val="188"/>
        </w:trPr>
        <w:tc>
          <w:tcPr>
            <w:tcW w:w="5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Non-agency commercial mortgage-backed securities</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1,744</w:t>
            </w:r>
          </w:p>
        </w:tc>
        <w:tc>
          <w:tcPr>
            <w:tcW w:w="0" w:type="dxa"/>
            <w:vAlign w:val="bottom"/>
          </w:tcPr>
          <w:p>
            <w:pPr>
              <w:spacing w:after="0"/>
              <w:rPr>
                <w:sz w:val="1"/>
                <w:szCs w:val="1"/>
                <w:color w:val="auto"/>
              </w:rPr>
            </w:pPr>
          </w:p>
        </w:tc>
      </w:tr>
      <w:tr>
        <w:trPr>
          <w:trHeight w:val="24"/>
        </w:trPr>
        <w:tc>
          <w:tcPr>
            <w:tcW w:w="5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Asset-backed securities</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6,952</w:t>
            </w:r>
          </w:p>
        </w:tc>
        <w:tc>
          <w:tcPr>
            <w:tcW w:w="0" w:type="dxa"/>
            <w:vAlign w:val="bottom"/>
          </w:tcPr>
          <w:p>
            <w:pPr>
              <w:spacing w:after="0"/>
              <w:rPr>
                <w:sz w:val="1"/>
                <w:szCs w:val="1"/>
                <w:color w:val="auto"/>
              </w:rPr>
            </w:pPr>
          </w:p>
        </w:tc>
      </w:tr>
      <w:tr>
        <w:trPr>
          <w:trHeight w:val="181"/>
        </w:trPr>
        <w:tc>
          <w:tcPr>
            <w:tcW w:w="53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Total fixed maturity available for sale securities</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4,055</w:t>
            </w:r>
          </w:p>
        </w:tc>
        <w:tc>
          <w:tcPr>
            <w:tcW w:w="1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27,733</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(3,091)</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24,542</w:t>
            </w:r>
          </w:p>
        </w:tc>
        <w:tc>
          <w:tcPr>
            <w:tcW w:w="0" w:type="dxa"/>
            <w:vAlign w:val="bottom"/>
          </w:tcPr>
          <w:p>
            <w:pPr>
              <w:spacing w:after="0"/>
              <w:rPr>
                <w:sz w:val="1"/>
                <w:szCs w:val="1"/>
                <w:color w:val="auto"/>
              </w:rPr>
            </w:pPr>
          </w:p>
        </w:tc>
      </w:tr>
      <w:tr>
        <w:trPr>
          <w:trHeight w:val="24"/>
        </w:trPr>
        <w:tc>
          <w:tcPr>
            <w:tcW w:w="5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securities</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0" w:type="dxa"/>
            <w:vAlign w:val="bottom"/>
          </w:tcPr>
          <w:p>
            <w:pPr>
              <w:spacing w:after="0"/>
              <w:rPr>
                <w:sz w:val="1"/>
                <w:szCs w:val="1"/>
                <w:color w:val="auto"/>
              </w:rPr>
            </w:pPr>
          </w:p>
        </w:tc>
      </w:tr>
      <w:tr>
        <w:trPr>
          <w:trHeight w:val="205"/>
        </w:trPr>
        <w:tc>
          <w:tcPr>
            <w:tcW w:w="53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Total investments</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4,078</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28,037</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(3,180)</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24,757</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gross unrealized loss position on the fixed maturity available-for-sale and equity portfolio was $5,001 million and $3,180 million as of September 30, 2026 and December 31, 2025, respectively. Most components of the portfolio exhibited price depreciation caused primarily by higher treasury rates. The total amortized cost of all securities in an unrealized loss position was $40,770 million and $28,037 million as of September 30, 2026 and December 31, 2025, respectively. The average market value/book value of the investment category with the largest unrealized loss position was 80% and 81% for services, media and other as of September 30, 2026 and December 31, 2025, respectively. In the aggregate, services, media and other represented 25% and 26% of the total unrealized loss position for September 30, 2026 and December 31, 2025, respectively.</w:t>
      </w:r>
    </w:p>
    <w:p>
      <w:pPr>
        <w:spacing w:after="0" w:line="7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color w:val="auto"/>
        </w:rPr>
        <w:t>The amortized cost and fair value of fixed maturity available for sale securities under watch list analysis and the number of months in a loss position with investment grade securities (NRSRO rating of BBB/Baa or higher) as of September 30, 2026 and December 31, 2025 were as follows:</w:t>
      </w:r>
    </w:p>
    <w:p>
      <w:pPr>
        <w:spacing w:after="0" w:line="2"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50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08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5080" w:type="dxa"/>
            <w:vAlign w:val="bottom"/>
          </w:tcPr>
          <w:p>
            <w:pPr>
              <w:spacing w:after="0"/>
              <w:rPr>
                <w:sz w:val="12"/>
                <w:szCs w:val="12"/>
                <w:color w:val="auto"/>
              </w:rPr>
            </w:pPr>
          </w:p>
        </w:tc>
        <w:tc>
          <w:tcPr>
            <w:tcW w:w="1240" w:type="dxa"/>
            <w:vAlign w:val="bottom"/>
            <w:gridSpan w:val="2"/>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2"/>
                <w:szCs w:val="12"/>
                <w:color w:val="auto"/>
              </w:rPr>
            </w:pPr>
          </w:p>
        </w:tc>
        <w:tc>
          <w:tcPr>
            <w:tcW w:w="104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b w:val="1"/>
                <w:bCs w:val="1"/>
                <w:color w:val="auto"/>
                <w:w w:val="99"/>
              </w:rPr>
              <w:t>Amortized Cost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00" w:type="dxa"/>
            <w:vAlign w:val="bottom"/>
          </w:tcPr>
          <w:p>
            <w:pPr>
              <w:spacing w:after="0"/>
              <w:rPr>
                <w:sz w:val="12"/>
                <w:szCs w:val="12"/>
                <w:color w:val="auto"/>
              </w:rPr>
            </w:pPr>
          </w:p>
        </w:tc>
        <w:tc>
          <w:tcPr>
            <w:tcW w:w="1120" w:type="dxa"/>
            <w:vAlign w:val="bottom"/>
            <w:gridSpan w:val="2"/>
          </w:tcPr>
          <w:p>
            <w:pPr>
              <w:jc w:val="center"/>
              <w:ind w:right="200"/>
              <w:spacing w:after="0" w:line="141" w:lineRule="exact"/>
              <w:rPr>
                <w:sz w:val="20"/>
                <w:szCs w:val="20"/>
                <w:color w:val="auto"/>
              </w:rPr>
            </w:pPr>
            <w:r>
              <w:rPr>
                <w:rFonts w:ascii="Times New Roman" w:cs="Times New Roman" w:eastAsia="Times New Roman" w:hAnsi="Times New Roman"/>
                <w:sz w:val="14"/>
                <w:szCs w:val="14"/>
                <w:b w:val="1"/>
                <w:bCs w:val="1"/>
                <w:color w:val="auto"/>
              </w:rPr>
              <w:t>Allowance for</w:t>
            </w:r>
          </w:p>
        </w:tc>
        <w:tc>
          <w:tcPr>
            <w:tcW w:w="112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0" w:type="dxa"/>
            <w:vAlign w:val="bottom"/>
          </w:tcPr>
          <w:p>
            <w:pPr>
              <w:spacing w:after="0"/>
              <w:rPr>
                <w:sz w:val="1"/>
                <w:szCs w:val="1"/>
                <w:color w:val="auto"/>
              </w:rPr>
            </w:pPr>
          </w:p>
        </w:tc>
      </w:tr>
      <w:tr>
        <w:trPr>
          <w:trHeight w:val="190"/>
        </w:trPr>
        <w:tc>
          <w:tcPr>
            <w:tcW w:w="5080" w:type="dxa"/>
            <w:vAlign w:val="bottom"/>
          </w:tcPr>
          <w:p>
            <w:pPr>
              <w:spacing w:after="0"/>
              <w:rPr>
                <w:sz w:val="16"/>
                <w:szCs w:val="16"/>
                <w:color w:val="auto"/>
              </w:rPr>
            </w:pPr>
          </w:p>
        </w:tc>
        <w:tc>
          <w:tcPr>
            <w:tcW w:w="124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Credit Loss</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188"/>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 grade:</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4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0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than six months</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280" w:type="dxa"/>
            <w:vAlign w:val="bottom"/>
            <w:tcBorders>
              <w:bottom w:val="single" w:sz="8" w:color="CCEEFF"/>
            </w:tcBorders>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gridSpan w:val="2"/>
            <w:shd w:val="clear" w:color="auto" w:fill="CCEEFF"/>
          </w:tcPr>
          <w:p>
            <w:pPr>
              <w:jc w:val="center"/>
              <w:ind w:left="589"/>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88"/>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Six months or more and less than twelve months</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left="589"/>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4"/>
        </w:trPr>
        <w:tc>
          <w:tcPr>
            <w:tcW w:w="50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Twelve months or greater</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1,745</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1,082</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gridSpan w:val="2"/>
            <w:shd w:val="clear" w:color="auto" w:fill="CCEEFF"/>
          </w:tcPr>
          <w:p>
            <w:pPr>
              <w:jc w:val="center"/>
              <w:ind w:left="589"/>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(663)</w:t>
            </w:r>
          </w:p>
        </w:tc>
        <w:tc>
          <w:tcPr>
            <w:tcW w:w="0" w:type="dxa"/>
            <w:vAlign w:val="bottom"/>
          </w:tcPr>
          <w:p>
            <w:pPr>
              <w:spacing w:after="0"/>
              <w:rPr>
                <w:sz w:val="1"/>
                <w:szCs w:val="1"/>
                <w:color w:val="auto"/>
              </w:rPr>
            </w:pPr>
          </w:p>
        </w:tc>
      </w:tr>
      <w:tr>
        <w:trPr>
          <w:trHeight w:val="181"/>
        </w:trPr>
        <w:tc>
          <w:tcPr>
            <w:tcW w:w="5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 investment grade</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1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1,778</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1,112</w:t>
            </w: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center"/>
              <w:ind w:left="689"/>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(666)</w:t>
            </w:r>
          </w:p>
        </w:tc>
        <w:tc>
          <w:tcPr>
            <w:tcW w:w="0" w:type="dxa"/>
            <w:vAlign w:val="bottom"/>
          </w:tcPr>
          <w:p>
            <w:pPr>
              <w:spacing w:after="0"/>
              <w:rPr>
                <w:sz w:val="1"/>
                <w:szCs w:val="1"/>
                <w:color w:val="auto"/>
              </w:rPr>
            </w:pPr>
          </w:p>
        </w:tc>
      </w:tr>
      <w:tr>
        <w:trPr>
          <w:trHeight w:val="24"/>
        </w:trPr>
        <w:tc>
          <w:tcPr>
            <w:tcW w:w="50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50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Below investment grade:</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0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than six months</w:t>
            </w: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gridSpan w:val="2"/>
            <w:shd w:val="clear" w:color="auto" w:fill="CCEEFF"/>
          </w:tcPr>
          <w:p>
            <w:pPr>
              <w:jc w:val="center"/>
              <w:ind w:left="589"/>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Six months or more and less than twelve months</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left="589"/>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50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Twelve months or greater</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gridSpan w:val="2"/>
            <w:shd w:val="clear" w:color="auto" w:fill="CCEEFF"/>
          </w:tcPr>
          <w:p>
            <w:pPr>
              <w:jc w:val="center"/>
              <w:ind w:left="589"/>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181"/>
        </w:trPr>
        <w:tc>
          <w:tcPr>
            <w:tcW w:w="5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 below investment grade</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center"/>
              <w:ind w:left="689"/>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24"/>
        </w:trPr>
        <w:tc>
          <w:tcPr>
            <w:tcW w:w="50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2,016</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1,275</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center"/>
              <w:ind w:left="689"/>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(741)</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5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508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5080" w:type="dxa"/>
            <w:vAlign w:val="bottom"/>
          </w:tcPr>
          <w:p>
            <w:pPr>
              <w:spacing w:after="0"/>
              <w:rPr>
                <w:sz w:val="12"/>
                <w:szCs w:val="12"/>
                <w:color w:val="auto"/>
              </w:rPr>
            </w:pPr>
          </w:p>
        </w:tc>
        <w:tc>
          <w:tcPr>
            <w:tcW w:w="1240" w:type="dxa"/>
            <w:vAlign w:val="bottom"/>
            <w:gridSpan w:val="2"/>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2"/>
                <w:szCs w:val="12"/>
                <w:color w:val="auto"/>
              </w:rPr>
            </w:pPr>
          </w:p>
        </w:tc>
        <w:tc>
          <w:tcPr>
            <w:tcW w:w="104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b w:val="1"/>
                <w:bCs w:val="1"/>
                <w:color w:val="auto"/>
                <w:w w:val="99"/>
              </w:rPr>
              <w:t>Amortized Cost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00" w:type="dxa"/>
            <w:vAlign w:val="bottom"/>
          </w:tcPr>
          <w:p>
            <w:pPr>
              <w:spacing w:after="0"/>
              <w:rPr>
                <w:sz w:val="12"/>
                <w:szCs w:val="12"/>
                <w:color w:val="auto"/>
              </w:rPr>
            </w:pPr>
          </w:p>
        </w:tc>
        <w:tc>
          <w:tcPr>
            <w:tcW w:w="1120" w:type="dxa"/>
            <w:vAlign w:val="bottom"/>
            <w:gridSpan w:val="2"/>
          </w:tcPr>
          <w:p>
            <w:pPr>
              <w:jc w:val="center"/>
              <w:ind w:right="200"/>
              <w:spacing w:after="0" w:line="141" w:lineRule="exact"/>
              <w:rPr>
                <w:sz w:val="20"/>
                <w:szCs w:val="20"/>
                <w:color w:val="auto"/>
              </w:rPr>
            </w:pPr>
            <w:r>
              <w:rPr>
                <w:rFonts w:ascii="Times New Roman" w:cs="Times New Roman" w:eastAsia="Times New Roman" w:hAnsi="Times New Roman"/>
                <w:sz w:val="14"/>
                <w:szCs w:val="14"/>
                <w:b w:val="1"/>
                <w:bCs w:val="1"/>
                <w:color w:val="auto"/>
              </w:rPr>
              <w:t>Allowance for</w:t>
            </w:r>
          </w:p>
        </w:tc>
        <w:tc>
          <w:tcPr>
            <w:tcW w:w="112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0" w:type="dxa"/>
            <w:vAlign w:val="bottom"/>
          </w:tcPr>
          <w:p>
            <w:pPr>
              <w:spacing w:after="0"/>
              <w:rPr>
                <w:sz w:val="1"/>
                <w:szCs w:val="1"/>
                <w:color w:val="auto"/>
              </w:rPr>
            </w:pPr>
          </w:p>
        </w:tc>
      </w:tr>
      <w:tr>
        <w:trPr>
          <w:trHeight w:val="190"/>
        </w:trPr>
        <w:tc>
          <w:tcPr>
            <w:tcW w:w="5080" w:type="dxa"/>
            <w:vAlign w:val="bottom"/>
          </w:tcPr>
          <w:p>
            <w:pPr>
              <w:spacing w:after="0"/>
              <w:rPr>
                <w:sz w:val="16"/>
                <w:szCs w:val="16"/>
                <w:color w:val="auto"/>
              </w:rPr>
            </w:pPr>
          </w:p>
        </w:tc>
        <w:tc>
          <w:tcPr>
            <w:tcW w:w="124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Credit Loss</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188"/>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 grade:</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4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0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than six months</w:t>
            </w: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gridSpan w:val="2"/>
            <w:shd w:val="clear" w:color="auto" w:fill="CCEEFF"/>
          </w:tcPr>
          <w:p>
            <w:pPr>
              <w:jc w:val="center"/>
              <w:ind w:left="589"/>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Six months or more and less than twelve months</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20" w:type="dxa"/>
            <w:vAlign w:val="bottom"/>
            <w:gridSpan w:val="2"/>
          </w:tcPr>
          <w:p>
            <w:pPr>
              <w:jc w:val="center"/>
              <w:ind w:left="589"/>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50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Twelve months or greater</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1,159</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gridSpan w:val="2"/>
            <w:shd w:val="clear" w:color="auto" w:fill="CCEEFF"/>
          </w:tcPr>
          <w:p>
            <w:pPr>
              <w:jc w:val="center"/>
              <w:ind w:left="589"/>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w:t>
            </w:r>
          </w:p>
        </w:tc>
        <w:tc>
          <w:tcPr>
            <w:tcW w:w="0" w:type="dxa"/>
            <w:vAlign w:val="bottom"/>
          </w:tcPr>
          <w:p>
            <w:pPr>
              <w:spacing w:after="0"/>
              <w:rPr>
                <w:sz w:val="1"/>
                <w:szCs w:val="1"/>
                <w:color w:val="auto"/>
              </w:rPr>
            </w:pPr>
          </w:p>
        </w:tc>
      </w:tr>
      <w:tr>
        <w:trPr>
          <w:trHeight w:val="181"/>
        </w:trPr>
        <w:tc>
          <w:tcPr>
            <w:tcW w:w="5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 investment grade</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1,159</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center"/>
              <w:ind w:left="689"/>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(409)</w:t>
            </w:r>
          </w:p>
        </w:tc>
        <w:tc>
          <w:tcPr>
            <w:tcW w:w="0" w:type="dxa"/>
            <w:vAlign w:val="bottom"/>
          </w:tcPr>
          <w:p>
            <w:pPr>
              <w:spacing w:after="0"/>
              <w:rPr>
                <w:sz w:val="1"/>
                <w:szCs w:val="1"/>
                <w:color w:val="auto"/>
              </w:rPr>
            </w:pPr>
          </w:p>
        </w:tc>
      </w:tr>
      <w:tr>
        <w:trPr>
          <w:trHeight w:val="24"/>
        </w:trPr>
        <w:tc>
          <w:tcPr>
            <w:tcW w:w="50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50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Below investment grade:</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0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than six months</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center"/>
              <w:ind w:left="669"/>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Six months or more and less than twelve months</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left="589"/>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4"/>
        </w:trPr>
        <w:tc>
          <w:tcPr>
            <w:tcW w:w="50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Twelve months or greater</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gridSpan w:val="2"/>
            <w:shd w:val="clear" w:color="auto" w:fill="CCEEFF"/>
          </w:tcPr>
          <w:p>
            <w:pPr>
              <w:jc w:val="center"/>
              <w:ind w:left="589"/>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81"/>
        </w:trPr>
        <w:tc>
          <w:tcPr>
            <w:tcW w:w="5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 below investment grade</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center"/>
              <w:ind w:left="669"/>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24"/>
        </w:trPr>
        <w:tc>
          <w:tcPr>
            <w:tcW w:w="50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1,346</w:t>
            </w:r>
          </w:p>
        </w:tc>
        <w:tc>
          <w:tcPr>
            <w:tcW w:w="28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center"/>
              <w:ind w:left="669"/>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Expected Credit Losses and Watch List</w:t>
      </w:r>
    </w:p>
    <w:p>
      <w:pPr>
        <w:spacing w:after="0" w:line="11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F&amp;G prepares a watch list to identify securities to evaluate for expected credit losses. Factors used in preparing the watch list include fair values relative to amortized cost, ratings and negative ratings actions and other factors. Detailed analysis is performed for each security on the watch list to further assess the presence of credit impairment loss indicators and, where present, calculate an allowance for expected credit loss or direct write-down of a security’s amortized cost.</w:t>
      </w:r>
    </w:p>
    <w:p>
      <w:pPr>
        <w:spacing w:after="0" w:line="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watch list excludes structured securities as we have separate processes to evaluate the credit quality on the structured securities.</w:t>
      </w:r>
    </w:p>
    <w:p>
      <w:pPr>
        <w:spacing w:after="0" w:line="11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There were 65 and 71 structured securities with a fair value of $192 million and $237 million, respectively, to which we had potential credit exposure as of September 30, 2026 and December 31, 2025, respectively. Our analysis of these structured securities, which included cash flow testing, resulted in allowances for expected credit losses of $71 million and $86 million as of September 30, 2026 and December 31, 2025, respectively.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Exposure to Sovereign Debt and Certain Other Exposures</w:t>
      </w:r>
    </w:p>
    <w:p>
      <w:pPr>
        <w:spacing w:after="0" w:line="11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Our investment portfolio had an immaterial amount of direct exposure to European sovereign debt as of September 30, 2026 and December 31, 2025, respectively. We have no exposure to investments in Russia or Ukraine and de minimis investments in peripheral countries in the region.</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Investment Income</w:t>
      </w:r>
    </w:p>
    <w:p>
      <w:pPr>
        <w:spacing w:after="0" w:line="113"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color w:val="auto"/>
        </w:rPr>
        <w:t xml:space="preserve">For discussion regarding our interest and investment income and recognized gains and (losses), net refer to Note D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xml:space="preserve"> to the unaudited Condensed Consolidated Financial Statements included in Item 1 of Part I of this Quarterly Report on Form 10-Q.</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AFS Securities</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 xml:space="preserve">For additional information regarding our AFS securities, including the amortized cost, gross unrealized gains (losses), and fair value as well as the amortized cost and fair value of fixed maturity AFS securities by contractual maturities, as of September 30, 2026 and December 31, 2025, refer to Note D </w:t>
      </w:r>
      <w:r>
        <w:rPr>
          <w:rFonts w:ascii="Times New Roman" w:cs="Times New Roman" w:eastAsia="Times New Roman" w:hAnsi="Times New Roman"/>
          <w:sz w:val="18"/>
          <w:szCs w:val="18"/>
          <w:i w:val="1"/>
          <w:iCs w:val="1"/>
          <w:color w:val="auto"/>
        </w:rPr>
        <w:t xml:space="preserve">Investments </w:t>
      </w:r>
      <w:r>
        <w:rPr>
          <w:rFonts w:ascii="Times New Roman" w:cs="Times New Roman" w:eastAsia="Times New Roman" w:hAnsi="Times New Roman"/>
          <w:sz w:val="18"/>
          <w:szCs w:val="18"/>
          <w:color w:val="auto"/>
        </w:rPr>
        <w:t>to the unaudited Condensed Consolidated Financial Statements included in Item 1 of Part I of this Quarterly Report on Form 10-Q.</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Financial Instruments</w:t>
      </w:r>
    </w:p>
    <w:p>
      <w:pPr>
        <w:spacing w:after="0" w:line="113"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color w:val="auto"/>
        </w:rPr>
        <w:t xml:space="preserve">For certain information regarding our concentrations of financial instruments, refer to Note D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xml:space="preserve"> to the unaudited Condensed Consolidated Financial Statements included in Item 1 of Part I of this Quarterly Report on Form 10-Q.</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Derivatives</w:t>
      </w:r>
    </w:p>
    <w:p>
      <w:pPr>
        <w:spacing w:after="0" w:line="11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are exposed to credit loss in the event of non-performance by our counterparties on derivative instruments. We attempt to reduce this credit risk by purchasing such derivative instruments from large, well-established financial institutions.</w:t>
      </w:r>
    </w:p>
    <w:p>
      <w:pPr>
        <w:spacing w:after="0" w:line="5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also hold cash and cash equivalents received from counterparties for derivative instrument collateral, as well as U.S. Government securities pledged as derivative instrument collateral, if our counterparty’s net exposures exceed pre-determined thresholds.</w:t>
      </w:r>
    </w:p>
    <w:p>
      <w:pPr>
        <w:spacing w:after="0" w:line="5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are required to pay counterparties the effective federal funds rate each day for cash collateral posted to F&amp;G for daily mark to market margin changes. We reduce the negative interest cost associated with cash collateral posted from counterparties under various ISDA agreements by reinvesting derivative cash collateral. This program permits collateral cash received to be invested in short term Treasury securities, bank deposits and commercial paper rated A1/P1, which are included in Cash and cash equivalents in the unaudited Condensed Consolidated Balance Sheets.</w:t>
      </w:r>
    </w:p>
    <w:p>
      <w:pPr>
        <w:spacing w:after="0" w:line="72"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color w:val="auto"/>
        </w:rPr>
        <w:t xml:space="preserve">See Note E </w:t>
      </w:r>
      <w:r>
        <w:rPr>
          <w:rFonts w:ascii="Times New Roman" w:cs="Times New Roman" w:eastAsia="Times New Roman" w:hAnsi="Times New Roman"/>
          <w:sz w:val="18"/>
          <w:szCs w:val="18"/>
          <w:i w:val="1"/>
          <w:iCs w:val="1"/>
          <w:color w:val="auto"/>
        </w:rPr>
        <w:t>Derivative Financial Instruments</w:t>
      </w:r>
      <w:r>
        <w:rPr>
          <w:rFonts w:ascii="Times New Roman" w:cs="Times New Roman" w:eastAsia="Times New Roman" w:hAnsi="Times New Roman"/>
          <w:sz w:val="18"/>
          <w:szCs w:val="18"/>
          <w:color w:val="auto"/>
        </w:rPr>
        <w:t xml:space="preserve"> to the unaudited Condensed Consolidated Financial Statements included in Item 1 of Part I of this Quarterly Report on Form 10-Q for additional information regarding our derivatives and our exposure to credit loss on derivatives.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and Other</w:t>
      </w:r>
    </w:p>
    <w:p>
      <w:pPr>
        <w:spacing w:after="0" w:line="115" w:lineRule="exact"/>
        <w:rPr>
          <w:sz w:val="20"/>
          <w:szCs w:val="20"/>
          <w:color w:val="auto"/>
        </w:rPr>
      </w:pPr>
    </w:p>
    <w:p>
      <w:pPr>
        <w:jc w:val="both"/>
        <w:ind w:firstLine="238"/>
        <w:spacing w:after="0" w:line="274" w:lineRule="auto"/>
        <w:rPr>
          <w:sz w:val="20"/>
          <w:szCs w:val="20"/>
          <w:color w:val="auto"/>
        </w:rPr>
      </w:pPr>
      <w:r>
        <w:rPr>
          <w:rFonts w:ascii="Times New Roman" w:cs="Times New Roman" w:eastAsia="Times New Roman" w:hAnsi="Times New Roman"/>
          <w:sz w:val="18"/>
          <w:szCs w:val="18"/>
          <w:color w:val="auto"/>
        </w:rPr>
        <w:t>The Corporate and Other segment consists of the operations of the parent holding company and our real estate technology subsidiaries. This segment also includes certain other unallocated corporate overhead expenses and eliminations of revenues and expenses between it and our Title segment.</w:t>
      </w:r>
    </w:p>
    <w:p>
      <w:pPr>
        <w:spacing w:after="0" w:line="5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presents the results of operations of our Corporate and Other segment: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80" w:type="dxa"/>
            <w:vAlign w:val="bottom"/>
          </w:tcPr>
          <w:p>
            <w:pPr>
              <w:spacing w:after="0"/>
              <w:rPr>
                <w:sz w:val="16"/>
                <w:szCs w:val="16"/>
                <w:color w:val="auto"/>
              </w:rPr>
            </w:pPr>
          </w:p>
        </w:tc>
        <w:tc>
          <w:tcPr>
            <w:tcW w:w="2620" w:type="dxa"/>
            <w:vAlign w:val="bottom"/>
            <w:gridSpan w:val="6"/>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0" w:type="dxa"/>
            <w:vAlign w:val="bottom"/>
          </w:tcPr>
          <w:p>
            <w:pPr>
              <w:spacing w:after="0"/>
              <w:rPr>
                <w:sz w:val="16"/>
                <w:szCs w:val="16"/>
                <w:color w:val="auto"/>
              </w:rPr>
            </w:pPr>
          </w:p>
        </w:tc>
        <w:tc>
          <w:tcPr>
            <w:tcW w:w="2220" w:type="dxa"/>
            <w:vAlign w:val="bottom"/>
            <w:gridSpan w:val="4"/>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4"/>
        </w:trPr>
        <w:tc>
          <w:tcPr>
            <w:tcW w:w="62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6280" w:type="dxa"/>
            <w:vAlign w:val="bottom"/>
          </w:tcPr>
          <w:p>
            <w:pPr>
              <w:spacing w:after="0"/>
              <w:rPr>
                <w:sz w:val="15"/>
                <w:szCs w:val="15"/>
                <w:color w:val="auto"/>
              </w:rPr>
            </w:pPr>
          </w:p>
        </w:tc>
        <w:tc>
          <w:tcPr>
            <w:tcW w:w="86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2026</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4"/>
        </w:trPr>
        <w:tc>
          <w:tcPr>
            <w:tcW w:w="6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5"/>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6280" w:type="dxa"/>
            <w:vAlign w:val="bottom"/>
            <w:vMerge w:val="continue"/>
          </w:tcPr>
          <w:p>
            <w:pPr>
              <w:spacing w:after="0"/>
              <w:rPr>
                <w:sz w:val="15"/>
                <w:szCs w:val="15"/>
                <w:color w:val="auto"/>
              </w:rPr>
            </w:pPr>
          </w:p>
        </w:tc>
        <w:tc>
          <w:tcPr>
            <w:tcW w:w="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6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6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Escrow, title-related and other fees</w:t>
            </w:r>
          </w:p>
        </w:tc>
        <w:tc>
          <w:tcPr>
            <w:tcW w:w="860" w:type="dxa"/>
            <w:vAlign w:val="bottom"/>
            <w:tcBorders>
              <w:bottom w:val="single" w:sz="8" w:color="CCEEFF"/>
            </w:tcBorders>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0" w:type="dxa"/>
            <w:vAlign w:val="bottom"/>
          </w:tcPr>
          <w:p>
            <w:pPr>
              <w:spacing w:after="0"/>
              <w:rPr>
                <w:sz w:val="1"/>
                <w:szCs w:val="1"/>
                <w:color w:val="auto"/>
              </w:rPr>
            </w:pPr>
          </w:p>
        </w:tc>
      </w:tr>
      <w:tr>
        <w:trPr>
          <w:trHeight w:val="188"/>
        </w:trPr>
        <w:tc>
          <w:tcPr>
            <w:tcW w:w="62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Interest and investment income</w:t>
            </w:r>
          </w:p>
        </w:tc>
        <w:tc>
          <w:tcPr>
            <w:tcW w:w="86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0" w:type="dxa"/>
            <w:vAlign w:val="bottom"/>
          </w:tcPr>
          <w:p>
            <w:pPr>
              <w:spacing w:after="0"/>
              <w:rPr>
                <w:sz w:val="1"/>
                <w:szCs w:val="1"/>
                <w:color w:val="auto"/>
              </w:rPr>
            </w:pPr>
          </w:p>
        </w:tc>
      </w:tr>
      <w:tr>
        <w:trPr>
          <w:trHeight w:val="24"/>
        </w:trPr>
        <w:tc>
          <w:tcPr>
            <w:tcW w:w="6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6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Recognized gains and losses, net</w:t>
            </w:r>
          </w:p>
        </w:tc>
        <w:tc>
          <w:tcPr>
            <w:tcW w:w="8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81"/>
        </w:trPr>
        <w:tc>
          <w:tcPr>
            <w:tcW w:w="62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Total revenues</w:t>
            </w:r>
          </w:p>
        </w:tc>
        <w:tc>
          <w:tcPr>
            <w:tcW w:w="86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0" w:type="dxa"/>
            <w:vAlign w:val="bottom"/>
          </w:tcPr>
          <w:p>
            <w:pPr>
              <w:spacing w:after="0"/>
              <w:rPr>
                <w:sz w:val="1"/>
                <w:szCs w:val="1"/>
                <w:color w:val="auto"/>
              </w:rPr>
            </w:pPr>
          </w:p>
        </w:tc>
      </w:tr>
      <w:tr>
        <w:trPr>
          <w:trHeight w:val="24"/>
        </w:trPr>
        <w:tc>
          <w:tcPr>
            <w:tcW w:w="6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Expenses:</w:t>
            </w:r>
          </w:p>
        </w:tc>
        <w:tc>
          <w:tcPr>
            <w:tcW w:w="86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2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Personnel costs</w:t>
            </w:r>
          </w:p>
        </w:tc>
        <w:tc>
          <w:tcPr>
            <w:tcW w:w="86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0" w:type="dxa"/>
            <w:vAlign w:val="bottom"/>
          </w:tcPr>
          <w:p>
            <w:pPr>
              <w:spacing w:after="0"/>
              <w:rPr>
                <w:sz w:val="1"/>
                <w:szCs w:val="1"/>
                <w:color w:val="auto"/>
              </w:rPr>
            </w:pPr>
          </w:p>
        </w:tc>
      </w:tr>
      <w:tr>
        <w:trPr>
          <w:trHeight w:val="24"/>
        </w:trPr>
        <w:tc>
          <w:tcPr>
            <w:tcW w:w="6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6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operating expenses</w:t>
            </w:r>
          </w:p>
        </w:tc>
        <w:tc>
          <w:tcPr>
            <w:tcW w:w="86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0" w:type="dxa"/>
            <w:vAlign w:val="bottom"/>
          </w:tcPr>
          <w:p>
            <w:pPr>
              <w:spacing w:after="0"/>
              <w:rPr>
                <w:sz w:val="1"/>
                <w:szCs w:val="1"/>
                <w:color w:val="auto"/>
              </w:rPr>
            </w:pPr>
          </w:p>
        </w:tc>
      </w:tr>
      <w:tr>
        <w:trPr>
          <w:trHeight w:val="188"/>
        </w:trPr>
        <w:tc>
          <w:tcPr>
            <w:tcW w:w="62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6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24"/>
        </w:trPr>
        <w:tc>
          <w:tcPr>
            <w:tcW w:w="6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6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Interest expense</w:t>
            </w:r>
          </w:p>
        </w:tc>
        <w:tc>
          <w:tcPr>
            <w:tcW w:w="8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181"/>
        </w:trPr>
        <w:tc>
          <w:tcPr>
            <w:tcW w:w="62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Total expenses</w:t>
            </w:r>
          </w:p>
        </w:tc>
        <w:tc>
          <w:tcPr>
            <w:tcW w:w="86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0" w:type="dxa"/>
            <w:vAlign w:val="bottom"/>
          </w:tcPr>
          <w:p>
            <w:pPr>
              <w:spacing w:after="0"/>
              <w:rPr>
                <w:sz w:val="1"/>
                <w:szCs w:val="1"/>
                <w:color w:val="auto"/>
              </w:rPr>
            </w:pPr>
          </w:p>
        </w:tc>
      </w:tr>
      <w:tr>
        <w:trPr>
          <w:trHeight w:val="24"/>
        </w:trPr>
        <w:tc>
          <w:tcPr>
            <w:tcW w:w="62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from continuing operations, before income taxes and equity in earnings of unconsolidated affiliates</w:t>
            </w:r>
          </w:p>
        </w:tc>
        <w:tc>
          <w:tcPr>
            <w:tcW w:w="860" w:type="dxa"/>
            <w:vAlign w:val="bottom"/>
            <w:tcBorders>
              <w:bottom w:val="single" w:sz="8" w:color="auto"/>
            </w:tcBorders>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jc w:val="both"/>
        <w:ind w:firstLine="238"/>
        <w:spacing w:after="0" w:line="274" w:lineRule="auto"/>
        <w:rPr>
          <w:sz w:val="20"/>
          <w:szCs w:val="20"/>
          <w:color w:val="auto"/>
        </w:rPr>
      </w:pPr>
      <w:r>
        <w:rPr>
          <w:rFonts w:ascii="Times New Roman" w:cs="Times New Roman" w:eastAsia="Times New Roman" w:hAnsi="Times New Roman"/>
          <w:sz w:val="18"/>
          <w:szCs w:val="18"/>
          <w:color w:val="auto"/>
        </w:rPr>
        <w:t>The revenue in the Corporate and Other segment represents revenue generated by our non-title real estate technology subsidiaries as well as mark-to-market valuation changes on certain corporate deferred compensation plans.</w:t>
      </w:r>
    </w:p>
    <w:p>
      <w:pPr>
        <w:spacing w:after="0" w:line="57" w:lineRule="exact"/>
        <w:rPr>
          <w:sz w:val="20"/>
          <w:szCs w:val="20"/>
          <w:color w:val="auto"/>
        </w:rPr>
      </w:pPr>
    </w:p>
    <w:p>
      <w:pPr>
        <w:jc w:val="both"/>
        <w:ind w:firstLine="238"/>
        <w:spacing w:after="0" w:line="249" w:lineRule="auto"/>
        <w:rPr>
          <w:sz w:val="20"/>
          <w:szCs w:val="20"/>
          <w:color w:val="auto"/>
        </w:rPr>
      </w:pPr>
      <w:r>
        <w:rPr>
          <w:rFonts w:ascii="Times New Roman" w:cs="Times New Roman" w:eastAsia="Times New Roman" w:hAnsi="Times New Roman"/>
          <w:sz w:val="18"/>
          <w:szCs w:val="18"/>
          <w:color w:val="auto"/>
        </w:rPr>
        <w:t>Total revenues in the Corporate and Other segment decreased $69 million, or 69%, in the three months ended September 30, 2026 and decreased $37 million, or 14% in the nine months ended September 30, 2026 from the corresponding periods in 2025. The decrease in the three months ended September 30, 2026 from the corresponding period in 2025 is primarily attributable to a decrease in valuations associated with our deferred compensation plan assets of $25 million and net valuation losses on equity securities of $34 million, as compared to net valuation gains on equity securities in the corresponding period of 2025. The decrease in the nine months ended September 30, 2026 from the corresponding period in 2025 is primarily attributable to a decrease in valuations associated with our deferred compensation plan assets of $3 million and net valuation losses on equity securities of $5 million, as compared to net valuation gains on equity securities of $8 million in the corresponding period in 2025. Interest and investment income includes dividends received from F&amp;G of $28 million and $84 million in the three and nine months ended September 30, 2026, respectively, and $29 million and $85 million in the three and nine months ended September 30, 2025, respectively. The dividends received from F&amp;G are eliminated upon consolidation.</w:t>
      </w:r>
    </w:p>
    <w:p>
      <w:pPr>
        <w:spacing w:after="0" w:line="81" w:lineRule="exact"/>
        <w:rPr>
          <w:sz w:val="20"/>
          <w:szCs w:val="20"/>
          <w:color w:val="auto"/>
        </w:rPr>
      </w:pPr>
    </w:p>
    <w:p>
      <w:pPr>
        <w:jc w:val="both"/>
        <w:ind w:firstLine="238"/>
        <w:spacing w:after="0" w:line="255" w:lineRule="auto"/>
        <w:rPr>
          <w:sz w:val="20"/>
          <w:szCs w:val="20"/>
          <w:color w:val="auto"/>
        </w:rPr>
      </w:pPr>
      <w:r>
        <w:rPr>
          <w:rFonts w:ascii="Times New Roman" w:cs="Times New Roman" w:eastAsia="Times New Roman" w:hAnsi="Times New Roman"/>
          <w:sz w:val="18"/>
          <w:szCs w:val="18"/>
          <w:color w:val="auto"/>
        </w:rPr>
        <w:t>Personnel costs in the Corporate and Other segment decreased $19 million, or 35%, in the three months ended September 30, 2026, and decreased $3 million, or 2% in the nine months ended September 30, 2026 from the corresponding periods in 2025. The decreases in the three and nine months ended September 30, 2026 from the corresponding periods in 2025 were primarily attributable to the aforementioned decrease in valuations associated with our deferred compensation plan assets of $25 million and $3 million, respectively, which decreased both revenue and personnel costs.</w:t>
      </w:r>
    </w:p>
    <w:p>
      <w:pPr>
        <w:spacing w:after="0" w:line="74" w:lineRule="exact"/>
        <w:rPr>
          <w:sz w:val="20"/>
          <w:szCs w:val="20"/>
          <w:color w:val="auto"/>
        </w:rPr>
      </w:pPr>
    </w:p>
    <w:p>
      <w:pPr>
        <w:jc w:val="both"/>
        <w:ind w:firstLine="238"/>
        <w:spacing w:after="0" w:line="259" w:lineRule="auto"/>
        <w:rPr>
          <w:sz w:val="20"/>
          <w:szCs w:val="20"/>
          <w:color w:val="auto"/>
        </w:rPr>
      </w:pPr>
      <w:r>
        <w:rPr>
          <w:rFonts w:ascii="Times New Roman" w:cs="Times New Roman" w:eastAsia="Times New Roman" w:hAnsi="Times New Roman"/>
          <w:sz w:val="18"/>
          <w:szCs w:val="18"/>
          <w:color w:val="auto"/>
        </w:rPr>
        <w:t>Other operating expenses in the Corporate and Other segment decreased $2 million, or 7%, in the three months ended September 30, 2026, and decreased $7 million, or 8% in the nine months ended September 30, 2026 from the corresponding periods in 2025. The decreases in the three and nine months ended September 30, 2026 from the corresponding periods in 2025 were attributable to various immaterial items.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Cash Requirements. </w:t>
      </w:r>
      <w:r>
        <w:rPr>
          <w:rFonts w:ascii="Times New Roman" w:cs="Times New Roman" w:eastAsia="Times New Roman" w:hAnsi="Times New Roman"/>
          <w:sz w:val="18"/>
          <w:szCs w:val="18"/>
          <w:color w:val="auto"/>
        </w:rPr>
        <w:t>Our current cash requirements include personnel costs, operating expenses, claim payments, taxes, payments of interest and principal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our debt, capital expenditures, business acquisitions, stock repurchases, and dividends on our common stock. We paid dividends of $0.52 per share in the third quarter of 2026, or approximately $138 million to our common shareholders. On November 5, 2026, our Board of Directors declared cash dividends of $0.54 per share, payable on December 31, 2026, to FNF common shareholders of record as of December 17, 2026. There are no restrictions on our retained earnings regarding our ability to pay dividends to our shareholders, although there are limits on the ability of certain subsidiaries to pay dividends to us, as described below. The declaration of any future dividends is at the discretion of our Board of Directors.</w:t>
      </w:r>
    </w:p>
    <w:p>
      <w:pPr>
        <w:spacing w:after="0" w:line="8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As of September 30, 2026, we had cash and cash equivalents of $2,858 million, short term investments of $1,252 million, available capacity under our Revolving Credit Facility of $800 million, and available capacity under the Amended F&amp;G Credit agreement of $750 million.</w:t>
      </w:r>
    </w:p>
    <w:p>
      <w:pPr>
        <w:spacing w:after="0" w:line="57"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continually assess our capital allocation strategy, including decisions relating to the amount of our dividend, reducing debt, repurchasing our stock, investing in growth of our subsidiaries, making acquisitions, and/or conserving cash. We believe that all anticipated cash requirements for current operations will be met from internally generated funds, through cash dividends from subsidiaries, cash generated by investment securities, potential sales of non-strategic assets, potential issuances of additional debt or equity securities, and borrowings on our Revolving Credit Facility and the F&amp;G Credit Facility. Our short-term and long-term liquidity requirements are monitored regularly to ensure that we can meet our cash requirements. We forecast the needs of all of our subsidiaries and periodically review their short-term and long-term projected sources and uses of funds, as well as the asset, liability, investment, and cash flow assumptions underlying such forecasts.</w:t>
      </w:r>
    </w:p>
    <w:p>
      <w:pPr>
        <w:spacing w:after="0" w:line="8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title insurance subsidiaries generate cash from premiums earned and their respective investment portfolios, and these funds are adequate to satisfy the payments of claims and other liabilities. Due to the magnitude of our title segment investment portfolio in relation to our title claim loss reserves, we do not specifically match durations of our investments to the cash outflows required to pay claims, but do manage outflows on a shorter time frame.</w:t>
      </w:r>
    </w:p>
    <w:p>
      <w:pPr>
        <w:spacing w:after="0" w:line="72"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Our two significant sources of internally generated funds are dividends and other payments from our subsidiaries. As a holding company, we receive cash from our subsidiaries in the form of dividends and as reimbursement for operating and other administrative expenses we incur. The reimbursements are paid within the guidelines of management agreements among us and our subsidiaries. Our insurance subsidiaries are restricted by state regulation in their ability to pay dividends and make distributions. Each applicable state of domicile regulates the extent to which our title underwriters can pay dividends or make other distributions. As of December 31, 2025, $1,141 million of our net assets were restricted from dividend payments without prior approval from the relevant departments of insurance. Our title insurance subsidiaries can pay or make dividends in the remainder of 2026 of approximately $168 million. Our underwritten title companies and non-insurance subsidiaries are not regulated to the same extent as our insurance subsidiaries.</w:t>
      </w:r>
    </w:p>
    <w:p>
      <w:pPr>
        <w:spacing w:after="0" w:line="8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maximum dividend permitted by law is not necessarily indicative of an insurer’s actual ability to pay dividends, which may be constrained by business and regulatory considerations, such as the impact of dividends on surplus, which could affect an insurer’s ratings or competitive position, the amount of premiums that can be written, and the ability to pay future dividends. Further, depending on business and regulatory conditions, we may in the future need to retain cash in our underwriters or even contribute cash to one or more of them in order to maintain their ratings or their statutory capital position. Such a requirement could be the result of investment losses, reserve charges, adverse operating conditions in the current economic environment, or changes in statutory accounting requirements by regulators.</w:t>
      </w:r>
    </w:p>
    <w:p>
      <w:pPr>
        <w:spacing w:after="0" w:line="7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Cash flow from our operations will be used for general corporate purposes including to reinvest in operations, repay debt, pay dividends, repurchase stock, pursue other strategic initiatives, and/or conserve cash.</w:t>
      </w:r>
    </w:p>
    <w:p>
      <w:pPr>
        <w:spacing w:after="0" w:line="5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i w:val="1"/>
          <w:iCs w:val="1"/>
          <w:color w:val="auto"/>
        </w:rPr>
        <w:t>Operating Cash Flow</w:t>
      </w:r>
      <w:r>
        <w:rPr>
          <w:rFonts w:ascii="Times New Roman" w:cs="Times New Roman" w:eastAsia="Times New Roman" w:hAnsi="Times New Roman"/>
          <w:sz w:val="18"/>
          <w:szCs w:val="18"/>
          <w:color w:val="auto"/>
        </w:rPr>
        <w:t>. Our cash flows provided by operations for the nine months ended September 30, 2026 and 2025 totaled $4,167 million and $4,322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respectively. The decrease in cash provided by operating activities in the 2026 period of $155 million was primarily attributable to reduced net cash inflows associated with the change in future policy benefits of $686 million, net cash outflows associated with the change in derivative collateral liabilities of $370 million in the 2026 period, as compared to net cash inflows of $144 million in the 2025 period, and reduced net cash inflows associated with the change in funds withheld from reinsurers of $90 million, partially offset by increased cash inflows associated with the increase in net income and increased net cash inflows associated with the change in income taxes of $424 million.</w:t>
      </w:r>
    </w:p>
    <w:p>
      <w:pPr>
        <w:spacing w:after="0" w:line="79"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Investing Cash Flows. </w:t>
      </w:r>
      <w:r>
        <w:rPr>
          <w:rFonts w:ascii="Times New Roman" w:cs="Times New Roman" w:eastAsia="Times New Roman" w:hAnsi="Times New Roman"/>
          <w:sz w:val="18"/>
          <w:szCs w:val="18"/>
          <w:color w:val="auto"/>
        </w:rPr>
        <w:t>Our cash flows used in investing activities for the nine months ended September 30, 2026 and 2025 were $2,502 million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$6,326 million, respectively. The decrease in cash used in investing activities in the 2026 period of $3,824 million was primarily attributable to increased cash proceeds from sales, calls and maturities of investment securities of $4,908 million, increased cash inflows from distributions from unconsolidated affiliates of $177 million, and reduced cash</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outflows for additional investments in unconsolidated affiliates of $782 million, partially offset by increased purchases of investment securities of $1,212 million, and reduced net proceeds from sales and maturities of short-term investments of $865 million.</w:t>
      </w:r>
    </w:p>
    <w:p>
      <w:pPr>
        <w:spacing w:after="0" w:line="55"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Capital Expenditures. </w:t>
      </w:r>
      <w:r>
        <w:rPr>
          <w:rFonts w:ascii="Times New Roman" w:cs="Times New Roman" w:eastAsia="Times New Roman" w:hAnsi="Times New Roman"/>
          <w:sz w:val="18"/>
          <w:szCs w:val="18"/>
          <w:color w:val="auto"/>
        </w:rPr>
        <w:t>Total capital expenditures for property and equipment and capitalized software were $95 million and $113 million for the nine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September 30, 2026 and 2025, respectively.</w:t>
      </w:r>
    </w:p>
    <w:p>
      <w:pPr>
        <w:spacing w:after="0" w:line="5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Financing Cash Flows. </w:t>
      </w:r>
      <w:r>
        <w:rPr>
          <w:rFonts w:ascii="Times New Roman" w:cs="Times New Roman" w:eastAsia="Times New Roman" w:hAnsi="Times New Roman"/>
          <w:sz w:val="18"/>
          <w:szCs w:val="18"/>
          <w:color w:val="auto"/>
        </w:rPr>
        <w:t>Our cash flows (used in) provided by financing activities for the nine months ended September 30, 2026 and 2025 were $(1,443)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and $2,019 million, respectively. The change in cash flows associated with financing activities in the 2026 period of $3,462 million was primarily attributable to reduced cash inflows from Contractholder account deposits of $3,106 million, increased purchases of F&amp;G common stock by F&amp;G of $123 million, cash inflows associated with the public offering of the 7.30% F&amp;G Notes of $375 million in 2025 and cash inflows associated with F&amp;G's common stock issuance of $117 million in 2025, partially offset by cash outflows associated with the redemption of the 5.50% F&amp;G Senior Notes of $300 million in 2025.</w:t>
      </w:r>
    </w:p>
    <w:p>
      <w:pPr>
        <w:spacing w:after="0" w:line="79"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Financing Arrangements. </w:t>
      </w:r>
      <w:r>
        <w:rPr>
          <w:rFonts w:ascii="Times New Roman" w:cs="Times New Roman" w:eastAsia="Times New Roman" w:hAnsi="Times New Roman"/>
          <w:sz w:val="18"/>
          <w:szCs w:val="18"/>
          <w:color w:val="auto"/>
        </w:rPr>
        <w:t>For a description of our financing arrangements see Note F</w:t>
      </w:r>
      <w:r>
        <w:rPr>
          <w:rFonts w:ascii="Times New Roman" w:cs="Times New Roman" w:eastAsia="Times New Roman" w:hAnsi="Times New Roman"/>
          <w:sz w:val="18"/>
          <w:szCs w:val="18"/>
          <w:i w:val="1"/>
          <w:iCs w:val="1"/>
          <w:color w:val="auto"/>
        </w:rPr>
        <w:t xml:space="preserve"> Notes Payable </w:t>
      </w:r>
      <w:r>
        <w:rPr>
          <w:rFonts w:ascii="Times New Roman" w:cs="Times New Roman" w:eastAsia="Times New Roman" w:hAnsi="Times New Roman"/>
          <w:sz w:val="18"/>
          <w:szCs w:val="18"/>
          <w:color w:val="auto"/>
        </w:rPr>
        <w:t>included in Item 8 of Part II of our Annual Report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 10-K for the year ended December 31, 2025.</w:t>
      </w:r>
    </w:p>
    <w:p>
      <w:pPr>
        <w:spacing w:after="0" w:line="54"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i w:val="1"/>
          <w:iCs w:val="1"/>
          <w:color w:val="auto"/>
        </w:rPr>
        <w:t>Capital Stock Transactions</w:t>
      </w:r>
      <w:r>
        <w:rPr>
          <w:rFonts w:ascii="Times New Roman" w:cs="Times New Roman" w:eastAsia="Times New Roman" w:hAnsi="Times New Roman"/>
          <w:sz w:val="18"/>
          <w:szCs w:val="18"/>
          <w:color w:val="auto"/>
        </w:rPr>
        <w:t>. On July 31, 2024, our Board of Directors approved a new three-year stock repurchase program effective July 31, 2024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Repurchase Program") under which we are authorized to purchase up to 25 million shares of our FNF common stock through July 31, 2027. We repurchased 3,040,000 shares of FNF common stock under the 2024 Repurchase Program during the nine months ended September 30, 2026 for approximately $143 million, at an average price of $47.19. Subsequent to September 30, 2026 and through market close on November 5, 2026, we did not repurchase any shares under this program. Since the original commencement of the 2024 Repurchase Program, we have repurchased a total of 7,466,224 FNF common shares for an aggregate $395 million, or an average price of $52.89 per share. The total remaining authorization of FNF common stock that may yet be purchased under the 2024 Repurchase Program as of November 5, 2026 totaled approximately 18 million shares of FNF common stock.</w:t>
      </w:r>
    </w:p>
    <w:p>
      <w:pPr>
        <w:spacing w:after="0" w:line="81" w:lineRule="exact"/>
        <w:rPr>
          <w:sz w:val="20"/>
          <w:szCs w:val="20"/>
          <w:color w:val="auto"/>
        </w:rPr>
      </w:pPr>
    </w:p>
    <w:p>
      <w:pPr>
        <w:jc w:val="both"/>
        <w:ind w:right="20"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Equity and Preferred Security Investments. </w:t>
      </w:r>
      <w:r>
        <w:rPr>
          <w:rFonts w:ascii="Times New Roman" w:cs="Times New Roman" w:eastAsia="Times New Roman" w:hAnsi="Times New Roman"/>
          <w:sz w:val="18"/>
          <w:szCs w:val="18"/>
          <w:color w:val="auto"/>
        </w:rPr>
        <w:t>Our equity and preferred security investments may be subject to significant volatility. Currently prevailing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standards require us to record the change in fair value of equity and preferred security investments held as of any given period end within earnings. Our results of operations in future periods are anticipated to be subject to such volatility.</w:t>
      </w:r>
    </w:p>
    <w:p>
      <w:pPr>
        <w:spacing w:after="0" w:line="67" w:lineRule="exact"/>
        <w:rPr>
          <w:sz w:val="20"/>
          <w:szCs w:val="20"/>
          <w:color w:val="auto"/>
        </w:rPr>
      </w:pPr>
    </w:p>
    <w:p>
      <w:pPr>
        <w:jc w:val="both"/>
        <w:ind w:right="20"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Off-Balance Sheet Arrangements. </w:t>
      </w:r>
      <w:r>
        <w:rPr>
          <w:rFonts w:ascii="Times New Roman" w:cs="Times New Roman" w:eastAsia="Times New Roman" w:hAnsi="Times New Roman"/>
          <w:sz w:val="18"/>
          <w:szCs w:val="18"/>
          <w:color w:val="auto"/>
        </w:rPr>
        <w:t>Other than our unfunded investment commitments discussed below, there have been no significant changes to our off-balance sheet arrangements since our Annual Report on Form 10-K for the year ended December 31, 2025.</w:t>
      </w:r>
    </w:p>
    <w:p>
      <w:pPr>
        <w:spacing w:after="0" w:line="56" w:lineRule="exact"/>
        <w:rPr>
          <w:sz w:val="20"/>
          <w:szCs w:val="20"/>
          <w:color w:val="auto"/>
        </w:rPr>
      </w:pPr>
    </w:p>
    <w:p>
      <w:pPr>
        <w:jc w:val="both"/>
        <w:ind w:firstLine="397"/>
        <w:spacing w:after="0" w:line="255" w:lineRule="auto"/>
        <w:rPr>
          <w:sz w:val="20"/>
          <w:szCs w:val="20"/>
          <w:color w:val="auto"/>
        </w:rPr>
      </w:pPr>
      <w:r>
        <w:rPr>
          <w:rFonts w:ascii="Times New Roman" w:cs="Times New Roman" w:eastAsia="Times New Roman" w:hAnsi="Times New Roman"/>
          <w:sz w:val="18"/>
          <w:szCs w:val="18"/>
          <w:color w:val="auto"/>
        </w:rPr>
        <w:t xml:space="preserve">We have unfunded investment commitments as of September 30, 2026 based upon the timing of when investments are executed compared to when the actual investments are funded, as some investments require that funding occur over a period of months or years. Please refer to Note F </w:t>
      </w:r>
      <w:r>
        <w:rPr>
          <w:rFonts w:ascii="Times New Roman" w:cs="Times New Roman" w:eastAsia="Times New Roman" w:hAnsi="Times New Roman"/>
          <w:sz w:val="18"/>
          <w:szCs w:val="18"/>
          <w:i w:val="1"/>
          <w:iCs w:val="1"/>
          <w:color w:val="auto"/>
        </w:rPr>
        <w:t>Commitments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Contingencies </w:t>
      </w:r>
      <w:r>
        <w:rPr>
          <w:rFonts w:ascii="Times New Roman" w:cs="Times New Roman" w:eastAsia="Times New Roman" w:hAnsi="Times New Roman"/>
          <w:sz w:val="18"/>
          <w:szCs w:val="18"/>
          <w:color w:val="auto"/>
        </w:rPr>
        <w:t>to the unaudited Condensed Consolidated Financial Statements included in Item 1 of Part I of this Quarterly Report on Form 10-Q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 details on unfunded investment commitments.</w:t>
      </w:r>
    </w:p>
    <w:p>
      <w:pPr>
        <w:spacing w:after="0" w:line="1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There have been no material changes in the market risks described in our Annual Report on Form 10-K for the year ended December 31, 2025.</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92"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As of the end of the period covered by this report, we carried out an evaluation, under the supervision and with the participation of our principal executive officer and principal financial officer, of the effectiveness of the design and operation of our disclosure controls and procedures, as such term is defined in Rule 13a-15(e) under the Securities Exchange Act of 1934, as amended. Based on this evaluation, our principal executive officer and principal financial officer concluded that our disclosure controls and procedures are effective to ensure that information required to be disclosed by us in the reports that we file or submit under the Securities Exchange Act of 1934 is: (a) recorded, processed, summarized and reported, within the time periods specified in the Commission’s rules and forms; and (b) accumulated and communicated to management, including our principal executive and principal financial officers, as appropriate to allow timely decisions regarding required disclosure.</w:t>
      </w:r>
    </w:p>
    <w:p>
      <w:pPr>
        <w:spacing w:after="0" w:line="8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three and nine months ended September 30, 2026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11" w:lineRule="exact"/>
        <w:rPr>
          <w:sz w:val="20"/>
          <w:szCs w:val="20"/>
          <w:color w:val="auto"/>
        </w:rPr>
      </w:pPr>
    </w:p>
    <w:p>
      <w:pPr>
        <w:ind w:firstLine="318"/>
        <w:spacing w:after="0" w:line="276" w:lineRule="auto"/>
        <w:rPr>
          <w:sz w:val="20"/>
          <w:szCs w:val="20"/>
          <w:color w:val="auto"/>
        </w:rPr>
      </w:pPr>
      <w:r>
        <w:rPr>
          <w:rFonts w:ascii="Times New Roman" w:cs="Times New Roman" w:eastAsia="Times New Roman" w:hAnsi="Times New Roman"/>
          <w:sz w:val="18"/>
          <w:szCs w:val="18"/>
          <w:color w:val="auto"/>
        </w:rPr>
        <w:t xml:space="preserve">See discussion of legal proceedings in Note F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to the unaudited Condensed Consolidated Financial Statements included in Item 1 of Part I of this Quarterly Report on Form 10-Q, which is incorporated by reference into this Item 1 of Part II.</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3"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There have been no material changes as of the date of this Quarterly Report on Form 10-Q to the risk factors disclosed in “Item 1A. Risk Factors” included in our Annual Report on Form 10-K for the year ended December 31, 2025.</w:t>
      </w:r>
    </w:p>
    <w:p>
      <w:pPr>
        <w:spacing w:after="0" w:line="1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Use of Proceeds, and Issuer Purchases of Equity Securities</w:t>
      </w:r>
    </w:p>
    <w:p>
      <w:pPr>
        <w:spacing w:after="0" w:line="1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repurchases of equity securities by FNF during the three months ended September 30, 2026:</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Total Number of Shares</w:t>
            </w:r>
          </w:p>
        </w:tc>
        <w:tc>
          <w:tcPr>
            <w:tcW w:w="120" w:type="dxa"/>
            <w:vAlign w:val="bottom"/>
          </w:tcPr>
          <w:p>
            <w:pPr>
              <w:spacing w:after="0"/>
              <w:rPr>
                <w:sz w:val="13"/>
                <w:szCs w:val="13"/>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Number of</w:t>
            </w:r>
          </w:p>
        </w:tc>
        <w:tc>
          <w:tcPr>
            <w:tcW w:w="0" w:type="dxa"/>
            <w:vAlign w:val="bottom"/>
          </w:tcPr>
          <w:p>
            <w:pPr>
              <w:spacing w:after="0"/>
              <w:rPr>
                <w:sz w:val="1"/>
                <w:szCs w:val="1"/>
                <w:color w:val="auto"/>
              </w:rPr>
            </w:pPr>
          </w:p>
        </w:tc>
      </w:tr>
      <w:tr>
        <w:trPr>
          <w:trHeight w:val="144"/>
        </w:trPr>
        <w:tc>
          <w:tcPr>
            <w:tcW w:w="4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20" w:type="dxa"/>
            <w:vAlign w:val="bottom"/>
          </w:tcPr>
          <w:p>
            <w:pPr>
              <w:spacing w:after="0"/>
              <w:rPr>
                <w:sz w:val="12"/>
                <w:szCs w:val="12"/>
                <w:color w:val="auto"/>
              </w:rPr>
            </w:pPr>
          </w:p>
        </w:tc>
        <w:tc>
          <w:tcPr>
            <w:tcW w:w="16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162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9"/>
              </w:rPr>
              <w:t>Purchased as Part of</w:t>
            </w:r>
          </w:p>
        </w:tc>
        <w:tc>
          <w:tcPr>
            <w:tcW w:w="120" w:type="dxa"/>
            <w:vAlign w:val="bottom"/>
          </w:tcPr>
          <w:p>
            <w:pPr>
              <w:spacing w:after="0"/>
              <w:rPr>
                <w:sz w:val="12"/>
                <w:szCs w:val="12"/>
                <w:color w:val="auto"/>
              </w:rPr>
            </w:pPr>
          </w:p>
        </w:tc>
        <w:tc>
          <w:tcPr>
            <w:tcW w:w="162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9"/>
              </w:rPr>
              <w:t>Shares that May Yet Be</w:t>
            </w:r>
          </w:p>
        </w:tc>
        <w:tc>
          <w:tcPr>
            <w:tcW w:w="0" w:type="dxa"/>
            <w:vAlign w:val="bottom"/>
          </w:tcPr>
          <w:p>
            <w:pPr>
              <w:spacing w:after="0"/>
              <w:rPr>
                <w:sz w:val="1"/>
                <w:szCs w:val="1"/>
                <w:color w:val="auto"/>
              </w:rPr>
            </w:pPr>
          </w:p>
        </w:tc>
      </w:tr>
      <w:tr>
        <w:trPr>
          <w:trHeight w:val="146"/>
        </w:trPr>
        <w:tc>
          <w:tcPr>
            <w:tcW w:w="43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00" w:type="dxa"/>
            <w:vAlign w:val="bottom"/>
            <w:vMerge w:val="restart"/>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6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Publicly Announced</w:t>
            </w:r>
          </w:p>
        </w:tc>
        <w:tc>
          <w:tcPr>
            <w:tcW w:w="120" w:type="dxa"/>
            <w:vAlign w:val="bottom"/>
          </w:tcPr>
          <w:p>
            <w:pPr>
              <w:spacing w:after="0"/>
              <w:rPr>
                <w:sz w:val="12"/>
                <w:szCs w:val="12"/>
                <w:color w:val="auto"/>
              </w:rPr>
            </w:pPr>
          </w:p>
        </w:tc>
        <w:tc>
          <w:tcPr>
            <w:tcW w:w="16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Purchased Under the</w:t>
            </w:r>
          </w:p>
        </w:tc>
        <w:tc>
          <w:tcPr>
            <w:tcW w:w="0" w:type="dxa"/>
            <w:vAlign w:val="bottom"/>
          </w:tcPr>
          <w:p>
            <w:pPr>
              <w:spacing w:after="0"/>
              <w:rPr>
                <w:sz w:val="1"/>
                <w:szCs w:val="1"/>
                <w:color w:val="auto"/>
              </w:rPr>
            </w:pPr>
          </w:p>
        </w:tc>
      </w:tr>
      <w:tr>
        <w:trPr>
          <w:trHeight w:val="193"/>
        </w:trPr>
        <w:tc>
          <w:tcPr>
            <w:tcW w:w="43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2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0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Plans or Programs (1)</w:t>
            </w:r>
          </w:p>
        </w:tc>
        <w:tc>
          <w:tcPr>
            <w:tcW w:w="12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Plans or Programs (2)</w:t>
            </w:r>
          </w:p>
        </w:tc>
        <w:tc>
          <w:tcPr>
            <w:tcW w:w="0" w:type="dxa"/>
            <w:vAlign w:val="bottom"/>
          </w:tcPr>
          <w:p>
            <w:pPr>
              <w:spacing w:after="0"/>
              <w:rPr>
                <w:sz w:val="1"/>
                <w:szCs w:val="1"/>
                <w:color w:val="auto"/>
              </w:rPr>
            </w:pPr>
          </w:p>
        </w:tc>
      </w:tr>
      <w:tr>
        <w:trPr>
          <w:trHeight w:val="237"/>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7/1/2026 - 7/31/2026</w:t>
            </w:r>
          </w:p>
        </w:tc>
        <w:tc>
          <w:tcPr>
            <w:tcW w:w="10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48.75</w:t>
            </w:r>
          </w:p>
        </w:tc>
        <w:tc>
          <w:tcPr>
            <w:tcW w:w="10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17,533,776</w:t>
            </w:r>
          </w:p>
        </w:tc>
        <w:tc>
          <w:tcPr>
            <w:tcW w:w="0" w:type="dxa"/>
            <w:vAlign w:val="bottom"/>
          </w:tcPr>
          <w:p>
            <w:pPr>
              <w:spacing w:after="0"/>
              <w:rPr>
                <w:sz w:val="1"/>
                <w:szCs w:val="1"/>
                <w:color w:val="auto"/>
              </w:rPr>
            </w:pPr>
          </w:p>
        </w:tc>
      </w:tr>
      <w:tr>
        <w:trPr>
          <w:trHeight w:val="238"/>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8/1/2026 - 8/31/2026</w:t>
            </w:r>
          </w:p>
        </w:tc>
        <w:tc>
          <w:tcPr>
            <w:tcW w:w="100" w:type="dxa"/>
            <w:vAlign w:val="bottom"/>
          </w:tcPr>
          <w:p>
            <w:pPr>
              <w:spacing w:after="0"/>
              <w:rPr>
                <w:sz w:val="20"/>
                <w:szCs w:val="20"/>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17,533,776</w:t>
            </w:r>
          </w:p>
        </w:tc>
        <w:tc>
          <w:tcPr>
            <w:tcW w:w="0" w:type="dxa"/>
            <w:vAlign w:val="bottom"/>
          </w:tcPr>
          <w:p>
            <w:pPr>
              <w:spacing w:after="0"/>
              <w:rPr>
                <w:sz w:val="1"/>
                <w:szCs w:val="1"/>
                <w:color w:val="auto"/>
              </w:rPr>
            </w:pPr>
          </w:p>
        </w:tc>
      </w:tr>
      <w:tr>
        <w:trPr>
          <w:trHeight w:val="238"/>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9/1/2026 - 9/30/2026</w:t>
            </w:r>
          </w:p>
        </w:tc>
        <w:tc>
          <w:tcPr>
            <w:tcW w:w="10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17,533,776</w:t>
            </w:r>
          </w:p>
        </w:tc>
        <w:tc>
          <w:tcPr>
            <w:tcW w:w="0" w:type="dxa"/>
            <w:vAlign w:val="bottom"/>
          </w:tcPr>
          <w:p>
            <w:pPr>
              <w:spacing w:after="0"/>
              <w:rPr>
                <w:sz w:val="1"/>
                <w:szCs w:val="1"/>
                <w:color w:val="auto"/>
              </w:rPr>
            </w:pPr>
          </w:p>
        </w:tc>
      </w:tr>
      <w:tr>
        <w:trPr>
          <w:trHeight w:val="233"/>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48.75</w:t>
            </w:r>
          </w:p>
        </w:tc>
        <w:tc>
          <w:tcPr>
            <w:tcW w:w="100" w:type="dxa"/>
            <w:vAlign w:val="bottom"/>
          </w:tcPr>
          <w:p>
            <w:pPr>
              <w:spacing w:after="0"/>
              <w:rPr>
                <w:sz w:val="20"/>
                <w:szCs w:val="20"/>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960" w:hanging="636"/>
        <w:spacing w:after="0" w:line="274" w:lineRule="auto"/>
        <w:tabs>
          <w:tab w:leader="none" w:pos="71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31, 2024, our Board of Directors approved a three-year stock repurchase program effective July 31, 2024, under which we are authorized to purchase up to 25 million shares of our FNF common stock through July 31, 2027.</w:t>
      </w:r>
    </w:p>
    <w:p>
      <w:pPr>
        <w:spacing w:after="0" w:line="44" w:lineRule="exact"/>
        <w:rPr>
          <w:rFonts w:ascii="Times New Roman" w:cs="Times New Roman" w:eastAsia="Times New Roman" w:hAnsi="Times New Roman"/>
          <w:sz w:val="18"/>
          <w:szCs w:val="18"/>
          <w:color w:val="auto"/>
        </w:rPr>
      </w:pPr>
    </w:p>
    <w:p>
      <w:pPr>
        <w:ind w:left="700" w:hanging="376"/>
        <w:spacing w:after="0"/>
        <w:tabs>
          <w:tab w:leader="none" w:pos="7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last day of the applicable month.</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66"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During the three months ended September 30, 2026, no director or executive officer of the Company adopted or terminated a "Rule 10b5-1 trading arrangement" or "non-Rule 10b5-1 trading arrangement," as each term is defined in Item 408(a) of Regulation S-K.</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1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 Exhibits: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07"/>
        </w:trPr>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500" w:type="dxa"/>
            <w:vAlign w:val="bottom"/>
          </w:tcPr>
          <w:p>
            <w:pPr>
              <w:spacing w:after="0"/>
              <w:rPr>
                <w:sz w:val="17"/>
                <w:szCs w:val="17"/>
                <w:color w:val="auto"/>
              </w:rPr>
            </w:pPr>
          </w:p>
        </w:tc>
        <w:tc>
          <w:tcPr>
            <w:tcW w:w="5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908"/>
        </w:trPr>
        <w:tc>
          <w:tcPr>
            <w:tcW w:w="1260" w:type="dxa"/>
            <w:vAlign w:val="bottom"/>
            <w:tcBorders>
              <w:top w:val="single" w:sz="8" w:color="0000FF"/>
            </w:tcBorders>
          </w:tcPr>
          <w:p>
            <w:pPr>
              <w:jc w:val="center"/>
              <w:ind w:right="52"/>
              <w:spacing w:after="0"/>
              <w:rPr>
                <w:sz w:val="20"/>
                <w:szCs w:val="20"/>
                <w:color w:val="auto"/>
              </w:rPr>
            </w:pPr>
            <w:r>
              <w:rPr>
                <w:rFonts w:ascii="Times New Roman" w:cs="Times New Roman" w:eastAsia="Times New Roman" w:hAnsi="Times New Roman"/>
                <w:sz w:val="18"/>
                <w:szCs w:val="18"/>
                <w:color w:val="auto"/>
                <w:w w:val="96"/>
              </w:rPr>
              <w:t>31.1**</w:t>
            </w:r>
          </w:p>
        </w:tc>
        <w:tc>
          <w:tcPr>
            <w:tcW w:w="260" w:type="dxa"/>
            <w:vAlign w:val="bottom"/>
          </w:tcPr>
          <w:p>
            <w:pPr>
              <w:spacing w:after="0"/>
              <w:rPr>
                <w:sz w:val="24"/>
                <w:szCs w:val="24"/>
                <w:color w:val="auto"/>
              </w:rPr>
            </w:pPr>
          </w:p>
        </w:tc>
        <w:tc>
          <w:tcPr>
            <w:tcW w:w="71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Certification of Chief Executive Officer pursuant to Section 302 of the Sarbanes-Oxley Act of 2002.</w:t>
            </w:r>
          </w:p>
        </w:tc>
        <w:tc>
          <w:tcPr>
            <w:tcW w:w="2600" w:type="dxa"/>
            <w:vAlign w:val="bottom"/>
            <w:gridSpan w:val="3"/>
          </w:tcPr>
          <w:p>
            <w:pPr>
              <w:spacing w:after="0"/>
              <w:rPr>
                <w:sz w:val="24"/>
                <w:szCs w:val="24"/>
                <w:color w:val="auto"/>
              </w:rPr>
            </w:pPr>
          </w:p>
        </w:tc>
      </w:tr>
      <w:tr>
        <w:trPr>
          <w:trHeight w:val="324"/>
        </w:trPr>
        <w:tc>
          <w:tcPr>
            <w:tcW w:w="126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6"/>
              </w:rPr>
              <w:t>31.2**</w:t>
            </w:r>
          </w:p>
        </w:tc>
        <w:tc>
          <w:tcPr>
            <w:tcW w:w="260" w:type="dxa"/>
            <w:vAlign w:val="bottom"/>
          </w:tcPr>
          <w:p>
            <w:pPr>
              <w:spacing w:after="0"/>
              <w:rPr>
                <w:sz w:val="24"/>
                <w:szCs w:val="24"/>
                <w:color w:val="auto"/>
              </w:rPr>
            </w:pPr>
          </w:p>
        </w:tc>
        <w:tc>
          <w:tcPr>
            <w:tcW w:w="97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Section 302 of the Sarbanes-Oxley Act of 2002.</w:t>
            </w:r>
          </w:p>
        </w:tc>
      </w:tr>
      <w:tr>
        <w:trPr>
          <w:trHeight w:val="20"/>
        </w:trPr>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5540" w:type="dxa"/>
            <w:vAlign w:val="bottom"/>
            <w:shd w:val="clear" w:color="auto" w:fill="0000FF"/>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24"/>
        </w:trPr>
        <w:tc>
          <w:tcPr>
            <w:tcW w:w="126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w w:val="99"/>
              </w:rPr>
              <w:t>32.1***</w:t>
            </w:r>
          </w:p>
        </w:tc>
        <w:tc>
          <w:tcPr>
            <w:tcW w:w="260" w:type="dxa"/>
            <w:vAlign w:val="bottom"/>
          </w:tcPr>
          <w:p>
            <w:pPr>
              <w:spacing w:after="0"/>
              <w:rPr>
                <w:sz w:val="24"/>
                <w:szCs w:val="24"/>
                <w:color w:val="auto"/>
              </w:rPr>
            </w:pPr>
          </w:p>
        </w:tc>
        <w:tc>
          <w:tcPr>
            <w:tcW w:w="97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by Chief Executive Officer of Periodic Financial Reports pursuant to Section 906 of the Sarbanes-Oxley Act of 2002, 18</w:t>
            </w:r>
          </w:p>
        </w:tc>
      </w:tr>
      <w:tr>
        <w:trPr>
          <w:trHeight w:val="152"/>
        </w:trPr>
        <w:tc>
          <w:tcPr>
            <w:tcW w:w="1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tcBorders>
              <w:top w:val="single" w:sz="8" w:color="0000FF"/>
              <w:bottom w:val="single" w:sz="8" w:color="0000FF"/>
            </w:tcBorders>
          </w:tcPr>
          <w:p>
            <w:pPr>
              <w:spacing w:after="0" w:line="152" w:lineRule="exact"/>
              <w:rPr>
                <w:sz w:val="20"/>
                <w:szCs w:val="20"/>
                <w:color w:val="auto"/>
              </w:rPr>
            </w:pPr>
            <w:r>
              <w:rPr>
                <w:rFonts w:ascii="Times New Roman" w:cs="Times New Roman" w:eastAsia="Times New Roman" w:hAnsi="Times New Roman"/>
                <w:sz w:val="17"/>
                <w:szCs w:val="17"/>
                <w:color w:val="0000FF"/>
              </w:rPr>
              <w:t>U.S.C. Section 1350.</w:t>
            </w:r>
          </w:p>
        </w:tc>
        <w:tc>
          <w:tcPr>
            <w:tcW w:w="818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r>
      <w:tr>
        <w:trPr>
          <w:trHeight w:val="378"/>
        </w:trPr>
        <w:tc>
          <w:tcPr>
            <w:tcW w:w="126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w w:val="99"/>
              </w:rPr>
              <w:t>32.2***</w:t>
            </w:r>
          </w:p>
        </w:tc>
        <w:tc>
          <w:tcPr>
            <w:tcW w:w="260" w:type="dxa"/>
            <w:vAlign w:val="bottom"/>
          </w:tcPr>
          <w:p>
            <w:pPr>
              <w:spacing w:after="0"/>
              <w:rPr>
                <w:sz w:val="24"/>
                <w:szCs w:val="24"/>
                <w:color w:val="auto"/>
              </w:rPr>
            </w:pPr>
          </w:p>
        </w:tc>
        <w:tc>
          <w:tcPr>
            <w:tcW w:w="97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by Chief Financial Officer of Periodic Financial Reports pursuant to Section 906 of the Sarbanes-Oxley Act of 2002, 18</w:t>
            </w:r>
          </w:p>
        </w:tc>
      </w:tr>
      <w:tr>
        <w:trPr>
          <w:trHeight w:val="152"/>
        </w:trPr>
        <w:tc>
          <w:tcPr>
            <w:tcW w:w="1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tcBorders>
              <w:top w:val="single" w:sz="8" w:color="0000FF"/>
              <w:bottom w:val="single" w:sz="8" w:color="0000FF"/>
            </w:tcBorders>
          </w:tcPr>
          <w:p>
            <w:pPr>
              <w:spacing w:after="0" w:line="152" w:lineRule="exact"/>
              <w:rPr>
                <w:sz w:val="20"/>
                <w:szCs w:val="20"/>
                <w:color w:val="auto"/>
              </w:rPr>
            </w:pPr>
            <w:r>
              <w:rPr>
                <w:rFonts w:ascii="Times New Roman" w:cs="Times New Roman" w:eastAsia="Times New Roman" w:hAnsi="Times New Roman"/>
                <w:sz w:val="17"/>
                <w:szCs w:val="17"/>
                <w:color w:val="0000FF"/>
              </w:rPr>
              <w:t>U.S.C. Section 1350.</w:t>
            </w:r>
          </w:p>
        </w:tc>
        <w:tc>
          <w:tcPr>
            <w:tcW w:w="8160" w:type="dxa"/>
            <w:vAlign w:val="bottom"/>
            <w:tcBorders>
              <w:top w:val="single" w:sz="8" w:color="0000FF"/>
            </w:tcBorders>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418"/>
        </w:trPr>
        <w:tc>
          <w:tcPr>
            <w:tcW w:w="15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7"/>
              </w:rPr>
              <w:t>101.INS*</w:t>
            </w:r>
          </w:p>
        </w:tc>
        <w:tc>
          <w:tcPr>
            <w:tcW w:w="9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557"/>
        </w:trPr>
        <w:tc>
          <w:tcPr>
            <w:tcW w:w="15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101.SCH</w:t>
            </w:r>
          </w:p>
        </w:tc>
        <w:tc>
          <w:tcPr>
            <w:tcW w:w="9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384"/>
        </w:trPr>
        <w:tc>
          <w:tcPr>
            <w:tcW w:w="15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7"/>
              </w:rPr>
              <w:t>101.CAL</w:t>
            </w:r>
          </w:p>
        </w:tc>
        <w:tc>
          <w:tcPr>
            <w:tcW w:w="9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384"/>
        </w:trPr>
        <w:tc>
          <w:tcPr>
            <w:tcW w:w="15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7"/>
              </w:rPr>
              <w:t>101.DEF</w:t>
            </w:r>
          </w:p>
        </w:tc>
        <w:tc>
          <w:tcPr>
            <w:tcW w:w="9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384"/>
        </w:trPr>
        <w:tc>
          <w:tcPr>
            <w:tcW w:w="15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101.PRE</w:t>
            </w:r>
          </w:p>
        </w:tc>
        <w:tc>
          <w:tcPr>
            <w:tcW w:w="9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384"/>
        </w:trPr>
        <w:tc>
          <w:tcPr>
            <w:tcW w:w="15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7"/>
              </w:rPr>
              <w:t>101.LAB</w:t>
            </w:r>
          </w:p>
        </w:tc>
        <w:tc>
          <w:tcPr>
            <w:tcW w:w="9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bl>
    <w:p>
      <w:pPr>
        <w:spacing w:after="0" w:line="153" w:lineRule="exact"/>
        <w:rPr>
          <w:sz w:val="20"/>
          <w:szCs w:val="20"/>
          <w:color w:val="auto"/>
        </w:rPr>
      </w:pPr>
    </w:p>
    <w:p>
      <w:pPr>
        <w:ind w:left="1520" w:hanging="1097"/>
        <w:spacing w:after="0"/>
        <w:tabs>
          <w:tab w:leader="none" w:pos="15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in Inline XBRL and contained in Exhibit 101.</w:t>
      </w:r>
    </w:p>
    <w:p>
      <w:pPr>
        <w:spacing w:after="0" w:line="226" w:lineRule="exact"/>
        <w:rPr>
          <w:rFonts w:ascii="Times New Roman" w:cs="Times New Roman" w:eastAsia="Times New Roman" w:hAnsi="Times New Roman"/>
          <w:sz w:val="18"/>
          <w:szCs w:val="18"/>
          <w:color w:val="auto"/>
        </w:rPr>
      </w:pPr>
    </w:p>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 The instance document does not appear in the interactive data file because its XBRL tags are embedded within the inline XBRL document.</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80" w:hanging="174"/>
        <w:spacing w:after="0"/>
        <w:tabs>
          <w:tab w:leader="none" w:pos="1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90" w:lineRule="exact"/>
        <w:rPr>
          <w:rFonts w:ascii="Times New Roman" w:cs="Times New Roman" w:eastAsia="Times New Roman" w:hAnsi="Times New Roman"/>
          <w:sz w:val="14"/>
          <w:szCs w:val="14"/>
          <w:color w:val="auto"/>
        </w:rPr>
      </w:pPr>
    </w:p>
    <w:p>
      <w:pPr>
        <w:ind w:left="260" w:hanging="254"/>
        <w:spacing w:after="0"/>
        <w:tabs>
          <w:tab w:leader="none" w:pos="2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Furnished, not filed.</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05" w:right="37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SIGNATURES</w:t>
      </w:r>
    </w:p>
    <w:p>
      <w:pPr>
        <w:spacing w:after="0" w:line="111" w:lineRule="exact"/>
        <w:rPr>
          <w:sz w:val="20"/>
          <w:szCs w:val="20"/>
          <w:color w:val="auto"/>
        </w:rPr>
      </w:pPr>
    </w:p>
    <w:p>
      <w:pPr>
        <w:ind w:firstLine="159"/>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ectPr>
          <w:pgSz w:w="11900" w:h="16838" w:orient="portrait"/>
          <w:cols w:equalWidth="0" w:num="1">
            <w:col w:w="11160"/>
          </w:cols>
          <w:pgMar w:left="320" w:top="121" w:right="419" w:bottom="1440" w:gutter="0" w:footer="0" w:header="0"/>
        </w:sectPr>
      </w:pPr>
    </w:p>
    <w:p>
      <w:pPr>
        <w:spacing w:after="0" w:line="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Date: November 6, 2026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FIDELITY NATIONAL FINANCIAL, INC.</w:t>
      </w:r>
    </w:p>
    <w:p>
      <w:pPr>
        <w:spacing w:after="0"/>
        <w:rPr>
          <w:sz w:val="20"/>
          <w:szCs w:val="20"/>
          <w:color w:val="auto"/>
        </w:rPr>
      </w:pPr>
      <w:r>
        <w:rPr>
          <w:rFonts w:ascii="Times New Roman" w:cs="Times New Roman" w:eastAsia="Times New Roman" w:hAnsi="Times New Roman"/>
          <w:sz w:val="18"/>
          <w:szCs w:val="18"/>
          <w:color w:val="auto"/>
        </w:rPr>
        <w:t>(registrant)</w:t>
      </w:r>
    </w:p>
    <w:p>
      <w:pPr>
        <w:spacing w:after="0" w:line="195" w:lineRule="exact"/>
        <w:rPr>
          <w:sz w:val="20"/>
          <w:szCs w:val="20"/>
          <w:color w:val="auto"/>
        </w:rPr>
      </w:pPr>
    </w:p>
    <w:p>
      <w:pPr>
        <w:sectPr>
          <w:pgSz w:w="11900" w:h="16838" w:orient="portrait"/>
          <w:cols w:equalWidth="0" w:num="2">
            <w:col w:w="4720" w:space="720"/>
            <w:col w:w="5720"/>
          </w:cols>
          <w:pgMar w:left="320" w:top="121" w:right="419" w:bottom="1440" w:gutter="0" w:footer="0" w:header="0"/>
          <w:type w:val="continuous"/>
        </w:sectPr>
      </w:pPr>
    </w:p>
    <w:p>
      <w:pPr>
        <w:spacing w:after="0" w:line="2"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i w:val="1"/>
          <w:iCs w:val="1"/>
          <w:color w:val="auto"/>
        </w:rPr>
        <w:t>/s/ Anthony J.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23495</wp:posOffset>
            </wp:positionV>
            <wp:extent cx="270065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700655" cy="8255"/>
                    </a:xfrm>
                    <a:prstGeom prst="rect">
                      <a:avLst/>
                    </a:prstGeom>
                    <a:noFill/>
                  </pic:spPr>
                </pic:pic>
              </a:graphicData>
            </a:graphic>
          </wp:anchor>
        </w:drawing>
      </w:r>
    </w:p>
    <w:p>
      <w:pPr>
        <w:spacing w:after="0" w:line="57" w:lineRule="exact"/>
        <w:rPr>
          <w:sz w:val="20"/>
          <w:szCs w:val="20"/>
          <w:color w:val="auto"/>
        </w:rPr>
      </w:pPr>
    </w:p>
    <w:p>
      <w:pPr>
        <w:sectPr>
          <w:pgSz w:w="11900" w:h="16838" w:orient="portrait"/>
          <w:cols w:equalWidth="0" w:num="2">
            <w:col w:w="5700" w:space="220"/>
            <w:col w:w="5240"/>
          </w:cols>
          <w:pgMar w:left="320" w:top="121" w:right="419" w:bottom="1440" w:gutter="0" w:footer="0" w:header="0"/>
          <w:type w:val="continuous"/>
        </w:sectPr>
      </w:pPr>
    </w:p>
    <w:p>
      <w:pPr>
        <w:ind w:left="5920"/>
        <w:spacing w:after="0"/>
        <w:rPr>
          <w:sz w:val="20"/>
          <w:szCs w:val="20"/>
          <w:color w:val="auto"/>
        </w:rPr>
      </w:pPr>
      <w:r>
        <w:rPr>
          <w:rFonts w:ascii="Times New Roman" w:cs="Times New Roman" w:eastAsia="Times New Roman" w:hAnsi="Times New Roman"/>
          <w:sz w:val="18"/>
          <w:szCs w:val="18"/>
          <w:color w:val="auto"/>
        </w:rPr>
        <w:t>Anthony J. Park</w:t>
      </w:r>
    </w:p>
    <w:p>
      <w:pPr>
        <w:spacing w:after="0" w:line="17"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Chief Financial Officer</w:t>
      </w:r>
    </w:p>
    <w:p>
      <w:pPr>
        <w:ind w:left="5920"/>
        <w:spacing w:after="0"/>
        <w:rPr>
          <w:sz w:val="20"/>
          <w:szCs w:val="20"/>
          <w:color w:val="auto"/>
        </w:rPr>
      </w:pPr>
      <w:r>
        <w:rPr>
          <w:rFonts w:ascii="Times New Roman" w:cs="Times New Roman" w:eastAsia="Times New Roman" w:hAnsi="Times New Roman"/>
          <w:sz w:val="17"/>
          <w:szCs w:val="17"/>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160"/>
          </w:cols>
          <w:pgMar w:left="320" w:top="121" w:right="419" w:bottom="1440" w:gutter="0" w:footer="0" w:header="0"/>
          <w:type w:val="continuous"/>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J. Nolan, certify that:</w:t>
      </w:r>
    </w:p>
    <w:p>
      <w:pPr>
        <w:spacing w:after="0" w:line="145" w:lineRule="exact"/>
        <w:rPr>
          <w:sz w:val="20"/>
          <w:szCs w:val="20"/>
          <w:color w:val="auto"/>
        </w:rPr>
      </w:pPr>
    </w:p>
    <w:p>
      <w:pPr>
        <w:ind w:left="180" w:hanging="174"/>
        <w:spacing w:after="0"/>
        <w:tabs>
          <w:tab w:leader="none" w:pos="1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10-Q of Fidelity National Financial, Inc.;</w:t>
      </w:r>
    </w:p>
    <w:p>
      <w:pPr>
        <w:spacing w:after="0" w:line="164" w:lineRule="exact"/>
        <w:rPr>
          <w:rFonts w:ascii="Times New Roman" w:cs="Times New Roman" w:eastAsia="Times New Roman" w:hAnsi="Times New Roman"/>
          <w:sz w:val="18"/>
          <w:szCs w:val="18"/>
          <w:color w:val="auto"/>
        </w:rPr>
      </w:pPr>
    </w:p>
    <w:p>
      <w:pPr>
        <w:ind w:firstLine="6"/>
        <w:spacing w:after="0" w:line="274" w:lineRule="auto"/>
        <w:tabs>
          <w:tab w:leader="none" w:pos="20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0" w:lineRule="exact"/>
        <w:rPr>
          <w:rFonts w:ascii="Times New Roman" w:cs="Times New Roman" w:eastAsia="Times New Roman" w:hAnsi="Times New Roman"/>
          <w:sz w:val="18"/>
          <w:szCs w:val="18"/>
          <w:color w:val="auto"/>
        </w:rPr>
      </w:pPr>
    </w:p>
    <w:p>
      <w:pPr>
        <w:ind w:firstLine="6"/>
        <w:spacing w:after="0" w:line="274" w:lineRule="auto"/>
        <w:tabs>
          <w:tab w:leader="none" w:pos="1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0" w:lineRule="exact"/>
        <w:rPr>
          <w:rFonts w:ascii="Times New Roman" w:cs="Times New Roman" w:eastAsia="Times New Roman" w:hAnsi="Times New Roman"/>
          <w:sz w:val="18"/>
          <w:szCs w:val="18"/>
          <w:color w:val="auto"/>
        </w:rPr>
      </w:pPr>
    </w:p>
    <w:p>
      <w:pPr>
        <w:jc w:val="both"/>
        <w:ind w:firstLine="6"/>
        <w:spacing w:after="0" w:line="259" w:lineRule="auto"/>
        <w:tabs>
          <w:tab w:leader="none" w:pos="18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8"/>
          <w:szCs w:val="18"/>
          <w:color w:val="auto"/>
        </w:rPr>
      </w:pPr>
    </w:p>
    <w:p>
      <w:pPr>
        <w:jc w:val="both"/>
        <w:ind w:left="1440" w:hanging="957"/>
        <w:spacing w:after="0" w:line="259" w:lineRule="auto"/>
        <w:tabs>
          <w:tab w:leader="none" w:pos="1437"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Times New Roman" w:cs="Times New Roman" w:eastAsia="Times New Roman" w:hAnsi="Times New Roman"/>
          <w:sz w:val="18"/>
          <w:szCs w:val="18"/>
          <w:color w:val="auto"/>
        </w:rPr>
      </w:pPr>
    </w:p>
    <w:p>
      <w:pPr>
        <w:jc w:val="both"/>
        <w:ind w:left="1440" w:hanging="957"/>
        <w:spacing w:after="0" w:line="259" w:lineRule="auto"/>
        <w:tabs>
          <w:tab w:leader="none" w:pos="1434"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4" w:lineRule="exact"/>
        <w:rPr>
          <w:rFonts w:ascii="Times New Roman" w:cs="Times New Roman" w:eastAsia="Times New Roman" w:hAnsi="Times New Roman"/>
          <w:sz w:val="18"/>
          <w:szCs w:val="18"/>
          <w:color w:val="auto"/>
        </w:rPr>
      </w:pPr>
    </w:p>
    <w:p>
      <w:pPr>
        <w:ind w:left="1440" w:hanging="957"/>
        <w:spacing w:after="0" w:line="274" w:lineRule="auto"/>
        <w:tabs>
          <w:tab w:leader="none" w:pos="1437"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Times New Roman" w:cs="Times New Roman" w:eastAsia="Times New Roman" w:hAnsi="Times New Roman"/>
          <w:sz w:val="18"/>
          <w:szCs w:val="18"/>
          <w:color w:val="auto"/>
        </w:rPr>
      </w:pPr>
    </w:p>
    <w:p>
      <w:pPr>
        <w:jc w:val="both"/>
        <w:ind w:left="1440" w:hanging="957"/>
        <w:spacing w:after="0" w:line="259" w:lineRule="auto"/>
        <w:tabs>
          <w:tab w:leader="none" w:pos="1434"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4" w:lineRule="exact"/>
        <w:rPr>
          <w:rFonts w:ascii="Times New Roman" w:cs="Times New Roman" w:eastAsia="Times New Roman" w:hAnsi="Times New Roman"/>
          <w:sz w:val="18"/>
          <w:szCs w:val="18"/>
          <w:color w:val="auto"/>
        </w:rPr>
      </w:pPr>
    </w:p>
    <w:p>
      <w:pPr>
        <w:ind w:firstLine="6"/>
        <w:spacing w:after="0" w:line="274" w:lineRule="auto"/>
        <w:tabs>
          <w:tab w:leader="none" w:pos="20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0" w:lineRule="exact"/>
        <w:rPr>
          <w:rFonts w:ascii="Times New Roman" w:cs="Times New Roman" w:eastAsia="Times New Roman" w:hAnsi="Times New Roman"/>
          <w:sz w:val="18"/>
          <w:szCs w:val="18"/>
          <w:color w:val="auto"/>
        </w:rPr>
      </w:pPr>
    </w:p>
    <w:p>
      <w:pPr>
        <w:ind w:left="1440" w:hanging="957"/>
        <w:spacing w:after="0" w:line="274" w:lineRule="auto"/>
        <w:tabs>
          <w:tab w:leader="none" w:pos="1437"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Times New Roman" w:cs="Times New Roman" w:eastAsia="Times New Roman" w:hAnsi="Times New Roman"/>
          <w:sz w:val="18"/>
          <w:szCs w:val="18"/>
          <w:color w:val="auto"/>
        </w:rPr>
      </w:pPr>
    </w:p>
    <w:p>
      <w:pPr>
        <w:ind w:left="1440" w:hanging="957"/>
        <w:spacing w:after="0" w:line="274" w:lineRule="auto"/>
        <w:tabs>
          <w:tab w:leader="none" w:pos="1434"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6, 2026</w:t>
      </w:r>
    </w:p>
    <w:p>
      <w:pPr>
        <w:spacing w:after="0" w:line="56" w:lineRule="exact"/>
        <w:rPr>
          <w:sz w:val="20"/>
          <w:szCs w:val="20"/>
          <w:color w:val="auto"/>
        </w:rPr>
      </w:pPr>
    </w:p>
    <w:p>
      <w:pPr>
        <w:ind w:left="460"/>
        <w:spacing w:after="0"/>
        <w:tabs>
          <w:tab w:leader="none" w:pos="11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Michael J. Nolan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15875</wp:posOffset>
            </wp:positionV>
            <wp:extent cx="263334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633345" cy="8255"/>
                    </a:xfrm>
                    <a:prstGeom prst="rect">
                      <a:avLst/>
                    </a:prstGeom>
                    <a:noFill/>
                  </pic:spPr>
                </pic:pic>
              </a:graphicData>
            </a:graphic>
          </wp:anchor>
        </w:drawing>
      </w:r>
    </w:p>
    <w:p>
      <w:pPr>
        <w:spacing w:after="0" w:line="1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Michael J. Nolan</w:t>
      </w:r>
    </w:p>
    <w:p>
      <w:pPr>
        <w:ind w:left="114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874" w:right="3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Anthony J. Park, certify that:</w:t>
      </w:r>
    </w:p>
    <w:p>
      <w:pPr>
        <w:spacing w:after="0" w:line="145" w:lineRule="exact"/>
        <w:rPr>
          <w:sz w:val="20"/>
          <w:szCs w:val="20"/>
          <w:color w:val="auto"/>
        </w:rPr>
      </w:pPr>
    </w:p>
    <w:p>
      <w:pPr>
        <w:ind w:left="180" w:hanging="174"/>
        <w:spacing w:after="0"/>
        <w:tabs>
          <w:tab w:leader="none" w:pos="1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10-Q of Fidelity National Financial, Inc.;</w:t>
      </w:r>
    </w:p>
    <w:p>
      <w:pPr>
        <w:spacing w:after="0" w:line="164" w:lineRule="exact"/>
        <w:rPr>
          <w:rFonts w:ascii="Times New Roman" w:cs="Times New Roman" w:eastAsia="Times New Roman" w:hAnsi="Times New Roman"/>
          <w:sz w:val="18"/>
          <w:szCs w:val="18"/>
          <w:color w:val="auto"/>
        </w:rPr>
      </w:pPr>
    </w:p>
    <w:p>
      <w:pPr>
        <w:ind w:firstLine="6"/>
        <w:spacing w:after="0" w:line="274" w:lineRule="auto"/>
        <w:tabs>
          <w:tab w:leader="none" w:pos="20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0" w:lineRule="exact"/>
        <w:rPr>
          <w:rFonts w:ascii="Times New Roman" w:cs="Times New Roman" w:eastAsia="Times New Roman" w:hAnsi="Times New Roman"/>
          <w:sz w:val="18"/>
          <w:szCs w:val="18"/>
          <w:color w:val="auto"/>
        </w:rPr>
      </w:pPr>
    </w:p>
    <w:p>
      <w:pPr>
        <w:ind w:firstLine="6"/>
        <w:spacing w:after="0" w:line="274" w:lineRule="auto"/>
        <w:tabs>
          <w:tab w:leader="none" w:pos="1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0" w:lineRule="exact"/>
        <w:rPr>
          <w:rFonts w:ascii="Times New Roman" w:cs="Times New Roman" w:eastAsia="Times New Roman" w:hAnsi="Times New Roman"/>
          <w:sz w:val="18"/>
          <w:szCs w:val="18"/>
          <w:color w:val="auto"/>
        </w:rPr>
      </w:pPr>
    </w:p>
    <w:p>
      <w:pPr>
        <w:jc w:val="both"/>
        <w:ind w:firstLine="6"/>
        <w:spacing w:after="0" w:line="259" w:lineRule="auto"/>
        <w:tabs>
          <w:tab w:leader="none" w:pos="18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8"/>
          <w:szCs w:val="18"/>
          <w:color w:val="auto"/>
        </w:rPr>
      </w:pPr>
    </w:p>
    <w:p>
      <w:pPr>
        <w:jc w:val="both"/>
        <w:ind w:left="1440" w:hanging="957"/>
        <w:spacing w:after="0" w:line="259" w:lineRule="auto"/>
        <w:tabs>
          <w:tab w:leader="none" w:pos="1437"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Times New Roman" w:cs="Times New Roman" w:eastAsia="Times New Roman" w:hAnsi="Times New Roman"/>
          <w:sz w:val="18"/>
          <w:szCs w:val="18"/>
          <w:color w:val="auto"/>
        </w:rPr>
      </w:pPr>
    </w:p>
    <w:p>
      <w:pPr>
        <w:jc w:val="both"/>
        <w:ind w:left="1440" w:hanging="957"/>
        <w:spacing w:after="0" w:line="259" w:lineRule="auto"/>
        <w:tabs>
          <w:tab w:leader="none" w:pos="143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4" w:lineRule="exact"/>
        <w:rPr>
          <w:rFonts w:ascii="Times New Roman" w:cs="Times New Roman" w:eastAsia="Times New Roman" w:hAnsi="Times New Roman"/>
          <w:sz w:val="18"/>
          <w:szCs w:val="18"/>
          <w:color w:val="auto"/>
        </w:rPr>
      </w:pPr>
    </w:p>
    <w:p>
      <w:pPr>
        <w:ind w:left="1440" w:hanging="957"/>
        <w:spacing w:after="0" w:line="274" w:lineRule="auto"/>
        <w:tabs>
          <w:tab w:leader="none" w:pos="1437"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Times New Roman" w:cs="Times New Roman" w:eastAsia="Times New Roman" w:hAnsi="Times New Roman"/>
          <w:sz w:val="18"/>
          <w:szCs w:val="18"/>
          <w:color w:val="auto"/>
        </w:rPr>
      </w:pPr>
    </w:p>
    <w:p>
      <w:pPr>
        <w:jc w:val="both"/>
        <w:ind w:left="1440" w:hanging="957"/>
        <w:spacing w:after="0" w:line="259" w:lineRule="auto"/>
        <w:tabs>
          <w:tab w:leader="none" w:pos="143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4" w:lineRule="exact"/>
        <w:rPr>
          <w:rFonts w:ascii="Times New Roman" w:cs="Times New Roman" w:eastAsia="Times New Roman" w:hAnsi="Times New Roman"/>
          <w:sz w:val="18"/>
          <w:szCs w:val="18"/>
          <w:color w:val="auto"/>
        </w:rPr>
      </w:pPr>
    </w:p>
    <w:p>
      <w:pPr>
        <w:ind w:firstLine="6"/>
        <w:spacing w:after="0" w:line="274" w:lineRule="auto"/>
        <w:tabs>
          <w:tab w:leader="none" w:pos="20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0" w:lineRule="exact"/>
        <w:rPr>
          <w:rFonts w:ascii="Times New Roman" w:cs="Times New Roman" w:eastAsia="Times New Roman" w:hAnsi="Times New Roman"/>
          <w:sz w:val="18"/>
          <w:szCs w:val="18"/>
          <w:color w:val="auto"/>
        </w:rPr>
      </w:pPr>
    </w:p>
    <w:p>
      <w:pPr>
        <w:ind w:left="1440" w:hanging="957"/>
        <w:spacing w:after="0" w:line="274" w:lineRule="auto"/>
        <w:tabs>
          <w:tab w:leader="none" w:pos="1437"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Times New Roman" w:cs="Times New Roman" w:eastAsia="Times New Roman" w:hAnsi="Times New Roman"/>
          <w:sz w:val="18"/>
          <w:szCs w:val="18"/>
          <w:color w:val="auto"/>
        </w:rPr>
      </w:pPr>
    </w:p>
    <w:p>
      <w:pPr>
        <w:ind w:left="1440" w:hanging="957"/>
        <w:spacing w:after="0" w:line="274" w:lineRule="auto"/>
        <w:tabs>
          <w:tab w:leader="none" w:pos="143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41" w:lineRule="exact"/>
        <w:rPr>
          <w:sz w:val="20"/>
          <w:szCs w:val="20"/>
          <w:color w:val="auto"/>
        </w:rPr>
      </w:pPr>
    </w:p>
    <w:p>
      <w:pPr>
        <w:ind w:left="2200"/>
        <w:spacing w:after="0"/>
        <w:tabs>
          <w:tab w:leader="none" w:pos="28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Anthony J.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1821180</wp:posOffset>
            </wp:positionH>
            <wp:positionV relativeFrom="paragraph">
              <wp:posOffset>15875</wp:posOffset>
            </wp:positionV>
            <wp:extent cx="263334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633345" cy="8255"/>
                    </a:xfrm>
                    <a:prstGeom prst="rect">
                      <a:avLst/>
                    </a:prstGeom>
                    <a:noFill/>
                  </pic:spPr>
                </pic:pic>
              </a:graphicData>
            </a:graphic>
          </wp:anchor>
        </w:drawing>
      </w:r>
    </w:p>
    <w:p>
      <w:pPr>
        <w:spacing w:after="0" w:line="12"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Anthony J. Park</w:t>
      </w:r>
    </w:p>
    <w:p>
      <w:pPr>
        <w:ind w:left="2880"/>
        <w:spacing w:after="0" w:line="191" w:lineRule="auto"/>
        <w:rPr>
          <w:sz w:val="20"/>
          <w:szCs w:val="20"/>
          <w:color w:val="auto"/>
        </w:rPr>
      </w:pPr>
      <w:r>
        <w:rPr>
          <w:rFonts w:ascii="Times New Roman" w:cs="Times New Roman" w:eastAsia="Times New Roman" w:hAnsi="Times New Roman"/>
          <w:sz w:val="13"/>
          <w:szCs w:val="13"/>
          <w:color w:val="auto"/>
        </w:rPr>
        <w:t>Chief Financial Officer</w:t>
      </w:r>
    </w:p>
    <w:p>
      <w:pPr>
        <w:spacing w:after="0"/>
        <w:rPr>
          <w:sz w:val="20"/>
          <w:szCs w:val="20"/>
          <w:color w:val="auto"/>
        </w:rPr>
      </w:pPr>
      <w:r>
        <w:rPr>
          <w:rFonts w:ascii="Times New Roman" w:cs="Times New Roman" w:eastAsia="Times New Roman" w:hAnsi="Times New Roman"/>
          <w:sz w:val="18"/>
          <w:szCs w:val="18"/>
          <w:color w:val="auto"/>
        </w:rPr>
        <w:t>Date: November 6, 2026</w:t>
      </w:r>
    </w:p>
    <w:p>
      <w:pPr>
        <w:sectPr>
          <w:pgSz w:w="11900" w:h="16838" w:orient="portrait"/>
          <w:cols w:equalWidth="0" w:num="1">
            <w:col w:w="11240"/>
          </w:cols>
          <w:pgMar w:left="320" w:top="874" w:right="3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FINANCIAL REPORTS PURSUANT TO 18 U.S.C. §1350</w:t>
      </w:r>
    </w:p>
    <w:p>
      <w:pPr>
        <w:spacing w:after="0" w:line="246" w:lineRule="exact"/>
        <w:rPr>
          <w:sz w:val="20"/>
          <w:szCs w:val="20"/>
          <w:color w:val="auto"/>
        </w:rPr>
      </w:pPr>
    </w:p>
    <w:p>
      <w:pPr>
        <w:ind w:firstLine="225"/>
        <w:spacing w:after="0" w:line="274" w:lineRule="auto"/>
        <w:rPr>
          <w:sz w:val="20"/>
          <w:szCs w:val="20"/>
          <w:color w:val="auto"/>
        </w:rPr>
      </w:pPr>
      <w:r>
        <w:rPr>
          <w:rFonts w:ascii="Times New Roman" w:cs="Times New Roman" w:eastAsia="Times New Roman" w:hAnsi="Times New Roman"/>
          <w:sz w:val="18"/>
          <w:szCs w:val="18"/>
          <w:color w:val="auto"/>
        </w:rPr>
        <w:t>The undersigned hereby certifies that he is the duly appointed and acting Chief Executive Officer of Fidelity National Financial, Inc., a Nevada corporation (the “Company”), and hereby further certifies as follows.</w:t>
      </w:r>
    </w:p>
    <w:p>
      <w:pPr>
        <w:spacing w:after="0" w:line="110" w:lineRule="exact"/>
        <w:rPr>
          <w:sz w:val="20"/>
          <w:szCs w:val="20"/>
          <w:color w:val="auto"/>
        </w:rPr>
      </w:pPr>
    </w:p>
    <w:p>
      <w:pPr>
        <w:ind w:left="880" w:hanging="874"/>
        <w:spacing w:after="0" w:line="274" w:lineRule="auto"/>
        <w:tabs>
          <w:tab w:leader="none" w:pos="8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periodic report containing financial statements to which this certificate is an exhibit fully complies with the requirements of Section 13(a) or 15(d) of the Securities Exchange Act of 1934.</w:t>
      </w:r>
    </w:p>
    <w:p>
      <w:pPr>
        <w:spacing w:after="0" w:line="189" w:lineRule="exact"/>
        <w:rPr>
          <w:rFonts w:ascii="Times New Roman" w:cs="Times New Roman" w:eastAsia="Times New Roman" w:hAnsi="Times New Roman"/>
          <w:sz w:val="18"/>
          <w:szCs w:val="18"/>
          <w:color w:val="auto"/>
        </w:rPr>
      </w:pPr>
    </w:p>
    <w:p>
      <w:pPr>
        <w:ind w:left="880" w:hanging="874"/>
        <w:spacing w:after="0" w:line="274" w:lineRule="auto"/>
        <w:tabs>
          <w:tab w:leader="none" w:pos="8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19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In witness whereof, the undersigned has executed and delivered this certificate as of the date set forth opposite his signature below.</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60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Michael J. Nolan</w:t>
            </w:r>
          </w:p>
        </w:tc>
        <w:tc>
          <w:tcPr>
            <w:tcW w:w="0" w:type="dxa"/>
            <w:vAlign w:val="bottom"/>
          </w:tcPr>
          <w:p>
            <w:pPr>
              <w:spacing w:after="0"/>
              <w:rPr>
                <w:sz w:val="1"/>
                <w:szCs w:val="1"/>
                <w:color w:val="auto"/>
              </w:rPr>
            </w:pPr>
          </w:p>
        </w:tc>
      </w:tr>
      <w:tr>
        <w:trPr>
          <w:trHeight w:val="233"/>
        </w:trPr>
        <w:tc>
          <w:tcPr>
            <w:tcW w:w="260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J. Nolan</w:t>
            </w:r>
          </w:p>
        </w:tc>
        <w:tc>
          <w:tcPr>
            <w:tcW w:w="0" w:type="dxa"/>
            <w:vAlign w:val="bottom"/>
          </w:tcPr>
          <w:p>
            <w:pPr>
              <w:spacing w:after="0"/>
              <w:rPr>
                <w:sz w:val="1"/>
                <w:szCs w:val="1"/>
                <w:color w:val="auto"/>
              </w:rPr>
            </w:pPr>
          </w:p>
        </w:tc>
      </w:tr>
      <w:tr>
        <w:trPr>
          <w:trHeight w:val="238"/>
        </w:trPr>
        <w:tc>
          <w:tcPr>
            <w:tcW w:w="2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 November 6, 2026</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r>
        <w:trPr>
          <w:trHeight w:val="106"/>
        </w:trPr>
        <w:tc>
          <w:tcPr>
            <w:tcW w:w="2600" w:type="dxa"/>
            <w:vAlign w:val="bottom"/>
            <w:vMerge w:val="continue"/>
          </w:tcPr>
          <w:p>
            <w:pPr>
              <w:spacing w:after="0"/>
              <w:rPr>
                <w:sz w:val="9"/>
                <w:szCs w:val="9"/>
                <w:color w:val="auto"/>
              </w:rPr>
            </w:pPr>
          </w:p>
        </w:tc>
        <w:tc>
          <w:tcPr>
            <w:tcW w:w="524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13" w:right="3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FINANCIAL REPORTS PURSUANT TO 18 U.S.C. §1350</w:t>
      </w:r>
    </w:p>
    <w:p>
      <w:pPr>
        <w:spacing w:after="0" w:line="166" w:lineRule="exact"/>
        <w:rPr>
          <w:sz w:val="20"/>
          <w:szCs w:val="20"/>
          <w:color w:val="auto"/>
        </w:rPr>
      </w:pPr>
    </w:p>
    <w:p>
      <w:pPr>
        <w:ind w:firstLine="232"/>
        <w:spacing w:after="0" w:line="274" w:lineRule="auto"/>
        <w:rPr>
          <w:sz w:val="20"/>
          <w:szCs w:val="20"/>
          <w:color w:val="auto"/>
        </w:rPr>
      </w:pPr>
      <w:r>
        <w:rPr>
          <w:rFonts w:ascii="Times New Roman" w:cs="Times New Roman" w:eastAsia="Times New Roman" w:hAnsi="Times New Roman"/>
          <w:sz w:val="18"/>
          <w:szCs w:val="18"/>
          <w:color w:val="auto"/>
        </w:rPr>
        <w:t>The undersigned hereby certifies that he is the duly appointed and acting Chief Financial Officer of Fidelity National Financial, Inc., a Nevada corporation (the “Company”), and hereby further certifies as follows.</w:t>
      </w:r>
    </w:p>
    <w:p>
      <w:pPr>
        <w:spacing w:after="0" w:line="110" w:lineRule="exact"/>
        <w:rPr>
          <w:sz w:val="20"/>
          <w:szCs w:val="20"/>
          <w:color w:val="auto"/>
        </w:rPr>
      </w:pPr>
    </w:p>
    <w:p>
      <w:pPr>
        <w:ind w:left="880" w:hanging="874"/>
        <w:spacing w:after="0" w:line="274" w:lineRule="auto"/>
        <w:tabs>
          <w:tab w:leader="none" w:pos="8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periodic report containing financial statements to which this certificate is an exhibit fully complies with the requirements of Section 13(a) or 15(d) of the Securities Exchange Act of 1934.</w:t>
      </w:r>
    </w:p>
    <w:p>
      <w:pPr>
        <w:spacing w:after="0" w:line="189" w:lineRule="exact"/>
        <w:rPr>
          <w:rFonts w:ascii="Times New Roman" w:cs="Times New Roman" w:eastAsia="Times New Roman" w:hAnsi="Times New Roman"/>
          <w:sz w:val="18"/>
          <w:szCs w:val="18"/>
          <w:color w:val="auto"/>
        </w:rPr>
      </w:pPr>
    </w:p>
    <w:p>
      <w:pPr>
        <w:ind w:left="880" w:hanging="874"/>
        <w:spacing w:after="0" w:line="274" w:lineRule="auto"/>
        <w:tabs>
          <w:tab w:leader="none" w:pos="8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19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In witness whereof, the undersigned has executed and delivered this certificate as of the date set forth opposite his signature below.</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54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Anthony J. Park</w:t>
            </w:r>
          </w:p>
        </w:tc>
        <w:tc>
          <w:tcPr>
            <w:tcW w:w="0" w:type="dxa"/>
            <w:vAlign w:val="bottom"/>
          </w:tcPr>
          <w:p>
            <w:pPr>
              <w:spacing w:after="0"/>
              <w:rPr>
                <w:sz w:val="1"/>
                <w:szCs w:val="1"/>
                <w:color w:val="auto"/>
              </w:rPr>
            </w:pPr>
          </w:p>
        </w:tc>
      </w:tr>
      <w:tr>
        <w:trPr>
          <w:trHeight w:val="233"/>
        </w:trPr>
        <w:tc>
          <w:tcPr>
            <w:tcW w:w="254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Anthony J. Park</w:t>
            </w:r>
          </w:p>
        </w:tc>
        <w:tc>
          <w:tcPr>
            <w:tcW w:w="0" w:type="dxa"/>
            <w:vAlign w:val="bottom"/>
          </w:tcPr>
          <w:p>
            <w:pPr>
              <w:spacing w:after="0"/>
              <w:rPr>
                <w:sz w:val="1"/>
                <w:szCs w:val="1"/>
                <w:color w:val="auto"/>
              </w:rPr>
            </w:pPr>
          </w:p>
        </w:tc>
      </w:tr>
      <w:tr>
        <w:trPr>
          <w:trHeight w:val="238"/>
        </w:trPr>
        <w:tc>
          <w:tcPr>
            <w:tcW w:w="2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 November 6, 2026</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106"/>
        </w:trPr>
        <w:tc>
          <w:tcPr>
            <w:tcW w:w="2540" w:type="dxa"/>
            <w:vAlign w:val="bottom"/>
            <w:vMerge w:val="continue"/>
          </w:tcPr>
          <w:p>
            <w:pPr>
              <w:spacing w:after="0"/>
              <w:rPr>
                <w:sz w:val="9"/>
                <w:szCs w:val="9"/>
                <w:color w:val="auto"/>
              </w:rPr>
            </w:pPr>
          </w:p>
        </w:tc>
        <w:tc>
          <w:tcPr>
            <w:tcW w:w="52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8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1)"/>
      <w:numFmt w:val="decimal"/>
      <w:start w:val="1"/>
    </w:lvl>
  </w:abstractNum>
  <w:abstractNum w:abstractNumId="3">
    <w:nsid w:val="628C895D"/>
    <w:multiLevelType w:val="hybridMultilevel"/>
    <w:lvl w:ilvl="0">
      <w:lvlJc w:val="left"/>
      <w:lvlText w:val="(%1)"/>
      <w:numFmt w:val="lowerLetter"/>
      <w:start w:val="1"/>
    </w:lvl>
  </w:abstractNum>
  <w:abstractNum w:abstractNumId="4">
    <w:nsid w:val="333AB105"/>
    <w:multiLevelType w:val="hybridMultilevel"/>
    <w:lvl w:ilvl="0">
      <w:lvlJc w:val="left"/>
      <w:lvlText w:val="(%1)"/>
      <w:numFmt w:val="lowerLetter"/>
      <w:start w:val="1"/>
    </w:lvl>
  </w:abstractNum>
  <w:abstractNum w:abstractNumId="5">
    <w:nsid w:val="721DA317"/>
    <w:multiLevelType w:val="hybridMultilevel"/>
    <w:lvl w:ilvl="0">
      <w:lvlJc w:val="left"/>
      <w:lvlText w:val="(%1)"/>
      <w:numFmt w:val="lowerLetter"/>
      <w:start w:val="1"/>
    </w:lvl>
  </w:abstractNum>
  <w:abstractNum w:abstractNumId="6">
    <w:nsid w:val="2443A858"/>
    <w:multiLevelType w:val="hybridMultilevel"/>
    <w:lvl w:ilvl="0">
      <w:lvlJc w:val="left"/>
      <w:lvlText w:val="(%1)"/>
      <w:numFmt w:val="lowerLetter"/>
      <w:start w:val="1"/>
    </w:lvl>
  </w:abstractNum>
  <w:abstractNum w:abstractNumId="7">
    <w:nsid w:val="2D1D5AE9"/>
    <w:multiLevelType w:val="hybridMultilevel"/>
    <w:lvl w:ilvl="0">
      <w:lvlJc w:val="left"/>
      <w:lvlText w:val="(%1)"/>
      <w:numFmt w:val="lowerLetter"/>
      <w:start w:val="1"/>
    </w:lvl>
  </w:abstractNum>
  <w:abstractNum w:abstractNumId="8">
    <w:nsid w:val="6763845E"/>
    <w:multiLevelType w:val="hybridMultilevel"/>
    <w:lvl w:ilvl="0">
      <w:lvlJc w:val="left"/>
      <w:lvlText w:val="(%1)"/>
      <w:numFmt w:val="lowerLetter"/>
      <w:start w:val="1"/>
    </w:lvl>
  </w:abstractNum>
  <w:abstractNum w:abstractNumId="9">
    <w:nsid w:val="75A2A8D4"/>
    <w:multiLevelType w:val="hybridMultilevel"/>
    <w:lvl w:ilvl="0">
      <w:lvlJc w:val="left"/>
      <w:lvlText w:val="(%1)"/>
      <w:numFmt w:val="lowerLetter"/>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1)"/>
      <w:numFmt w:val="lowerLetter"/>
      <w:start w:val="1"/>
    </w:lvl>
  </w:abstractNum>
  <w:abstractNum w:abstractNumId="13">
    <w:nsid w:val="B03E0C6"/>
    <w:multiLevelType w:val="hybridMultilevel"/>
    <w:lvl w:ilvl="0">
      <w:lvlJc w:val="left"/>
      <w:lvlText w:val="(%1)"/>
      <w:numFmt w:val="lowerLetter"/>
      <w:start w:val="1"/>
    </w:lvl>
  </w:abstractNum>
  <w:abstractNum w:abstractNumId="14">
    <w:nsid w:val="189A769B"/>
    <w:multiLevelType w:val="hybridMultilevel"/>
    <w:lvl w:ilvl="0">
      <w:lvlJc w:val="left"/>
      <w:lvlText w:val="(%1)"/>
      <w:numFmt w:val="decimal"/>
      <w:start w:val="1"/>
    </w:lvl>
  </w:abstractNum>
  <w:abstractNum w:abstractNumId="15">
    <w:nsid w:val="54E49EB4"/>
    <w:multiLevelType w:val="hybridMultilevel"/>
    <w:lvl w:ilvl="0">
      <w:lvlJc w:val="left"/>
      <w:lvlText w:val="(%1)"/>
      <w:numFmt w:val="lowerLetter"/>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1)"/>
      <w:numFmt w:val="lowerLetter"/>
      <w:start w:val="1"/>
    </w:lvl>
  </w:abstractNum>
  <w:abstractNum w:abstractNumId="18">
    <w:nsid w:val="836C40E"/>
    <w:multiLevelType w:val="hybridMultilevel"/>
    <w:lvl w:ilvl="0">
      <w:lvlJc w:val="left"/>
      <w:lvlText w:val="(%1)"/>
      <w:numFmt w:val="lowerLetter"/>
      <w:start w:val="1"/>
    </w:lvl>
  </w:abstractNum>
  <w:abstractNum w:abstractNumId="19">
    <w:nsid w:val="2901D82"/>
    <w:multiLevelType w:val="hybridMultilevel"/>
    <w:lvl w:ilvl="0">
      <w:lvlJc w:val="left"/>
      <w:lvlText w:val="(%1)"/>
      <w:numFmt w:val="lowerLetter"/>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1)"/>
      <w:numFmt w:val="lowerLetter"/>
      <w:start w:val="1"/>
    </w:lvl>
    <w:lvl w:ilvl="1">
      <w:lvlJc w:val="left"/>
      <w:lvlText w:val="•"/>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1)"/>
      <w:numFmt w:val="lowerLetter"/>
      <w:start w:val="1"/>
    </w:lvl>
    <w:lvl w:ilvl="1">
      <w:lvlJc w:val="left"/>
      <w:lvlText w:val="•"/>
      <w:numFmt w:val="bullet"/>
      <w:start w:val="1"/>
    </w:lvl>
    <w:lvl w:ilvl="2">
      <w:lvlJc w:val="left"/>
      <w:lvlText w:val="◦"/>
      <w:numFmt w:val="bullet"/>
      <w:start w:val="1"/>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
      <w:numFmt w:val="bullet"/>
      <w:start w:val="1"/>
    </w:lvl>
  </w:abstractNum>
  <w:abstractNum w:abstractNumId="29">
    <w:nsid w:val="614FD4A1"/>
    <w:multiLevelType w:val="hybridMultilevel"/>
    <w:lvl w:ilvl="0">
      <w:lvlJc w:val="left"/>
      <w:lvlText w:val="(%1)"/>
      <w:numFmt w:val="lowerLetter"/>
      <w:start w:val="1"/>
    </w:lvl>
  </w:abstractNum>
  <w:abstractNum w:abstractNumId="30">
    <w:nsid w:val="419AC241"/>
    <w:multiLevelType w:val="hybridMultilevel"/>
    <w:lvl w:ilvl="0">
      <w:lvlJc w:val="left"/>
      <w:lvlText w:val="(%1)"/>
      <w:numFmt w:val="decimal"/>
      <w:start w:val="1"/>
    </w:lvl>
  </w:abstractNum>
  <w:abstractNum w:abstractNumId="31">
    <w:nsid w:val="5577F8E1"/>
    <w:multiLevelType w:val="hybridMultilevel"/>
    <w:lvl w:ilvl="0">
      <w:lvlJc w:val="left"/>
      <w:lvlText w:val="*"/>
      <w:numFmt w:val="bullet"/>
      <w:start w:val="1"/>
    </w:lvl>
    <w:lvl w:ilvl="1">
      <w:lvlJc w:val="left"/>
      <w:lvlText w:val="%2"/>
      <w:numFmt w:val="decimal"/>
      <w:start w:val="104"/>
    </w:lvl>
  </w:abstractNum>
  <w:abstractNum w:abstractNumId="32">
    <w:nsid w:val="440BADFC"/>
    <w:multiLevelType w:val="hybridMultilevel"/>
    <w:lvl w:ilvl="0">
      <w:lvlJc w:val="left"/>
      <w:lvlText w:val="**"/>
      <w:numFmt w:val="bullet"/>
      <w:start w:val="1"/>
    </w:lvl>
  </w:abstractNum>
  <w:abstractNum w:abstractNumId="33">
    <w:nsid w:val="5072367"/>
    <w:multiLevelType w:val="hybridMultilevel"/>
    <w:lvl w:ilvl="0">
      <w:lvlJc w:val="left"/>
      <w:lvlText w:val="***"/>
      <w:numFmt w:val="bullet"/>
      <w:start w:val="1"/>
    </w:lvl>
  </w:abstractNum>
  <w:abstractNum w:abstractNumId="34">
    <w:nsid w:val="3804823E"/>
    <w:multiLevelType w:val="hybridMultilevel"/>
    <w:lvl w:ilvl="0">
      <w:lvlJc w:val="left"/>
      <w:lvlText w:val="%1."/>
      <w:numFmt w:val="decimal"/>
      <w:start w:val="1"/>
    </w:lvl>
    <w:lvl w:ilvl="1">
      <w:lvlJc w:val="left"/>
      <w:lvlText w:val="(%2)"/>
      <w:numFmt w:val="lowerLetter"/>
      <w:start w:val="1"/>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2026-11-06T15:37:40Z</dcterms:created>
  <dcterms:modified xsi:type="dcterms:W3CDTF">2026-11-06T15:37:40Z</dcterms:modified>
</cp:coreProperties>
</file>